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198755</wp:posOffset>
            </wp:positionH>
            <wp:positionV relativeFrom="page">
              <wp:posOffset>147955</wp:posOffset>
            </wp:positionV>
            <wp:extent cx="715073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298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252095</wp:posOffset>
            </wp:positionV>
            <wp:extent cx="7150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7620"/>
                    </a:xfrm>
                    <a:prstGeom prst="rect">
                      <a:avLst/>
                    </a:prstGeom>
                    <a:noFill/>
                  </pic:spPr>
                </pic:pic>
              </a:graphicData>
            </a:graphic>
          </wp:anchor>
        </w:drawing>
        <w:t>SECURITIES AND EXCHANGE COMMISSION</w:t>
      </w:r>
    </w:p>
    <w:p>
      <w:pPr>
        <w:spacing w:after="0" w:line="2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4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color w:val="auto"/>
        </w:rPr>
        <w:t>Report of Foreign Private Issuer</w:t>
      </w:r>
    </w:p>
    <w:p>
      <w:pPr>
        <w:spacing w:after="0" w:line="1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color w:val="auto"/>
        </w:rPr>
        <w:t>Pursuant to Rule 13a-16 or 15d-16 under the</w:t>
      </w:r>
    </w:p>
    <w:p>
      <w:pPr>
        <w:spacing w:after="0" w:line="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color w:val="auto"/>
        </w:rPr>
        <w:t>Securities Exchange Act of 1934</w:t>
      </w:r>
    </w:p>
    <w:p>
      <w:pPr>
        <w:spacing w:after="0" w:line="17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For the month of March 2025</w:t>
      </w:r>
    </w:p>
    <w:p>
      <w:pPr>
        <w:spacing w:after="0" w:line="19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color w:val="auto"/>
        </w:rPr>
        <w:t>Commission File Number: 001-14014</w:t>
      </w:r>
    </w:p>
    <w:p>
      <w:pPr>
        <w:spacing w:after="0" w:line="16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7"/>
          <w:szCs w:val="37"/>
          <w:b w:val="1"/>
          <w:bCs w:val="1"/>
          <w:color w:val="auto"/>
        </w:rPr>
        <w:t>CREDICORP LTD.</w:t>
      </w:r>
    </w:p>
    <w:p>
      <w:pPr>
        <w:spacing w:after="0" w:line="5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6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Of our subsidiary</w:t>
      </w:r>
    </w:p>
    <w:p>
      <w:pPr>
        <w:spacing w:after="0" w:line="2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Banco de Credito del Peru:</w:t>
      </w:r>
    </w:p>
    <w:p>
      <w:pPr>
        <w:spacing w:after="0" w:line="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Calle Centenario 156</w:t>
      </w:r>
    </w:p>
    <w:p>
      <w:pPr>
        <w:spacing w:after="0" w:line="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La Molina 15026</w:t>
      </w:r>
    </w:p>
    <w:p>
      <w:pPr>
        <w:spacing w:after="0" w:line="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Lima, Peru</w:t>
      </w:r>
    </w:p>
    <w:p>
      <w:pPr>
        <w:spacing w:after="0" w:line="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7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79" w:lineRule="exact"/>
        <w:rPr>
          <w:sz w:val="24"/>
          <w:szCs w:val="24"/>
          <w:color w:val="auto"/>
        </w:rPr>
      </w:pPr>
    </w:p>
    <w:p>
      <w:pPr>
        <w:ind w:left="472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101(b)(1): ____</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182880</wp:posOffset>
            </wp:positionV>
            <wp:extent cx="7150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264160</wp:posOffset>
            </wp:positionV>
            <wp:extent cx="715073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735" cy="298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382905</wp:posOffset>
            </wp:positionV>
            <wp:extent cx="715073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099"/>
          </w:cols>
          <w:pgMar w:left="360" w:top="47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1837690" cy="347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7690" cy="347980"/>
                    </a:xfrm>
                    <a:prstGeom prst="rect">
                      <a:avLst/>
                    </a:prstGeom>
                    <a:noFill/>
                  </pic:spPr>
                </pic:pic>
              </a:graphicData>
            </a:graphic>
          </wp:anchor>
        </w:drawing>
        <w:t>March 4,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 - SEC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 MATERIAL EVENT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Please find attached a copy of the audited consolidated financial statements of Credicorp Ltd. (''the Company'') and its subsidiaries, for the fiscal year ended on December 31, 2024, including the report of the external auditors Tanaka, Valdivia y Asociados Sociedad Civil de Responsabilidad Limitada, representatives of EYG in Peru, approved by the Company’s Board of Directors in its session held on February 27, 2025, and which will be presented to the Annual General Meeting of Shareholders on March 27, 2025.</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Guillermo Morales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Representative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715073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045" w:right="3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1" w:lineRule="exact"/>
        <w:rPr>
          <w:sz w:val="20"/>
          <w:szCs w:val="20"/>
          <w:color w:val="auto"/>
        </w:rPr>
      </w:pPr>
    </w:p>
    <w:p>
      <w:pPr>
        <w:ind w:firstLine="462"/>
        <w:spacing w:after="0" w:line="26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 March 4, 2025</w:t>
      </w:r>
    </w:p>
    <w:p>
      <w:pPr>
        <w:spacing w:after="0" w:line="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CREDICORP LTD.</w:t>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(Registrant)</w:t>
      </w:r>
    </w:p>
    <w:p>
      <w:pPr>
        <w:spacing w:after="0" w:line="174"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Guillermo Morales</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-111760</wp:posOffset>
            </wp:positionV>
            <wp:extent cx="23564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6485" cy="7620"/>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298450</wp:posOffset>
            </wp:positionV>
            <wp:extent cx="715073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 w:name="page4"/>
    <w:bookmarkEnd w:id="3"/>
    <w:p>
      <w:pPr>
        <w:ind w:left="10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50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298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130810</wp:posOffset>
            </wp:positionV>
            <wp:extent cx="3571875" cy="1015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71875" cy="1015365"/>
                    </a:xfrm>
                    <a:prstGeom prst="rect">
                      <a:avLst/>
                    </a:prstGeom>
                    <a:noFill/>
                  </pic:spPr>
                </pic:pic>
              </a:graphicData>
            </a:graphic>
          </wp:anchor>
        </w:drawing>
      </w:r>
    </w:p>
    <w:p>
      <w:pPr>
        <w:sectPr>
          <w:pgSz w:w="11900" w:h="16838" w:orient="portrait"/>
          <w:cols w:equalWidth="0" w:num="1">
            <w:col w:w="11060"/>
          </w:cols>
          <w:pgMar w:left="520" w:top="239" w:right="31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CONSOLIDATED FINANCIAL STATEMENTS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1461770</wp:posOffset>
            </wp:positionV>
            <wp:extent cx="715073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1460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335915</wp:posOffset>
            </wp:positionV>
            <wp:extent cx="874395" cy="926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4395" cy="926465"/>
                    </a:xfrm>
                    <a:prstGeom prst="rect">
                      <a:avLst/>
                    </a:prstGeom>
                    <a:noFill/>
                  </pic:spPr>
                </pic:pic>
              </a:graphicData>
            </a:graphic>
          </wp:anchor>
        </w:drawing>
      </w:r>
    </w:p>
    <w:p>
      <w:pPr>
        <w:sectPr>
          <w:pgSz w:w="11900" w:h="16838" w:orient="portrait"/>
          <w:cols w:equalWidth="0" w:num="1">
            <w:col w:w="11060"/>
          </w:cols>
          <w:pgMar w:left="520" w:top="239" w:right="319" w:bottom="1440" w:gutter="0" w:footer="0" w:header="0"/>
          <w:type w:val="continuous"/>
        </w:sectPr>
      </w:pPr>
    </w:p>
    <w:bookmarkStart w:id="4" w:name="page5"/>
    <w:bookmarkEnd w:id="4"/>
    <w:tbl>
      <w:tblPr>
        <w:tblLayout w:type="fixed"/>
        <w:tblInd w:w="7" w:type="dxa"/>
        <w:tblCellMar>
          <w:top w:w="0" w:type="dxa"/>
          <w:left w:w="0" w:type="dxa"/>
          <w:bottom w:w="0" w:type="dxa"/>
          <w:right w:w="0" w:type="dxa"/>
        </w:tblCellMar>
      </w:tblPr>
      <w:tr>
        <w:trPr>
          <w:trHeight w:val="214"/>
        </w:trPr>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4200" w:type="dxa"/>
            <w:vAlign w:val="bottom"/>
          </w:tcPr>
          <w:p>
            <w:pPr>
              <w:spacing w:after="0"/>
              <w:rPr>
                <w:sz w:val="18"/>
                <w:szCs w:val="18"/>
                <w:color w:val="auto"/>
              </w:rPr>
            </w:pPr>
          </w:p>
        </w:tc>
      </w:tr>
      <w:tr>
        <w:trPr>
          <w:trHeight w:val="312"/>
        </w:trPr>
        <w:tc>
          <w:tcPr>
            <w:tcW w:w="7060" w:type="dxa"/>
            <w:vAlign w:val="bottom"/>
            <w:gridSpan w:val="2"/>
          </w:tcPr>
          <w:p>
            <w:pPr>
              <w:spacing w:after="0"/>
              <w:rPr>
                <w:sz w:val="20"/>
                <w:szCs w:val="20"/>
                <w:color w:val="auto"/>
              </w:rPr>
            </w:pPr>
            <w:r>
              <w:rPr>
                <w:rFonts w:ascii="Arial" w:cs="Arial" w:eastAsia="Arial" w:hAnsi="Arial"/>
                <w:sz w:val="16"/>
                <w:szCs w:val="16"/>
                <w:color w:val="auto"/>
              </w:rPr>
              <w:t>CONSOLIDATED FINANCIAL STATEMENTS</w:t>
            </w:r>
          </w:p>
        </w:tc>
        <w:tc>
          <w:tcPr>
            <w:tcW w:w="4200" w:type="dxa"/>
            <w:vAlign w:val="bottom"/>
          </w:tcPr>
          <w:p>
            <w:pPr>
              <w:spacing w:after="0"/>
              <w:rPr>
                <w:sz w:val="24"/>
                <w:szCs w:val="24"/>
                <w:color w:val="auto"/>
              </w:rPr>
            </w:pPr>
          </w:p>
        </w:tc>
      </w:tr>
      <w:tr>
        <w:trPr>
          <w:trHeight w:val="205"/>
        </w:trPr>
        <w:tc>
          <w:tcPr>
            <w:tcW w:w="7060" w:type="dxa"/>
            <w:vAlign w:val="bottom"/>
            <w:gridSpan w:val="2"/>
          </w:tcPr>
          <w:p>
            <w:pPr>
              <w:spacing w:after="0"/>
              <w:rPr>
                <w:sz w:val="20"/>
                <w:szCs w:val="20"/>
                <w:color w:val="auto"/>
              </w:rPr>
            </w:pPr>
            <w:r>
              <w:rPr>
                <w:rFonts w:ascii="Arial" w:cs="Arial" w:eastAsia="Arial" w:hAnsi="Arial"/>
                <w:sz w:val="16"/>
                <w:szCs w:val="16"/>
                <w:color w:val="auto"/>
              </w:rPr>
              <w:t>AS OF DECEMBER 31, 2024, AND 2023</w:t>
            </w:r>
          </w:p>
        </w:tc>
        <w:tc>
          <w:tcPr>
            <w:tcW w:w="4200" w:type="dxa"/>
            <w:vAlign w:val="bottom"/>
          </w:tcPr>
          <w:p>
            <w:pPr>
              <w:spacing w:after="0"/>
              <w:rPr>
                <w:sz w:val="17"/>
                <w:szCs w:val="17"/>
                <w:color w:val="auto"/>
              </w:rPr>
            </w:pPr>
          </w:p>
        </w:tc>
      </w:tr>
      <w:tr>
        <w:trPr>
          <w:trHeight w:val="350"/>
        </w:trPr>
        <w:tc>
          <w:tcPr>
            <w:tcW w:w="7060" w:type="dxa"/>
            <w:vAlign w:val="bottom"/>
            <w:gridSpan w:val="2"/>
          </w:tcPr>
          <w:p>
            <w:pPr>
              <w:spacing w:after="0"/>
              <w:rPr>
                <w:sz w:val="20"/>
                <w:szCs w:val="20"/>
                <w:color w:val="auto"/>
              </w:rPr>
            </w:pPr>
            <w:r>
              <w:rPr>
                <w:rFonts w:ascii="Arial" w:cs="Arial" w:eastAsia="Arial" w:hAnsi="Arial"/>
                <w:sz w:val="16"/>
                <w:szCs w:val="16"/>
                <w:color w:val="auto"/>
              </w:rPr>
              <w:t>CONTENTS</w:t>
            </w:r>
          </w:p>
        </w:tc>
        <w:tc>
          <w:tcPr>
            <w:tcW w:w="4200" w:type="dxa"/>
            <w:vAlign w:val="bottom"/>
          </w:tcPr>
          <w:p>
            <w:pPr>
              <w:jc w:val="right"/>
              <w:spacing w:after="0"/>
              <w:rPr>
                <w:sz w:val="20"/>
                <w:szCs w:val="20"/>
                <w:color w:val="auto"/>
              </w:rPr>
            </w:pPr>
            <w:r>
              <w:rPr>
                <w:rFonts w:ascii="Arial" w:cs="Arial" w:eastAsia="Arial" w:hAnsi="Arial"/>
                <w:sz w:val="16"/>
                <w:szCs w:val="16"/>
                <w:color w:val="auto"/>
              </w:rPr>
              <w:t>Pages</w:t>
            </w:r>
          </w:p>
        </w:tc>
      </w:tr>
      <w:tr>
        <w:trPr>
          <w:trHeight w:val="350"/>
        </w:trPr>
        <w:tc>
          <w:tcPr>
            <w:tcW w:w="7060" w:type="dxa"/>
            <w:vAlign w:val="bottom"/>
            <w:gridSpan w:val="2"/>
          </w:tcPr>
          <w:p>
            <w:pPr>
              <w:spacing w:after="0"/>
              <w:rPr>
                <w:sz w:val="20"/>
                <w:szCs w:val="20"/>
                <w:color w:val="auto"/>
              </w:rPr>
            </w:pPr>
            <w:r>
              <w:rPr>
                <w:rFonts w:ascii="Arial" w:cs="Arial" w:eastAsia="Arial" w:hAnsi="Arial"/>
                <w:sz w:val="16"/>
                <w:szCs w:val="16"/>
                <w:color w:val="auto"/>
              </w:rPr>
              <w:t>Independent auditor’s report</w:t>
            </w:r>
          </w:p>
        </w:tc>
        <w:tc>
          <w:tcPr>
            <w:tcW w:w="4200" w:type="dxa"/>
            <w:vAlign w:val="bottom"/>
          </w:tcPr>
          <w:p>
            <w:pPr>
              <w:jc w:val="right"/>
              <w:spacing w:after="0"/>
              <w:rPr>
                <w:sz w:val="20"/>
                <w:szCs w:val="20"/>
                <w:color w:val="auto"/>
              </w:rPr>
            </w:pPr>
            <w:r>
              <w:rPr>
                <w:rFonts w:ascii="Arial" w:cs="Arial" w:eastAsia="Arial" w:hAnsi="Arial"/>
                <w:sz w:val="16"/>
                <w:szCs w:val="16"/>
                <w:color w:val="auto"/>
              </w:rPr>
              <w:t>1 - 9</w:t>
            </w:r>
          </w:p>
        </w:tc>
      </w:tr>
      <w:tr>
        <w:trPr>
          <w:trHeight w:val="350"/>
        </w:trPr>
        <w:tc>
          <w:tcPr>
            <w:tcW w:w="7060" w:type="dxa"/>
            <w:vAlign w:val="bottom"/>
            <w:gridSpan w:val="2"/>
          </w:tcPr>
          <w:p>
            <w:pPr>
              <w:spacing w:after="0"/>
              <w:rPr>
                <w:sz w:val="20"/>
                <w:szCs w:val="20"/>
                <w:color w:val="auto"/>
              </w:rPr>
            </w:pPr>
            <w:r>
              <w:rPr>
                <w:rFonts w:ascii="Arial" w:cs="Arial" w:eastAsia="Arial" w:hAnsi="Arial"/>
                <w:sz w:val="16"/>
                <w:szCs w:val="16"/>
                <w:color w:val="auto"/>
              </w:rPr>
              <w:t>Consolidated statement of financial position</w:t>
            </w:r>
          </w:p>
        </w:tc>
        <w:tc>
          <w:tcPr>
            <w:tcW w:w="42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50"/>
        </w:trPr>
        <w:tc>
          <w:tcPr>
            <w:tcW w:w="7060" w:type="dxa"/>
            <w:vAlign w:val="bottom"/>
            <w:gridSpan w:val="2"/>
          </w:tcPr>
          <w:p>
            <w:pPr>
              <w:spacing w:after="0"/>
              <w:rPr>
                <w:sz w:val="20"/>
                <w:szCs w:val="20"/>
                <w:color w:val="auto"/>
              </w:rPr>
            </w:pPr>
            <w:r>
              <w:rPr>
                <w:rFonts w:ascii="Arial" w:cs="Arial" w:eastAsia="Arial" w:hAnsi="Arial"/>
                <w:sz w:val="16"/>
                <w:szCs w:val="16"/>
                <w:color w:val="auto"/>
              </w:rPr>
              <w:t>Consolidated statement of income</w:t>
            </w:r>
          </w:p>
        </w:tc>
        <w:tc>
          <w:tcPr>
            <w:tcW w:w="4200" w:type="dxa"/>
            <w:vAlign w:val="bottom"/>
          </w:tcPr>
          <w:p>
            <w:pPr>
              <w:jc w:val="right"/>
              <w:spacing w:after="0"/>
              <w:rPr>
                <w:sz w:val="20"/>
                <w:szCs w:val="20"/>
                <w:color w:val="auto"/>
              </w:rPr>
            </w:pPr>
            <w:r>
              <w:rPr>
                <w:rFonts w:ascii="Arial" w:cs="Arial" w:eastAsia="Arial" w:hAnsi="Arial"/>
                <w:sz w:val="16"/>
                <w:szCs w:val="16"/>
                <w:color w:val="auto"/>
              </w:rPr>
              <w:t>11 - 12</w:t>
            </w:r>
          </w:p>
        </w:tc>
      </w:tr>
      <w:tr>
        <w:trPr>
          <w:trHeight w:val="350"/>
        </w:trPr>
        <w:tc>
          <w:tcPr>
            <w:tcW w:w="7060" w:type="dxa"/>
            <w:vAlign w:val="bottom"/>
            <w:gridSpan w:val="2"/>
          </w:tcPr>
          <w:p>
            <w:pPr>
              <w:spacing w:after="0"/>
              <w:rPr>
                <w:sz w:val="20"/>
                <w:szCs w:val="20"/>
                <w:color w:val="auto"/>
              </w:rPr>
            </w:pPr>
            <w:r>
              <w:rPr>
                <w:rFonts w:ascii="Arial" w:cs="Arial" w:eastAsia="Arial" w:hAnsi="Arial"/>
                <w:sz w:val="16"/>
                <w:szCs w:val="16"/>
                <w:color w:val="auto"/>
              </w:rPr>
              <w:t>Consolidated statement of comprehensive income</w:t>
            </w:r>
          </w:p>
        </w:tc>
        <w:tc>
          <w:tcPr>
            <w:tcW w:w="42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50"/>
        </w:trPr>
        <w:tc>
          <w:tcPr>
            <w:tcW w:w="7060" w:type="dxa"/>
            <w:vAlign w:val="bottom"/>
            <w:gridSpan w:val="2"/>
          </w:tcPr>
          <w:p>
            <w:pPr>
              <w:spacing w:after="0"/>
              <w:rPr>
                <w:sz w:val="20"/>
                <w:szCs w:val="20"/>
                <w:color w:val="auto"/>
              </w:rPr>
            </w:pPr>
            <w:r>
              <w:rPr>
                <w:rFonts w:ascii="Arial" w:cs="Arial" w:eastAsia="Arial" w:hAnsi="Arial"/>
                <w:sz w:val="16"/>
                <w:szCs w:val="16"/>
                <w:color w:val="auto"/>
              </w:rPr>
              <w:t>Consolidated statement of changes in equity</w:t>
            </w:r>
          </w:p>
        </w:tc>
        <w:tc>
          <w:tcPr>
            <w:tcW w:w="4200" w:type="dxa"/>
            <w:vAlign w:val="bottom"/>
          </w:tcPr>
          <w:p>
            <w:pPr>
              <w:jc w:val="right"/>
              <w:spacing w:after="0"/>
              <w:rPr>
                <w:sz w:val="20"/>
                <w:szCs w:val="20"/>
                <w:color w:val="auto"/>
              </w:rPr>
            </w:pPr>
            <w:r>
              <w:rPr>
                <w:rFonts w:ascii="Arial" w:cs="Arial" w:eastAsia="Arial" w:hAnsi="Arial"/>
                <w:sz w:val="16"/>
                <w:szCs w:val="16"/>
                <w:color w:val="auto"/>
              </w:rPr>
              <w:t>14 -15</w:t>
            </w:r>
          </w:p>
        </w:tc>
      </w:tr>
      <w:tr>
        <w:trPr>
          <w:trHeight w:val="350"/>
        </w:trPr>
        <w:tc>
          <w:tcPr>
            <w:tcW w:w="7060" w:type="dxa"/>
            <w:vAlign w:val="bottom"/>
            <w:gridSpan w:val="2"/>
          </w:tcPr>
          <w:p>
            <w:pPr>
              <w:spacing w:after="0"/>
              <w:rPr>
                <w:sz w:val="20"/>
                <w:szCs w:val="20"/>
                <w:color w:val="auto"/>
              </w:rPr>
            </w:pPr>
            <w:r>
              <w:rPr>
                <w:rFonts w:ascii="Arial" w:cs="Arial" w:eastAsia="Arial" w:hAnsi="Arial"/>
                <w:sz w:val="16"/>
                <w:szCs w:val="16"/>
                <w:color w:val="auto"/>
              </w:rPr>
              <w:t>Consolidated statement of cash flows</w:t>
            </w:r>
          </w:p>
        </w:tc>
        <w:tc>
          <w:tcPr>
            <w:tcW w:w="4200" w:type="dxa"/>
            <w:vAlign w:val="bottom"/>
          </w:tcPr>
          <w:p>
            <w:pPr>
              <w:jc w:val="right"/>
              <w:spacing w:after="0"/>
              <w:rPr>
                <w:sz w:val="20"/>
                <w:szCs w:val="20"/>
                <w:color w:val="auto"/>
              </w:rPr>
            </w:pPr>
            <w:r>
              <w:rPr>
                <w:rFonts w:ascii="Arial" w:cs="Arial" w:eastAsia="Arial" w:hAnsi="Arial"/>
                <w:sz w:val="16"/>
                <w:szCs w:val="16"/>
                <w:color w:val="auto"/>
              </w:rPr>
              <w:t>16 - 18</w:t>
            </w:r>
          </w:p>
        </w:tc>
      </w:tr>
      <w:tr>
        <w:trPr>
          <w:trHeight w:val="350"/>
        </w:trPr>
        <w:tc>
          <w:tcPr>
            <w:tcW w:w="7060" w:type="dxa"/>
            <w:vAlign w:val="bottom"/>
            <w:gridSpan w:val="2"/>
          </w:tcPr>
          <w:p>
            <w:pPr>
              <w:spacing w:after="0"/>
              <w:rPr>
                <w:sz w:val="20"/>
                <w:szCs w:val="20"/>
                <w:color w:val="auto"/>
              </w:rPr>
            </w:pPr>
            <w:r>
              <w:rPr>
                <w:rFonts w:ascii="Arial" w:cs="Arial" w:eastAsia="Arial" w:hAnsi="Arial"/>
                <w:sz w:val="16"/>
                <w:szCs w:val="16"/>
                <w:color w:val="auto"/>
              </w:rPr>
              <w:t>Notes to the consolidated financial statements</w:t>
            </w:r>
          </w:p>
        </w:tc>
        <w:tc>
          <w:tcPr>
            <w:tcW w:w="4200" w:type="dxa"/>
            <w:vAlign w:val="bottom"/>
          </w:tcPr>
          <w:p>
            <w:pPr>
              <w:jc w:val="right"/>
              <w:spacing w:after="0"/>
              <w:rPr>
                <w:sz w:val="20"/>
                <w:szCs w:val="20"/>
                <w:color w:val="auto"/>
              </w:rPr>
            </w:pPr>
            <w:r>
              <w:rPr>
                <w:rFonts w:ascii="Arial" w:cs="Arial" w:eastAsia="Arial" w:hAnsi="Arial"/>
                <w:sz w:val="16"/>
                <w:szCs w:val="16"/>
                <w:color w:val="auto"/>
              </w:rPr>
              <w:t>19 - 170</w:t>
            </w:r>
          </w:p>
        </w:tc>
      </w:tr>
      <w:tr>
        <w:trPr>
          <w:trHeight w:val="320"/>
        </w:trPr>
        <w:tc>
          <w:tcPr>
            <w:tcW w:w="320" w:type="dxa"/>
            <w:vAlign w:val="bottom"/>
          </w:tcPr>
          <w:p>
            <w:pPr>
              <w:spacing w:after="0"/>
              <w:rPr>
                <w:sz w:val="20"/>
                <w:szCs w:val="20"/>
                <w:color w:val="auto"/>
              </w:rPr>
            </w:pPr>
            <w:r>
              <w:rPr>
                <w:rFonts w:ascii="Arial" w:cs="Arial" w:eastAsia="Arial" w:hAnsi="Arial"/>
                <w:sz w:val="16"/>
                <w:szCs w:val="16"/>
                <w:color w:val="auto"/>
              </w:rPr>
              <w:t>S/</w:t>
            </w:r>
          </w:p>
        </w:tc>
        <w:tc>
          <w:tcPr>
            <w:tcW w:w="6740" w:type="dxa"/>
            <w:vAlign w:val="bottom"/>
          </w:tcPr>
          <w:p>
            <w:pPr>
              <w:ind w:left="120"/>
              <w:spacing w:after="0"/>
              <w:rPr>
                <w:sz w:val="20"/>
                <w:szCs w:val="20"/>
                <w:color w:val="auto"/>
              </w:rPr>
            </w:pPr>
            <w:r>
              <w:rPr>
                <w:rFonts w:ascii="Arial" w:cs="Arial" w:eastAsia="Arial" w:hAnsi="Arial"/>
                <w:sz w:val="16"/>
                <w:szCs w:val="16"/>
                <w:color w:val="auto"/>
              </w:rPr>
              <w:t>= Sol</w:t>
            </w:r>
          </w:p>
        </w:tc>
        <w:tc>
          <w:tcPr>
            <w:tcW w:w="4200" w:type="dxa"/>
            <w:vAlign w:val="bottom"/>
          </w:tcPr>
          <w:p>
            <w:pPr>
              <w:spacing w:after="0"/>
              <w:rPr>
                <w:sz w:val="24"/>
                <w:szCs w:val="24"/>
                <w:color w:val="auto"/>
              </w:rPr>
            </w:pPr>
          </w:p>
        </w:tc>
      </w:tr>
      <w:tr>
        <w:trPr>
          <w:trHeight w:val="175"/>
        </w:trPr>
        <w:tc>
          <w:tcPr>
            <w:tcW w:w="7060" w:type="dxa"/>
            <w:vAlign w:val="bottom"/>
            <w:gridSpan w:val="2"/>
          </w:tcPr>
          <w:p>
            <w:pPr>
              <w:spacing w:after="0" w:line="175" w:lineRule="exact"/>
              <w:rPr>
                <w:sz w:val="20"/>
                <w:szCs w:val="20"/>
                <w:color w:val="auto"/>
              </w:rPr>
            </w:pPr>
            <w:r>
              <w:rPr>
                <w:rFonts w:ascii="Arial" w:cs="Arial" w:eastAsia="Arial" w:hAnsi="Arial"/>
                <w:sz w:val="16"/>
                <w:szCs w:val="16"/>
                <w:color w:val="auto"/>
              </w:rPr>
              <w:t>US$  = U.S. Dollar</w:t>
            </w:r>
          </w:p>
        </w:tc>
        <w:tc>
          <w:tcPr>
            <w:tcW w:w="4200" w:type="dxa"/>
            <w:vAlign w:val="bottom"/>
          </w:tcPr>
          <w:p>
            <w:pPr>
              <w:spacing w:after="0"/>
              <w:rPr>
                <w:sz w:val="15"/>
                <w:szCs w:val="15"/>
                <w:color w:val="auto"/>
              </w:rPr>
            </w:pPr>
          </w:p>
        </w:tc>
      </w:tr>
      <w:tr>
        <w:trPr>
          <w:trHeight w:val="189"/>
        </w:trPr>
        <w:tc>
          <w:tcPr>
            <w:tcW w:w="320" w:type="dxa"/>
            <w:vAlign w:val="bottom"/>
          </w:tcPr>
          <w:p>
            <w:pPr>
              <w:spacing w:after="0"/>
              <w:rPr>
                <w:sz w:val="20"/>
                <w:szCs w:val="20"/>
                <w:color w:val="auto"/>
              </w:rPr>
            </w:pPr>
            <w:r>
              <w:rPr>
                <w:rFonts w:ascii="Arial" w:cs="Arial" w:eastAsia="Arial" w:hAnsi="Arial"/>
                <w:sz w:val="16"/>
                <w:szCs w:val="16"/>
                <w:color w:val="auto"/>
              </w:rPr>
              <w:t>Bs</w:t>
            </w:r>
          </w:p>
        </w:tc>
        <w:tc>
          <w:tcPr>
            <w:tcW w:w="6740" w:type="dxa"/>
            <w:vAlign w:val="bottom"/>
          </w:tcPr>
          <w:p>
            <w:pPr>
              <w:ind w:left="120"/>
              <w:spacing w:after="0"/>
              <w:rPr>
                <w:sz w:val="20"/>
                <w:szCs w:val="20"/>
                <w:color w:val="auto"/>
              </w:rPr>
            </w:pPr>
            <w:r>
              <w:rPr>
                <w:rFonts w:ascii="Arial" w:cs="Arial" w:eastAsia="Arial" w:hAnsi="Arial"/>
                <w:sz w:val="16"/>
                <w:szCs w:val="16"/>
                <w:color w:val="auto"/>
              </w:rPr>
              <w:t>= Boliviano</w:t>
            </w:r>
          </w:p>
        </w:tc>
        <w:tc>
          <w:tcPr>
            <w:tcW w:w="4200" w:type="dxa"/>
            <w:vAlign w:val="bottom"/>
          </w:tcPr>
          <w:p>
            <w:pPr>
              <w:spacing w:after="0"/>
              <w:rPr>
                <w:sz w:val="16"/>
                <w:szCs w:val="16"/>
                <w:color w:val="auto"/>
              </w:rPr>
            </w:pPr>
          </w:p>
        </w:tc>
      </w:tr>
    </w:tbl>
    <w:p>
      <w:pPr>
        <w:ind w:left="447" w:hanging="447"/>
        <w:spacing w:after="0" w:line="228" w:lineRule="auto"/>
        <w:tabs>
          <w:tab w:leader="none" w:pos="447" w:val="left"/>
        </w:tabs>
        <w:numPr>
          <w:ilvl w:val="0"/>
          <w:numId w:val="1"/>
        </w:numPr>
        <w:rPr>
          <w:rFonts w:ascii="Arial" w:cs="Arial" w:eastAsia="Arial" w:hAnsi="Arial"/>
          <w:sz w:val="16"/>
          <w:szCs w:val="16"/>
          <w:color w:val="auto"/>
        </w:rPr>
      </w:pPr>
      <w:r>
        <w:rPr>
          <w:rFonts w:ascii="Arial" w:cs="Arial" w:eastAsia="Arial" w:hAnsi="Arial"/>
          <w:sz w:val="16"/>
          <w:szCs w:val="16"/>
          <w:color w:val="auto"/>
        </w:rPr>
        <w:t>= Colombian Peso</w:t>
      </w:r>
    </w:p>
    <w:p>
      <w:pPr>
        <w:ind w:left="7" w:right="9700" w:hanging="7"/>
        <w:spacing w:after="0" w:line="305" w:lineRule="auto"/>
        <w:tabs>
          <w:tab w:leader="none" w:pos="462" w:val="left"/>
        </w:tabs>
        <w:numPr>
          <w:ilvl w:val="0"/>
          <w:numId w:val="1"/>
        </w:numPr>
        <w:rPr>
          <w:rFonts w:ascii="Arial" w:cs="Arial" w:eastAsia="Arial" w:hAnsi="Arial"/>
          <w:sz w:val="14"/>
          <w:szCs w:val="14"/>
          <w:color w:val="auto"/>
        </w:rPr>
      </w:pPr>
      <w:r>
        <w:rPr>
          <w:rFonts w:ascii="Arial" w:cs="Arial" w:eastAsia="Arial" w:hAnsi="Arial"/>
          <w:sz w:val="14"/>
          <w:szCs w:val="14"/>
          <w:color w:val="auto"/>
        </w:rPr>
        <w:t>= Chilean Peso ¥, Yen= Japanese 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715073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5" w:name="page6"/>
    <w:bookmarkEnd w:id="5"/>
    <w:p>
      <w:pPr>
        <w:ind w:left="1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659765" cy="726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59765" cy="726440"/>
                    </a:xfrm>
                    <a:prstGeom prst="rect">
                      <a:avLst/>
                    </a:prstGeom>
                    <a:noFill/>
                  </pic:spPr>
                </pic:pic>
              </a:graphicData>
            </a:graphic>
          </wp:anchor>
        </w:drawing>
        <w:t>Tanaka, Valdivia &amp; Asociados</w:t>
      </w:r>
    </w:p>
    <w:p>
      <w:pPr>
        <w:spacing w:after="0" w:line="7"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Sociedad Civil de R. 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Report of the Independent Auditors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Directors of Credicorp Ltd.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Opinion</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We have audited the consolidated financial statements of Credicorp Ltd. and Subsidiaries (hereinafter "the Group"), which comprise the consolidated statement of financial position as at December 31, 2024, and the consolidated statements of income, comprehensive income, changes in equity and cash flows for the year then ended; as well as the explanatory notes to the consolidated financial statements, which include a summary of material accounting policies.</w:t>
      </w:r>
    </w:p>
    <w:p>
      <w:pPr>
        <w:spacing w:after="0" w:line="111"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In our opinion, the accompanying consolidated financial statements present fairly, in all material respects, the consolidated financial position of the Group as at December 31, 2024, and its consolidated financial performance and cash flows for the year then ended, in accordance with IFRS Accounting Standards issued by the International Accounting Standards Board.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for opinion</w:t>
      </w:r>
    </w:p>
    <w:p>
      <w:pPr>
        <w:spacing w:after="0" w:line="166"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 xml:space="preserve">We conduct our audit in accordance with the International Standards on Auditing (ISAs) approved for application in Peru by the Board of Deans of Associations of Public Accountants of Peru. Our responsibilities under these standards are described in more detail in the </w:t>
      </w:r>
      <w:r>
        <w:rPr>
          <w:rFonts w:ascii="Arial" w:cs="Arial" w:eastAsia="Arial" w:hAnsi="Arial"/>
          <w:sz w:val="14"/>
          <w:szCs w:val="14"/>
          <w:i w:val="1"/>
          <w:iCs w:val="1"/>
          <w:color w:val="auto"/>
        </w:rPr>
        <w:t>Auditor's responsibilities for the audit of the consolidated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financial statements </w:t>
      </w:r>
      <w:r>
        <w:rPr>
          <w:rFonts w:ascii="Arial" w:cs="Arial" w:eastAsia="Arial" w:hAnsi="Arial"/>
          <w:sz w:val="14"/>
          <w:szCs w:val="14"/>
          <w:color w:val="auto"/>
        </w:rPr>
        <w:t>section of our report. We are independent of the Group in accordance with the International Ethics Standards Board for Accountants’</w:t>
      </w:r>
      <w:r>
        <w:rPr>
          <w:rFonts w:ascii="Arial" w:cs="Arial" w:eastAsia="Arial" w:hAnsi="Arial"/>
          <w:sz w:val="14"/>
          <w:szCs w:val="14"/>
          <w:i w:val="1"/>
          <w:iCs w:val="1"/>
          <w:color w:val="auto"/>
        </w:rPr>
        <w:t xml:space="preserve"> </w:t>
      </w:r>
      <w:r>
        <w:rPr>
          <w:rFonts w:ascii="Arial" w:cs="Arial" w:eastAsia="Arial" w:hAnsi="Arial"/>
          <w:sz w:val="14"/>
          <w:szCs w:val="14"/>
          <w:color w:val="auto"/>
        </w:rPr>
        <w:t>International Code of Ethics for Professional Accountants (including International Independence Standards) (IESBA Code) together with the ethical requirements that are relevant to our audit of the financial statements in Peru, and we have complied with our other ethical responsibilities in accordance with these requirements and the IESBA Code. We believe that the audit evidence we have obtained is sufficient and appropriate to provide a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Key Audit Matters</w:t>
      </w:r>
    </w:p>
    <w:p>
      <w:pPr>
        <w:spacing w:after="0" w:line="16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Key audit matters are those matters that, in our professional judgment, were of the greatest importance in the audit of the financial statements for the current period. These matters were addressed in the context of the audit of the financial statements as a whole, and in forming our opinion thereon; so we do not provide a separate opinion on these matters. Based on the above, below is how each key issue was addressed during our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1324610</wp:posOffset>
            </wp:positionV>
            <wp:extent cx="715073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1460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102235</wp:posOffset>
            </wp:positionV>
            <wp:extent cx="4683125" cy="1022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83125" cy="1022350"/>
                    </a:xfrm>
                    <a:prstGeom prst="rect">
                      <a:avLst/>
                    </a:prstGeom>
                    <a:noFill/>
                  </pic:spPr>
                </pic:pic>
              </a:graphicData>
            </a:graphic>
          </wp:anchor>
        </w:drawing>
      </w:r>
    </w:p>
    <w:p>
      <w:pPr>
        <w:sectPr>
          <w:pgSz w:w="11900" w:h="16838" w:orient="portrait"/>
          <w:cols w:equalWidth="0" w:num="1">
            <w:col w:w="11200"/>
          </w:cols>
          <w:pgMar w:left="320" w:top="520" w:right="379" w:bottom="1440" w:gutter="0" w:footer="0" w:header="0"/>
        </w:sectPr>
      </w:pPr>
    </w:p>
    <w:bookmarkStart w:id="6" w:name="page7"/>
    <w:bookmarkEnd w:id="6"/>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659765" cy="726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59765" cy="7264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Report of the Independent Auditors (continued)</w:t>
      </w:r>
    </w:p>
    <w:p>
      <w:pPr>
        <w:spacing w:after="0" w:line="166" w:lineRule="exact"/>
        <w:rPr>
          <w:sz w:val="20"/>
          <w:szCs w:val="20"/>
          <w:color w:val="auto"/>
        </w:rPr>
      </w:pPr>
    </w:p>
    <w:p>
      <w:pPr>
        <w:ind w:right="380"/>
        <w:spacing w:after="0" w:line="238" w:lineRule="auto"/>
        <w:rPr>
          <w:sz w:val="20"/>
          <w:szCs w:val="20"/>
          <w:color w:val="auto"/>
        </w:rPr>
      </w:pPr>
      <w:r>
        <w:rPr>
          <w:rFonts w:ascii="Arial" w:cs="Arial" w:eastAsia="Arial" w:hAnsi="Arial"/>
          <w:sz w:val="16"/>
          <w:szCs w:val="16"/>
          <w:color w:val="auto"/>
        </w:rPr>
        <w:t>We have complied with the responsibilities described in Auditor's responsibilities for the audit of the consolidated financial statements section of our report, including in relation to these matters. Accordingly, our audit included the performance of procedures designed to respond to the risks of material misstatement assessed in the consolidated financial statements. The results of the audit procedures, including the procedures undertaken to address the matters mentioned below, form the basis for the audit opinion on the accompanying consolidated financial statements.</w:t>
      </w:r>
    </w:p>
    <w:p>
      <w:pPr>
        <w:spacing w:after="0" w:line="143"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6"/>
          <w:szCs w:val="16"/>
          <w:b w:val="1"/>
          <w:bCs w:val="1"/>
          <w:color w:val="auto"/>
        </w:rPr>
        <w:t>Key Audit Matters</w:t>
      </w:r>
      <w:r>
        <w:rPr>
          <w:sz w:val="20"/>
          <w:szCs w:val="20"/>
          <w:color w:val="auto"/>
        </w:rPr>
        <w:tab/>
      </w:r>
      <w:r>
        <w:rPr>
          <w:rFonts w:ascii="Arial" w:cs="Arial" w:eastAsia="Arial" w:hAnsi="Arial"/>
          <w:sz w:val="14"/>
          <w:szCs w:val="14"/>
          <w:b w:val="1"/>
          <w:bCs w:val="1"/>
          <w:color w:val="auto"/>
        </w:rPr>
        <w:t>Audit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507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Information Technology (IT) environment</w:t>
      </w:r>
    </w:p>
    <w:p>
      <w:pPr>
        <w:sectPr>
          <w:pgSz w:w="11900" w:h="16838" w:orient="portrait"/>
          <w:cols w:equalWidth="0" w:num="1">
            <w:col w:w="11240"/>
          </w:cols>
          <w:pgMar w:left="320" w:top="1440" w:right="339" w:bottom="1440" w:gutter="0" w:footer="0" w:header="0"/>
        </w:sectPr>
      </w:pPr>
    </w:p>
    <w:p>
      <w:pPr>
        <w:spacing w:after="0" w:line="187" w:lineRule="exact"/>
        <w:rPr>
          <w:sz w:val="20"/>
          <w:szCs w:val="20"/>
          <w:color w:val="auto"/>
        </w:rPr>
      </w:pPr>
    </w:p>
    <w:p>
      <w:pPr>
        <w:ind w:left="120" w:right="80"/>
        <w:spacing w:after="0" w:line="233" w:lineRule="auto"/>
        <w:rPr>
          <w:sz w:val="20"/>
          <w:szCs w:val="20"/>
          <w:color w:val="auto"/>
        </w:rPr>
      </w:pPr>
      <w:r>
        <w:rPr>
          <w:rFonts w:ascii="Arial" w:cs="Arial" w:eastAsia="Arial" w:hAnsi="Arial"/>
          <w:sz w:val="16"/>
          <w:szCs w:val="16"/>
          <w:color w:val="auto"/>
        </w:rPr>
        <w:t>The Group's information technology (IT) environment consists of an infrastructure of a large number of key systems for the processing of its operations, accounting records and preparation of its consolidated financial statements. In addition, the Group's Management has designed a series of automatic controls, interfaces between the systems and executed calculations of the applications; with the aim of ensuring the completeness and accuracy of accounting records and accurate financial reports, thus mitigating the potential risk of fraud or error.</w:t>
      </w:r>
    </w:p>
    <w:p>
      <w:pPr>
        <w:spacing w:after="0" w:line="146" w:lineRule="exact"/>
        <w:rPr>
          <w:sz w:val="20"/>
          <w:szCs w:val="20"/>
          <w:color w:val="auto"/>
        </w:rPr>
      </w:pPr>
    </w:p>
    <w:p>
      <w:pPr>
        <w:ind w:left="120"/>
        <w:spacing w:after="0" w:line="236" w:lineRule="auto"/>
        <w:rPr>
          <w:sz w:val="20"/>
          <w:szCs w:val="20"/>
          <w:color w:val="auto"/>
        </w:rPr>
      </w:pPr>
      <w:r>
        <w:rPr>
          <w:rFonts w:ascii="Arial" w:cs="Arial" w:eastAsia="Arial" w:hAnsi="Arial"/>
          <w:sz w:val="16"/>
          <w:szCs w:val="16"/>
          <w:color w:val="auto"/>
        </w:rPr>
        <w:t>For the above reasons, we consider the information technology environment to be a key matter, given that the Group depends on the efficient and continuous operation of IT applications as well as their automatic controls, so there is a risk that breaches in the IT control environment may result in accounting records being materially misstated.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Expected credit loss on the loan portfolio</w:t>
      </w:r>
    </w:p>
    <w:p>
      <w:pPr>
        <w:spacing w:after="0" w:line="168" w:lineRule="exact"/>
        <w:rPr>
          <w:sz w:val="20"/>
          <w:szCs w:val="20"/>
          <w:color w:val="auto"/>
        </w:rPr>
      </w:pPr>
    </w:p>
    <w:p>
      <w:pPr>
        <w:ind w:left="120" w:right="60"/>
        <w:spacing w:after="0" w:line="238" w:lineRule="auto"/>
        <w:rPr>
          <w:sz w:val="20"/>
          <w:szCs w:val="20"/>
          <w:color w:val="auto"/>
        </w:rPr>
      </w:pPr>
      <w:r>
        <w:rPr>
          <w:rFonts w:ascii="Arial" w:cs="Arial" w:eastAsia="Arial" w:hAnsi="Arial"/>
          <w:sz w:val="16"/>
          <w:szCs w:val="16"/>
          <w:color w:val="auto"/>
        </w:rPr>
        <w:t>As described in notes 3(j), 7 and 30.1, the measurement of the expected credit loss (ECL) estimate for the loan portfolio is determined in accordance with the requirements of an ECL model. This model employs the probability of default (PD) as one of its key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412750</wp:posOffset>
            </wp:positionV>
            <wp:extent cx="715073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With the support of our Information Technology (IT) specialists, our audit efforts focused on the key systems related to the processing of operations, accounting records and preparation of the Group's consolidated financial statements, for which we perform the following procedures:</w:t>
      </w:r>
    </w:p>
    <w:p>
      <w:pPr>
        <w:ind w:left="100" w:hanging="93"/>
        <w:spacing w:after="0" w:line="231" w:lineRule="auto"/>
        <w:tabs>
          <w:tab w:leader="none" w:pos="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Evaluation of the Group's IT governance framework.</w:t>
      </w:r>
    </w:p>
    <w:p>
      <w:pPr>
        <w:ind w:right="440" w:firstLine="7"/>
        <w:spacing w:after="0" w:line="228" w:lineRule="auto"/>
        <w:tabs>
          <w:tab w:leader="none" w:pos="95" w:val="left"/>
        </w:tabs>
        <w:numPr>
          <w:ilvl w:val="0"/>
          <w:numId w:val="2"/>
        </w:numPr>
        <w:rPr>
          <w:rFonts w:ascii="Arial" w:cs="Arial" w:eastAsia="Arial" w:hAnsi="Arial"/>
          <w:sz w:val="16"/>
          <w:szCs w:val="16"/>
          <w:color w:val="auto"/>
        </w:rPr>
      </w:pPr>
      <w:r>
        <w:rPr>
          <w:rFonts w:ascii="Arial" w:cs="Arial" w:eastAsia="Arial" w:hAnsi="Arial"/>
          <w:sz w:val="16"/>
          <w:szCs w:val="16"/>
          <w:color w:val="auto"/>
        </w:rPr>
        <w:t>Understanding of the control environment and identification of risks of IT processes.</w:t>
      </w:r>
    </w:p>
    <w:p>
      <w:pPr>
        <w:ind w:right="100" w:firstLine="7"/>
        <w:spacing w:after="0" w:line="228" w:lineRule="auto"/>
        <w:tabs>
          <w:tab w:leader="none" w:pos="95" w:val="left"/>
        </w:tabs>
        <w:numPr>
          <w:ilvl w:val="0"/>
          <w:numId w:val="2"/>
        </w:numPr>
        <w:rPr>
          <w:rFonts w:ascii="Arial" w:cs="Arial" w:eastAsia="Arial" w:hAnsi="Arial"/>
          <w:sz w:val="16"/>
          <w:szCs w:val="16"/>
          <w:color w:val="auto"/>
        </w:rPr>
      </w:pPr>
      <w:r>
        <w:rPr>
          <w:rFonts w:ascii="Arial" w:cs="Arial" w:eastAsia="Arial" w:hAnsi="Arial"/>
          <w:sz w:val="16"/>
          <w:szCs w:val="16"/>
          <w:color w:val="auto"/>
        </w:rPr>
        <w:t>Testing key controls over application and data access management, program changes and application development and IT operations.</w:t>
      </w:r>
    </w:p>
    <w:p>
      <w:pPr>
        <w:ind w:right="480" w:firstLine="7"/>
        <w:spacing w:after="0" w:line="260" w:lineRule="auto"/>
        <w:tabs>
          <w:tab w:leader="none" w:pos="95" w:val="left"/>
        </w:tabs>
        <w:numPr>
          <w:ilvl w:val="0"/>
          <w:numId w:val="2"/>
        </w:numPr>
        <w:rPr>
          <w:rFonts w:ascii="Arial" w:cs="Arial" w:eastAsia="Arial" w:hAnsi="Arial"/>
          <w:sz w:val="14"/>
          <w:szCs w:val="14"/>
          <w:color w:val="auto"/>
        </w:rPr>
      </w:pPr>
      <w:r>
        <w:rPr>
          <w:rFonts w:ascii="Arial" w:cs="Arial" w:eastAsia="Arial" w:hAnsi="Arial"/>
          <w:sz w:val="14"/>
          <w:szCs w:val="14"/>
          <w:color w:val="auto"/>
        </w:rPr>
        <w:t>Testing of the design and operational effectiveness of the key automatic controls identified in the various relevant processes of the Group.</w:t>
      </w:r>
    </w:p>
    <w:p>
      <w:pPr>
        <w:spacing w:after="0" w:line="1" w:lineRule="exact"/>
        <w:rPr>
          <w:rFonts w:ascii="Arial" w:cs="Arial" w:eastAsia="Arial" w:hAnsi="Arial"/>
          <w:sz w:val="14"/>
          <w:szCs w:val="14"/>
          <w:color w:val="auto"/>
        </w:rPr>
      </w:pPr>
    </w:p>
    <w:p>
      <w:pPr>
        <w:ind w:right="1000" w:firstLine="7"/>
        <w:spacing w:after="0" w:line="238" w:lineRule="auto"/>
        <w:tabs>
          <w:tab w:leader="none" w:pos="95" w:val="left"/>
        </w:tabs>
        <w:numPr>
          <w:ilvl w:val="0"/>
          <w:numId w:val="2"/>
        </w:numPr>
        <w:rPr>
          <w:rFonts w:ascii="Arial" w:cs="Arial" w:eastAsia="Arial" w:hAnsi="Arial"/>
          <w:sz w:val="16"/>
          <w:szCs w:val="16"/>
          <w:color w:val="auto"/>
        </w:rPr>
      </w:pPr>
      <w:r>
        <w:rPr>
          <w:rFonts w:ascii="Arial" w:cs="Arial" w:eastAsia="Arial" w:hAnsi="Arial"/>
          <w:sz w:val="16"/>
          <w:szCs w:val="16"/>
          <w:color w:val="auto"/>
        </w:rPr>
        <w:t>Testing of the design and operational effectiveness of applicable compensation controls.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We obtained an understanding, evaluated the design, and tested the operating effectiveness of management’s controls over the calculation of the allowance for loan losses. The controls we tested related, among others, to the significant assumptions described above, which included controls over the calculation of the PD, including the data inputs used and the governance and oversight controls over the review of the overall ECL model and the related calculation.</w:t>
      </w:r>
    </w:p>
    <w:p>
      <w:pPr>
        <w:sectPr>
          <w:pgSz w:w="11900" w:h="16838" w:orient="portrait"/>
          <w:cols w:equalWidth="0" w:num="2">
            <w:col w:w="5580" w:space="160"/>
            <w:col w:w="5500"/>
          </w:cols>
          <w:pgMar w:left="320" w:top="1440" w:right="339" w:bottom="1440" w:gutter="0" w:footer="0" w:header="0"/>
          <w:type w:val="continuous"/>
        </w:sectPr>
      </w:pPr>
    </w:p>
    <w:bookmarkStart w:id="7" w:name="page8"/>
    <w:bookmarkEnd w:id="7"/>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659765" cy="726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59765" cy="7264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Report of the Independent Auditors (continued)</w:t>
      </w:r>
    </w:p>
    <w:p>
      <w:pPr>
        <w:spacing w:after="0" w:line="164"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6"/>
          <w:szCs w:val="16"/>
          <w:b w:val="1"/>
          <w:bCs w:val="1"/>
          <w:color w:val="auto"/>
        </w:rPr>
        <w:t>Key Audit Matters</w:t>
      </w:r>
      <w:r>
        <w:rPr>
          <w:sz w:val="20"/>
          <w:szCs w:val="20"/>
          <w:color w:val="auto"/>
        </w:rPr>
        <w:tab/>
      </w:r>
      <w:r>
        <w:rPr>
          <w:rFonts w:ascii="Arial" w:cs="Arial" w:eastAsia="Arial" w:hAnsi="Arial"/>
          <w:sz w:val="14"/>
          <w:szCs w:val="14"/>
          <w:b w:val="1"/>
          <w:bCs w:val="1"/>
          <w:color w:val="auto"/>
        </w:rPr>
        <w:t>Audit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507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19" w:lineRule="exact"/>
        <w:rPr>
          <w:sz w:val="20"/>
          <w:szCs w:val="20"/>
          <w:color w:val="auto"/>
        </w:rPr>
      </w:pPr>
    </w:p>
    <w:p>
      <w:pPr>
        <w:ind w:left="120"/>
        <w:spacing w:after="0" w:line="231" w:lineRule="auto"/>
        <w:rPr>
          <w:sz w:val="20"/>
          <w:szCs w:val="20"/>
          <w:color w:val="auto"/>
        </w:rPr>
      </w:pPr>
      <w:r>
        <w:rPr>
          <w:rFonts w:ascii="Arial" w:cs="Arial" w:eastAsia="Arial" w:hAnsi="Arial"/>
          <w:sz w:val="16"/>
          <w:szCs w:val="16"/>
          <w:color w:val="auto"/>
        </w:rPr>
        <w:t>Auditing the allowance for loan losses was complex and required the application of significant auditor effort in evaluating management’s calculation due to the inherent complexity related to the PD assumption, including the forward-looking forecasts for multiple economic scenarios and their probability weighting. The ECL is a significant estimate for which variations in model methodology, assumptions and judgments can have a material effect on the measurement of the allowance for loan losses.</w:t>
      </w:r>
    </w:p>
    <w:p>
      <w:pPr>
        <w:spacing w:after="0" w:line="20" w:lineRule="exact"/>
        <w:rPr>
          <w:sz w:val="20"/>
          <w:szCs w:val="20"/>
          <w:color w:val="auto"/>
        </w:rPr>
      </w:pPr>
      <w:r>
        <w:rPr>
          <w:sz w:val="20"/>
          <w:szCs w:val="20"/>
          <w:color w:val="auto"/>
        </w:rPr>
        <w:br w:type="column"/>
      </w:r>
    </w:p>
    <w:p>
      <w:pPr>
        <w:ind w:right="60"/>
        <w:spacing w:after="0" w:line="265" w:lineRule="auto"/>
        <w:rPr>
          <w:sz w:val="20"/>
          <w:szCs w:val="20"/>
          <w:color w:val="auto"/>
        </w:rPr>
      </w:pPr>
      <w:r>
        <w:rPr>
          <w:rFonts w:ascii="Arial" w:cs="Arial" w:eastAsia="Arial" w:hAnsi="Arial"/>
          <w:sz w:val="14"/>
          <w:szCs w:val="14"/>
          <w:color w:val="auto"/>
        </w:rPr>
        <w:t>Our audit procedures, in which we involved professionals with specialized skills and knowledge in matters related to allowance for loan losses in accordance with IFRS 9, Financial Instruments, included, among others, assessing whether the methodology and assumptions used to estimate the ECL were consistent with the requirements of IFRS 9. We also performed an independent recalculation of the allowance for loan losses for a sample of loan portfolio, with an emphasis on the PD assumption due to its relevance within the ECL measurement and assessed the reasonableness of certain forward-looking assumptions used in the determination of the PD using publicly available information from third-party sources. We also assessed the adequacy of the related disclosures included in the consolidated financial statements.</w:t>
      </w:r>
    </w:p>
    <w:p>
      <w:pPr>
        <w:spacing w:after="0" w:line="200" w:lineRule="exact"/>
        <w:rPr>
          <w:sz w:val="20"/>
          <w:szCs w:val="20"/>
          <w:color w:val="auto"/>
        </w:rPr>
      </w:pPr>
    </w:p>
    <w:p>
      <w:pPr>
        <w:sectPr>
          <w:pgSz w:w="11900" w:h="16838" w:orient="portrait"/>
          <w:cols w:equalWidth="0" w:num="2">
            <w:col w:w="5620" w:space="120"/>
            <w:col w:w="5520"/>
          </w:cols>
          <w:pgMar w:left="320" w:top="1440" w:right="319" w:bottom="1440" w:gutter="0" w:footer="0" w:header="0"/>
          <w:type w:val="continuous"/>
        </w:sectPr>
      </w:pPr>
    </w:p>
    <w:p>
      <w:pPr>
        <w:spacing w:after="0" w:line="1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Valuation of the liability for life insurance contracts under the general measurement model</w:t>
      </w:r>
    </w:p>
    <w:p>
      <w:pPr>
        <w:sectPr>
          <w:pgSz w:w="11900" w:h="16838" w:orient="portrait"/>
          <w:cols w:equalWidth="0" w:num="1">
            <w:col w:w="11260"/>
          </w:cols>
          <w:pgMar w:left="320" w:top="1440" w:right="319" w:bottom="1440" w:gutter="0" w:footer="0" w:header="0"/>
          <w:type w:val="continuous"/>
        </w:sectPr>
      </w:pPr>
    </w:p>
    <w:p>
      <w:pPr>
        <w:spacing w:after="0" w:line="191" w:lineRule="exact"/>
        <w:rPr>
          <w:sz w:val="20"/>
          <w:szCs w:val="20"/>
          <w:color w:val="auto"/>
        </w:rPr>
      </w:pPr>
    </w:p>
    <w:p>
      <w:pPr>
        <w:ind w:left="120"/>
        <w:spacing w:after="0" w:line="271" w:lineRule="auto"/>
        <w:rPr>
          <w:sz w:val="20"/>
          <w:szCs w:val="20"/>
          <w:color w:val="auto"/>
        </w:rPr>
      </w:pPr>
      <w:r>
        <w:rPr>
          <w:rFonts w:ascii="Arial" w:cs="Arial" w:eastAsia="Arial" w:hAnsi="Arial"/>
          <w:sz w:val="14"/>
          <w:szCs w:val="14"/>
          <w:color w:val="333333"/>
        </w:rPr>
        <w:t>As described in notes 3(e), 8, and 30.9 of the Group's consolidated financial statements, the liability for life insurance contracts under the general measurement model is calculated as the sum of the projected cash flows related to each portfolio of insurance contracts, considering their probability of occurrence. These projections include only the cash flows within the boundary of each contract in the portfolio. The cash flows are calculated based on current mortality tables and prevailing discount rates as key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179705</wp:posOffset>
            </wp:positionV>
            <wp:extent cx="715073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We obtained an understanding, evaluated the design, and tested the operating effectiveness of management’s controls, related to the liability for life insurance contracts under the general measurement model. The controls we tested related, among others, to the governance and oversight controls over the review of the actuarial models, the related assumptions and data inputs used.</w:t>
      </w:r>
    </w:p>
    <w:p>
      <w:pPr>
        <w:sectPr>
          <w:pgSz w:w="11900" w:h="16838" w:orient="portrait"/>
          <w:cols w:equalWidth="0" w:num="2">
            <w:col w:w="5580" w:space="160"/>
            <w:col w:w="5520"/>
          </w:cols>
          <w:pgMar w:left="320" w:top="1440" w:right="319" w:bottom="1440" w:gutter="0" w:footer="0" w:header="0"/>
          <w:type w:val="continuous"/>
        </w:sectPr>
      </w:pPr>
    </w:p>
    <w:bookmarkStart w:id="8" w:name="page9"/>
    <w:bookmarkEnd w:id="8"/>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659765" cy="726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59765" cy="7264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Report of the Independent Auditors (continued)</w:t>
      </w:r>
    </w:p>
    <w:p>
      <w:pPr>
        <w:spacing w:after="0" w:line="164"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6"/>
          <w:szCs w:val="16"/>
          <w:b w:val="1"/>
          <w:bCs w:val="1"/>
          <w:color w:val="auto"/>
        </w:rPr>
        <w:t>Key Audit Matters</w:t>
      </w:r>
      <w:r>
        <w:rPr>
          <w:sz w:val="20"/>
          <w:szCs w:val="20"/>
          <w:color w:val="auto"/>
        </w:rPr>
        <w:tab/>
      </w:r>
      <w:r>
        <w:rPr>
          <w:rFonts w:ascii="Arial" w:cs="Arial" w:eastAsia="Arial" w:hAnsi="Arial"/>
          <w:sz w:val="14"/>
          <w:szCs w:val="14"/>
          <w:b w:val="1"/>
          <w:bCs w:val="1"/>
          <w:color w:val="auto"/>
        </w:rPr>
        <w:t>Audit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507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19" w:lineRule="exact"/>
        <w:rPr>
          <w:sz w:val="20"/>
          <w:szCs w:val="20"/>
          <w:color w:val="auto"/>
        </w:rPr>
      </w:pPr>
    </w:p>
    <w:p>
      <w:pPr>
        <w:ind w:left="120"/>
        <w:spacing w:after="0" w:line="231" w:lineRule="auto"/>
        <w:rPr>
          <w:sz w:val="20"/>
          <w:szCs w:val="20"/>
          <w:color w:val="auto"/>
        </w:rPr>
      </w:pPr>
      <w:r>
        <w:rPr>
          <w:rFonts w:ascii="Arial" w:cs="Arial" w:eastAsia="Arial" w:hAnsi="Arial"/>
          <w:sz w:val="16"/>
          <w:szCs w:val="16"/>
          <w:color w:val="auto"/>
        </w:rPr>
        <w:t>Auditing the liability for life insurance contracts under the general measurement model was complex and required the application of significant auditor judgment due to the complexity of the actuarial models, the selection and use of judgmental assumptions and the interrelationship of these variables in measuring the liability. Changes in these assumptions, particularly the discount interest rate, could materially affect the liability for life insurance contracts under the general measurement model.</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Arial" w:cs="Arial" w:eastAsia="Arial" w:hAnsi="Arial"/>
          <w:sz w:val="14"/>
          <w:szCs w:val="14"/>
          <w:color w:val="auto"/>
        </w:rPr>
        <w:t>Our audit procedures, in which we involved our actuarial specialists to assist in evaluating the reasonableness of the liability for life insurance contracts under the general measurement model, included, among others, the evaluation of the methodology, actuarial models and assumptions used by the Company to measure life insurance contract liabilities in accordance with IFRS 17, Insurance Contracts. We also tested the completeness and accuracy of the underlying data used in the measurement of the liability for life insurance contracts. Our actuarial specialists also performed an independent recalculation of the liability for life insurance contracts and evaluated the reasonableness of the discount interest rate used for a sample of contracts. We also assessed the adequacy of the related disclosures included in the consolidated financial statements.</w:t>
      </w:r>
    </w:p>
    <w:p>
      <w:pPr>
        <w:spacing w:after="0" w:line="131" w:lineRule="exact"/>
        <w:rPr>
          <w:sz w:val="20"/>
          <w:szCs w:val="20"/>
          <w:color w:val="auto"/>
        </w:rPr>
      </w:pPr>
    </w:p>
    <w:p>
      <w:pPr>
        <w:sectPr>
          <w:pgSz w:w="11900" w:h="16838" w:orient="portrait"/>
          <w:cols w:equalWidth="0" w:num="2">
            <w:col w:w="5580" w:space="160"/>
            <w:col w:w="5520"/>
          </w:cols>
          <w:pgMar w:left="320" w:top="1440" w:right="31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Other information included in the Group's 2024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 consists of the information included in the Annual Report, other than the consolidated financial statements and our audit report thereon.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Management is responsible for the other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opinion on the consolidated financial statements does not cover the other information and we do not express any form of assurance conclusion thereon.</w:t>
      </w:r>
    </w:p>
    <w:p>
      <w:pPr>
        <w:spacing w:after="0" w:line="166"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In connection with our audit of the consolidated financial statements, our responsibility is to read the other information and, in doing so, consider whether the other information is materially inconsistent with the consolidated financial statements or our knowledge gained in the audit or whether it otherwise appears to be materially misstated. If, based on the work we have done, we conclude that there is a material error in this other information, we are obliged to report that fact. We have nothing to report in this regard.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Responsibilities of the Group's management and those charged with corporate governance for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203835</wp:posOffset>
            </wp:positionV>
            <wp:extent cx="715073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9" w:name="page10"/>
    <w:bookmarkEnd w:id="9"/>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659765" cy="726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59765" cy="726440"/>
                    </a:xfrm>
                    <a:prstGeom prst="rect">
                      <a:avLst/>
                    </a:prstGeom>
                    <a:noFill/>
                  </pic:spPr>
                </pic:pic>
              </a:graphicData>
            </a:graphic>
          </wp:anchor>
        </w:drawing>
      </w:r>
    </w:p>
    <w:p>
      <w:pPr>
        <w:ind w:left="7"/>
        <w:spacing w:after="0"/>
        <w:rPr>
          <w:sz w:val="20"/>
          <w:szCs w:val="20"/>
          <w:color w:val="auto"/>
        </w:rPr>
      </w:pPr>
      <w:r>
        <w:rPr>
          <w:rFonts w:ascii="Arial" w:cs="Arial" w:eastAsia="Arial" w:hAnsi="Arial"/>
          <w:sz w:val="16"/>
          <w:szCs w:val="16"/>
          <w:color w:val="auto"/>
        </w:rPr>
        <w:t>Report of the Independent Auditors (continued)</w:t>
      </w:r>
    </w:p>
    <w:p>
      <w:pPr>
        <w:spacing w:after="0" w:line="166" w:lineRule="exact"/>
        <w:rPr>
          <w:sz w:val="20"/>
          <w:szCs w:val="20"/>
          <w:color w:val="auto"/>
        </w:rPr>
      </w:pPr>
    </w:p>
    <w:p>
      <w:pPr>
        <w:ind w:left="7" w:right="160"/>
        <w:spacing w:after="0" w:line="241" w:lineRule="auto"/>
        <w:rPr>
          <w:sz w:val="20"/>
          <w:szCs w:val="20"/>
          <w:color w:val="auto"/>
        </w:rPr>
      </w:pPr>
      <w:r>
        <w:rPr>
          <w:rFonts w:ascii="Arial" w:cs="Arial" w:eastAsia="Arial" w:hAnsi="Arial"/>
          <w:sz w:val="16"/>
          <w:szCs w:val="16"/>
          <w:color w:val="auto"/>
        </w:rPr>
        <w:t>Management is responsible for the preparation and fair presentation of the consolidated financial statements in accordance with IFRS Accounting Standards, and for such internal control as Management determines is necessary to enable the preparation of consolidated financial statements that are free from material misstatement, whether due to fraud or error.</w:t>
      </w:r>
    </w:p>
    <w:p>
      <w:pPr>
        <w:spacing w:after="0" w:line="146" w:lineRule="exact"/>
        <w:rPr>
          <w:sz w:val="20"/>
          <w:szCs w:val="20"/>
          <w:color w:val="auto"/>
        </w:rPr>
      </w:pPr>
    </w:p>
    <w:p>
      <w:pPr>
        <w:ind w:left="7" w:right="100"/>
        <w:spacing w:after="0" w:line="241" w:lineRule="auto"/>
        <w:rPr>
          <w:sz w:val="20"/>
          <w:szCs w:val="20"/>
          <w:color w:val="auto"/>
        </w:rPr>
      </w:pPr>
      <w:r>
        <w:rPr>
          <w:rFonts w:ascii="Arial" w:cs="Arial" w:eastAsia="Arial" w:hAnsi="Arial"/>
          <w:sz w:val="16"/>
          <w:szCs w:val="16"/>
          <w:color w:val="auto"/>
        </w:rPr>
        <w:t>In preparing the consolidated financial statements, Management is responsible for assessing the Group's ability to continue as a going concern, disclosing, as applicable, matters related to going concern and using the going concern basis of accounting unless management either or to cease operations, or has no realistic alternative but to do so.</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6"/>
          <w:szCs w:val="16"/>
          <w:color w:val="auto"/>
        </w:rPr>
        <w:t>Those charged with corporate governance are responsible for overseeing the Group's financial reporting.</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6"/>
          <w:szCs w:val="16"/>
          <w:i w:val="1"/>
          <w:iCs w:val="1"/>
          <w:color w:val="auto"/>
        </w:rPr>
        <w:t>Auditor's responsibilities for the audit of the consolidated financial statements</w:t>
      </w:r>
    </w:p>
    <w:p>
      <w:pPr>
        <w:spacing w:after="0" w:line="166" w:lineRule="exact"/>
        <w:rPr>
          <w:sz w:val="20"/>
          <w:szCs w:val="20"/>
          <w:color w:val="auto"/>
        </w:rPr>
      </w:pPr>
    </w:p>
    <w:p>
      <w:pPr>
        <w:ind w:left="7" w:right="80"/>
        <w:spacing w:after="0" w:line="236" w:lineRule="auto"/>
        <w:rPr>
          <w:sz w:val="20"/>
          <w:szCs w:val="20"/>
          <w:color w:val="auto"/>
        </w:rPr>
      </w:pPr>
      <w:r>
        <w:rPr>
          <w:rFonts w:ascii="Arial" w:cs="Arial" w:eastAsia="Arial" w:hAnsi="Arial"/>
          <w:sz w:val="16"/>
          <w:szCs w:val="16"/>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ISAs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6"/>
          <w:szCs w:val="16"/>
          <w:color w:val="auto"/>
        </w:rPr>
        <w:t>As part of an audit in accordance with the International Standards on Auditing (ISAs) approved for application in Peru by the Board of Deans of Associations of</w:t>
      </w:r>
    </w:p>
    <w:p>
      <w:pPr>
        <w:spacing w:after="0" w:line="5" w:lineRule="exact"/>
        <w:rPr>
          <w:sz w:val="20"/>
          <w:szCs w:val="20"/>
          <w:color w:val="auto"/>
        </w:rPr>
      </w:pPr>
    </w:p>
    <w:p>
      <w:pPr>
        <w:ind w:left="7"/>
        <w:spacing w:after="0"/>
        <w:rPr>
          <w:sz w:val="20"/>
          <w:szCs w:val="20"/>
          <w:color w:val="auto"/>
        </w:rPr>
      </w:pPr>
      <w:r>
        <w:rPr>
          <w:rFonts w:ascii="Arial" w:cs="Arial" w:eastAsia="Arial" w:hAnsi="Arial"/>
          <w:sz w:val="16"/>
          <w:szCs w:val="16"/>
          <w:color w:val="auto"/>
        </w:rPr>
        <w:t>Public Accountants of Peru, we exercise professional judgment and maintain professional skepticism throughout the audit. We also:</w:t>
      </w:r>
    </w:p>
    <w:p>
      <w:pPr>
        <w:spacing w:after="0" w:line="152" w:lineRule="exact"/>
        <w:rPr>
          <w:sz w:val="20"/>
          <w:szCs w:val="20"/>
          <w:color w:val="auto"/>
        </w:rPr>
      </w:pPr>
    </w:p>
    <w:p>
      <w:pPr>
        <w:ind w:left="427" w:hanging="427"/>
        <w:spacing w:after="0" w:line="232" w:lineRule="auto"/>
        <w:tabs>
          <w:tab w:leader="none" w:pos="427" w:val="left"/>
        </w:tabs>
        <w:numPr>
          <w:ilvl w:val="0"/>
          <w:numId w:val="3"/>
        </w:numPr>
        <w:rPr>
          <w:rFonts w:ascii="Arial" w:cs="Arial" w:eastAsia="Arial" w:hAnsi="Arial"/>
          <w:sz w:val="16"/>
          <w:szCs w:val="16"/>
          <w:color w:val="auto"/>
        </w:rPr>
      </w:pPr>
      <w:r>
        <w:rPr>
          <w:rFonts w:ascii="Arial" w:cs="Arial" w:eastAsia="Arial" w:hAnsi="Arial"/>
          <w:sz w:val="16"/>
          <w:szCs w:val="16"/>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2" w:lineRule="exact"/>
        <w:rPr>
          <w:rFonts w:ascii="Arial" w:cs="Arial" w:eastAsia="Arial" w:hAnsi="Arial"/>
          <w:sz w:val="16"/>
          <w:szCs w:val="16"/>
          <w:color w:val="auto"/>
        </w:rPr>
      </w:pPr>
    </w:p>
    <w:p>
      <w:pPr>
        <w:ind w:left="427" w:right="120" w:hanging="427"/>
        <w:spacing w:after="0" w:line="228" w:lineRule="auto"/>
        <w:tabs>
          <w:tab w:leader="none" w:pos="427" w:val="left"/>
        </w:tabs>
        <w:numPr>
          <w:ilvl w:val="0"/>
          <w:numId w:val="3"/>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Group's internal control.</w:t>
      </w:r>
    </w:p>
    <w:p>
      <w:pPr>
        <w:ind w:left="427" w:hanging="427"/>
        <w:spacing w:after="0"/>
        <w:tabs>
          <w:tab w:leader="none" w:pos="427" w:val="left"/>
        </w:tabs>
        <w:numPr>
          <w:ilvl w:val="0"/>
          <w:numId w:val="3"/>
        </w:numPr>
        <w:rPr>
          <w:rFonts w:ascii="Arial" w:cs="Arial" w:eastAsia="Arial" w:hAnsi="Arial"/>
          <w:sz w:val="14"/>
          <w:szCs w:val="14"/>
          <w:color w:val="auto"/>
        </w:rPr>
      </w:pPr>
      <w:r>
        <w:rPr>
          <w:rFonts w:ascii="Arial" w:cs="Arial" w:eastAsia="Arial" w:hAnsi="Arial"/>
          <w:sz w:val="14"/>
          <w:szCs w:val="14"/>
          <w:color w:val="auto"/>
        </w:rPr>
        <w:t>Evaluate the appropriateness of accounting policies used and the reasonableness of accounting estimates and related disclosures made by management.</w:t>
      </w:r>
    </w:p>
    <w:p>
      <w:pPr>
        <w:spacing w:after="0" w:line="14" w:lineRule="exact"/>
        <w:rPr>
          <w:rFonts w:ascii="Arial" w:cs="Arial" w:eastAsia="Arial" w:hAnsi="Arial"/>
          <w:sz w:val="14"/>
          <w:szCs w:val="14"/>
          <w:color w:val="auto"/>
        </w:rPr>
      </w:pPr>
    </w:p>
    <w:p>
      <w:pPr>
        <w:ind w:left="427" w:right="180" w:hanging="427"/>
        <w:spacing w:after="0" w:line="232" w:lineRule="auto"/>
        <w:tabs>
          <w:tab w:leader="none" w:pos="427"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Conclude on the appropriateness of management’s use of the going concern basis of accounting and, based on the audit evidence obtained, whether a material uncertainty exists related to events or conditions that may cast significant doubt on the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Group to cease to continue as a 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715073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1440" w:right="339" w:bottom="1440" w:gutter="0" w:footer="0" w:header="0"/>
        </w:sectPr>
      </w:pPr>
    </w:p>
    <w:bookmarkStart w:id="10" w:name="page11"/>
    <w:bookmarkEnd w:id="10"/>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8820" cy="741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8820" cy="741045"/>
                    </a:xfrm>
                    <a:prstGeom prst="rect">
                      <a:avLst/>
                    </a:prstGeom>
                    <a:noFill/>
                  </pic:spPr>
                </pic:pic>
              </a:graphicData>
            </a:graphic>
          </wp:anchor>
        </w:drawing>
      </w:r>
    </w:p>
    <w:p>
      <w:pPr>
        <w:ind w:left="7"/>
        <w:spacing w:after="0"/>
        <w:rPr>
          <w:sz w:val="20"/>
          <w:szCs w:val="20"/>
          <w:color w:val="auto"/>
        </w:rPr>
      </w:pPr>
      <w:r>
        <w:rPr>
          <w:rFonts w:ascii="Arial" w:cs="Arial" w:eastAsia="Arial" w:hAnsi="Arial"/>
          <w:sz w:val="16"/>
          <w:szCs w:val="16"/>
          <w:color w:val="auto"/>
        </w:rPr>
        <w:t>Report of the Independent Auditors (continued)</w:t>
      </w:r>
    </w:p>
    <w:p>
      <w:pPr>
        <w:spacing w:after="0" w:line="166" w:lineRule="exact"/>
        <w:rPr>
          <w:sz w:val="20"/>
          <w:szCs w:val="20"/>
          <w:color w:val="auto"/>
        </w:rPr>
      </w:pPr>
    </w:p>
    <w:p>
      <w:pPr>
        <w:ind w:left="427" w:right="460" w:hanging="427"/>
        <w:spacing w:after="0" w:line="234" w:lineRule="auto"/>
        <w:tabs>
          <w:tab w:leader="none" w:pos="427" w:val="left"/>
        </w:tabs>
        <w:numPr>
          <w:ilvl w:val="0"/>
          <w:numId w:val="4"/>
        </w:numPr>
        <w:rPr>
          <w:rFonts w:ascii="Arial" w:cs="Arial" w:eastAsia="Arial" w:hAnsi="Arial"/>
          <w:sz w:val="16"/>
          <w:szCs w:val="16"/>
          <w:color w:val="auto"/>
        </w:rPr>
      </w:pPr>
      <w:r>
        <w:rPr>
          <w:rFonts w:ascii="Arial" w:cs="Arial" w:eastAsia="Arial" w:hAnsi="Arial"/>
          <w:sz w:val="16"/>
          <w:szCs w:val="16"/>
          <w:color w:val="auto"/>
        </w:rPr>
        <w:t>Evaluate the overall presentation, structure and content of the consolidated financial statements, including disclosures, and whether the consolidated financial statements including the disclosures, and whether the financial statements represent the underlying transactions and events in a manner that achieves fair presentation.</w:t>
      </w:r>
    </w:p>
    <w:p>
      <w:pPr>
        <w:ind w:left="427" w:right="60" w:hanging="427"/>
        <w:spacing w:after="0" w:line="235" w:lineRule="auto"/>
        <w:tabs>
          <w:tab w:leader="none" w:pos="427" w:val="left"/>
        </w:tabs>
        <w:numPr>
          <w:ilvl w:val="0"/>
          <w:numId w:val="4"/>
        </w:numPr>
        <w:rPr>
          <w:rFonts w:ascii="Arial" w:cs="Arial" w:eastAsia="Arial" w:hAnsi="Arial"/>
          <w:sz w:val="16"/>
          <w:szCs w:val="16"/>
          <w:color w:val="auto"/>
        </w:rPr>
      </w:pPr>
      <w:r>
        <w:rPr>
          <w:rFonts w:ascii="Arial" w:cs="Arial" w:eastAsia="Arial" w:hAnsi="Arial"/>
          <w:sz w:val="16"/>
          <w:szCs w:val="16"/>
          <w:color w:val="auto"/>
        </w:rPr>
        <w:t>Plan and perform the group audit to obtain sufficient appropriate audit evidence regarding the financial information of the entities or business units within the group as a basis for forming an opinion on the consolidated financial statements. We are responsible for the direction, supervision and review of the audit work performed for the purposes of the group audit. We remain solely responsible for our audit opinion.</w:t>
      </w:r>
    </w:p>
    <w:p>
      <w:pPr>
        <w:spacing w:after="0" w:line="146" w:lineRule="exact"/>
        <w:rPr>
          <w:sz w:val="20"/>
          <w:szCs w:val="20"/>
          <w:color w:val="auto"/>
        </w:rPr>
      </w:pPr>
    </w:p>
    <w:p>
      <w:pPr>
        <w:ind w:left="7" w:right="320"/>
        <w:spacing w:after="0" w:line="255" w:lineRule="auto"/>
        <w:rPr>
          <w:sz w:val="20"/>
          <w:szCs w:val="20"/>
          <w:color w:val="auto"/>
        </w:rPr>
      </w:pPr>
      <w:r>
        <w:rPr>
          <w:rFonts w:ascii="Arial" w:cs="Arial" w:eastAsia="Arial" w:hAnsi="Arial"/>
          <w:sz w:val="16"/>
          <w:szCs w:val="16"/>
          <w:color w:val="auto"/>
        </w:rPr>
        <w:t>We communicate to those charged for the Group's corporate governance, among other matters, the planned scope and timing of the audit and significant audit findings, including any significant deficiencies in internal control that we identify during our audit.</w:t>
      </w:r>
    </w:p>
    <w:p>
      <w:pPr>
        <w:spacing w:after="0" w:line="134" w:lineRule="exact"/>
        <w:rPr>
          <w:sz w:val="20"/>
          <w:szCs w:val="20"/>
          <w:color w:val="auto"/>
        </w:rPr>
      </w:pPr>
    </w:p>
    <w:p>
      <w:pPr>
        <w:jc w:val="both"/>
        <w:ind w:left="7"/>
        <w:spacing w:after="0" w:line="241" w:lineRule="auto"/>
        <w:rPr>
          <w:sz w:val="20"/>
          <w:szCs w:val="20"/>
          <w:color w:val="auto"/>
        </w:rPr>
      </w:pPr>
      <w:r>
        <w:rPr>
          <w:rFonts w:ascii="Arial" w:cs="Arial" w:eastAsia="Arial" w:hAnsi="Arial"/>
          <w:sz w:val="16"/>
          <w:szCs w:val="16"/>
          <w:color w:val="auto"/>
        </w:rPr>
        <w:t>We also provide those charged with corporate governance with a statement that we have complied with relevant ethical requirements regarding independence, and to communicate with them all relationships and other matters that may reasonably be thought to bear on our independence, and where applicable, actions taken to eliminate threats or safeguards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5073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7"/>
          </w:cols>
          <w:pgMar w:left="313" w:top="1440" w:right="379" w:bottom="1440" w:gutter="0" w:footer="0" w:header="0"/>
        </w:sectPr>
      </w:pPr>
    </w:p>
    <w:bookmarkStart w:id="11" w:name="page12"/>
    <w:bookmarkEnd w:id="1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88900</wp:posOffset>
            </wp:positionV>
            <wp:extent cx="718820" cy="741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8820" cy="7410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Report of the Independent Auditors (continued)</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From the matters communicated with those charged with corporate governance,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Lima, Peru</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2025</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Endorsed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979545" cy="128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79545" cy="128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Victor Tanaka</w:t>
      </w:r>
    </w:p>
    <w:p>
      <w:pPr>
        <w:spacing w:after="0" w:line="234" w:lineRule="auto"/>
        <w:rPr>
          <w:sz w:val="20"/>
          <w:szCs w:val="20"/>
          <w:color w:val="auto"/>
        </w:rPr>
      </w:pPr>
      <w:r>
        <w:rPr>
          <w:rFonts w:ascii="Arial" w:cs="Arial" w:eastAsia="Arial" w:hAnsi="Arial"/>
          <w:sz w:val="16"/>
          <w:szCs w:val="16"/>
          <w:color w:val="auto"/>
        </w:rPr>
        <w:t>Partner-in-Charge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C.P.C.C. Registration No. 25613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715073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4"/>
        </w:trPr>
        <w:tc>
          <w:tcPr>
            <w:tcW w:w="3060" w:type="dxa"/>
            <w:vAlign w:val="bottom"/>
            <w:gridSpan w:val="2"/>
          </w:tcPr>
          <w:p>
            <w:pPr>
              <w:spacing w:after="0"/>
              <w:rPr>
                <w:sz w:val="20"/>
                <w:szCs w:val="20"/>
                <w:color w:val="auto"/>
              </w:rPr>
            </w:pPr>
            <w:r>
              <w:rPr>
                <w:rFonts w:ascii="Arial" w:cs="Arial" w:eastAsia="Arial" w:hAnsi="Arial"/>
                <w:sz w:val="16"/>
                <w:szCs w:val="16"/>
                <w:b w:val="1"/>
                <w:bCs w:val="1"/>
                <w:color w:val="auto"/>
              </w:rPr>
              <w:t>CREDICORP LTD. AND SUBSIDIARIES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4460" w:type="dxa"/>
            <w:vAlign w:val="bottom"/>
            <w:gridSpan w:val="6"/>
          </w:tcPr>
          <w:p>
            <w:pPr>
              <w:spacing w:after="0"/>
              <w:rPr>
                <w:sz w:val="20"/>
                <w:szCs w:val="20"/>
                <w:color w:val="auto"/>
              </w:rPr>
            </w:pPr>
            <w:r>
              <w:rPr>
                <w:rFonts w:ascii="Arial" w:cs="Arial" w:eastAsia="Arial" w:hAnsi="Arial"/>
                <w:sz w:val="16"/>
                <w:szCs w:val="16"/>
                <w:color w:val="auto"/>
              </w:rPr>
              <w:t>CONSOLIDATED STATEMENT OF FINANCIAL POSITION</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60" w:type="dxa"/>
            <w:vAlign w:val="bottom"/>
            <w:gridSpan w:val="2"/>
          </w:tcPr>
          <w:p>
            <w:pPr>
              <w:spacing w:after="0"/>
              <w:rPr>
                <w:sz w:val="20"/>
                <w:szCs w:val="20"/>
                <w:color w:val="auto"/>
              </w:rPr>
            </w:pPr>
            <w:r>
              <w:rPr>
                <w:rFonts w:ascii="Arial" w:cs="Arial" w:eastAsia="Arial" w:hAnsi="Arial"/>
                <w:sz w:val="16"/>
                <w:szCs w:val="16"/>
                <w:color w:val="auto"/>
              </w:rPr>
              <w:t>AS OF DECEMBER 31, 2024 AND 2023</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208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6"/>
                <w:szCs w:val="16"/>
                <w:b w:val="1"/>
                <w:bCs w:val="1"/>
                <w:color w:val="auto"/>
              </w:rPr>
              <w:t>Note</w:t>
            </w: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Arial" w:cs="Arial" w:eastAsia="Arial" w:hAnsi="Arial"/>
                <w:sz w:val="16"/>
                <w:szCs w:val="16"/>
                <w:b w:val="1"/>
                <w:bCs w:val="1"/>
                <w:color w:val="auto"/>
              </w:rPr>
              <w:t>Note</w:t>
            </w: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2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94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8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Arial" w:cs="Arial" w:eastAsia="Arial" w:hAnsi="Arial"/>
                <w:sz w:val="16"/>
                <w:szCs w:val="16"/>
                <w:color w:val="auto"/>
              </w:rPr>
              <w:t>Deposits and obligations:</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Non-interest-bearing</w:t>
            </w:r>
          </w:p>
        </w:tc>
        <w:tc>
          <w:tcPr>
            <w:tcW w:w="98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7,535,259</w:t>
            </w:r>
          </w:p>
        </w:tc>
        <w:tc>
          <w:tcPr>
            <w:tcW w:w="220" w:type="dxa"/>
            <w:vAlign w:val="bottom"/>
          </w:tcPr>
          <w:p>
            <w:pPr>
              <w:spacing w:after="0"/>
              <w:rPr>
                <w:sz w:val="15"/>
                <w:szCs w:val="15"/>
                <w:color w:val="auto"/>
              </w:rPr>
            </w:pPr>
          </w:p>
        </w:tc>
        <w:tc>
          <w:tcPr>
            <w:tcW w:w="12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7,952,371</w:t>
            </w:r>
          </w:p>
        </w:tc>
        <w:tc>
          <w:tcPr>
            <w:tcW w:w="2100" w:type="dxa"/>
            <w:vAlign w:val="bottom"/>
          </w:tcPr>
          <w:p>
            <w:pPr>
              <w:ind w:left="180"/>
              <w:spacing w:after="0" w:line="175" w:lineRule="exact"/>
              <w:rPr>
                <w:sz w:val="20"/>
                <w:szCs w:val="20"/>
                <w:color w:val="auto"/>
              </w:rPr>
            </w:pPr>
            <w:r>
              <w:rPr>
                <w:rFonts w:ascii="Arial" w:cs="Arial" w:eastAsia="Arial" w:hAnsi="Arial"/>
                <w:sz w:val="16"/>
                <w:szCs w:val="16"/>
                <w:color w:val="auto"/>
              </w:rPr>
              <w:t>Non-interest-bearing</w:t>
            </w:r>
          </w:p>
        </w:tc>
        <w:tc>
          <w:tcPr>
            <w:tcW w:w="9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47,160,191</w:t>
            </w:r>
          </w:p>
        </w:tc>
        <w:tc>
          <w:tcPr>
            <w:tcW w:w="200" w:type="dxa"/>
            <w:vAlign w:val="bottom"/>
          </w:tcPr>
          <w:p>
            <w:pPr>
              <w:spacing w:after="0"/>
              <w:rPr>
                <w:sz w:val="15"/>
                <w:szCs w:val="15"/>
                <w:color w:val="auto"/>
              </w:rPr>
            </w:pP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42,234,498</w:t>
            </w:r>
          </w:p>
        </w:tc>
        <w:tc>
          <w:tcPr>
            <w:tcW w:w="0" w:type="dxa"/>
            <w:vAlign w:val="bottom"/>
          </w:tcPr>
          <w:p>
            <w:pPr>
              <w:spacing w:after="0"/>
              <w:rPr>
                <w:sz w:val="1"/>
                <w:szCs w:val="1"/>
                <w:color w:val="auto"/>
              </w:rPr>
            </w:pPr>
          </w:p>
        </w:tc>
      </w:tr>
      <w:tr>
        <w:trPr>
          <w:trHeight w:val="190"/>
        </w:trPr>
        <w:tc>
          <w:tcPr>
            <w:tcW w:w="2080" w:type="dxa"/>
            <w:vAlign w:val="bottom"/>
          </w:tcPr>
          <w:p>
            <w:pPr>
              <w:ind w:left="140"/>
              <w:spacing w:after="0"/>
              <w:rPr>
                <w:sz w:val="20"/>
                <w:szCs w:val="20"/>
                <w:color w:val="auto"/>
              </w:rPr>
            </w:pPr>
            <w:r>
              <w:rPr>
                <w:rFonts w:ascii="Arial" w:cs="Arial" w:eastAsia="Arial" w:hAnsi="Arial"/>
                <w:sz w:val="16"/>
                <w:szCs w:val="16"/>
                <w:color w:val="auto"/>
              </w:rPr>
              <w:t>Interest-bearing</w:t>
            </w:r>
          </w:p>
        </w:tc>
        <w:tc>
          <w:tcPr>
            <w:tcW w:w="980" w:type="dxa"/>
            <w:vAlign w:val="bottom"/>
            <w:vMerge w:val="restart"/>
          </w:tcPr>
          <w:p>
            <w:pPr>
              <w:jc w:val="center"/>
              <w:ind w:right="202"/>
              <w:spacing w:after="0"/>
              <w:rPr>
                <w:sz w:val="20"/>
                <w:szCs w:val="20"/>
                <w:color w:val="auto"/>
              </w:rPr>
            </w:pPr>
            <w:r>
              <w:rPr>
                <w:rFonts w:ascii="Arial" w:cs="Arial" w:eastAsia="Arial" w:hAnsi="Arial"/>
                <w:sz w:val="16"/>
                <w:szCs w:val="16"/>
                <w:color w:val="auto"/>
              </w:rPr>
              <w:t>4</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40,119,937</w:t>
            </w:r>
          </w:p>
        </w:tc>
        <w:tc>
          <w:tcPr>
            <w:tcW w:w="2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25,978,577</w:t>
            </w:r>
          </w:p>
        </w:tc>
        <w:tc>
          <w:tcPr>
            <w:tcW w:w="2100" w:type="dxa"/>
            <w:vAlign w:val="bottom"/>
          </w:tcPr>
          <w:p>
            <w:pPr>
              <w:ind w:left="180"/>
              <w:spacing w:after="0"/>
              <w:rPr>
                <w:sz w:val="20"/>
                <w:szCs w:val="20"/>
                <w:color w:val="auto"/>
              </w:rPr>
            </w:pPr>
            <w:r>
              <w:rPr>
                <w:rFonts w:ascii="Arial" w:cs="Arial" w:eastAsia="Arial" w:hAnsi="Arial"/>
                <w:sz w:val="16"/>
                <w:szCs w:val="16"/>
                <w:color w:val="auto"/>
              </w:rPr>
              <w:t>Interest-bearing</w:t>
            </w:r>
          </w:p>
        </w:tc>
        <w:tc>
          <w:tcPr>
            <w:tcW w:w="940" w:type="dxa"/>
            <w:vAlign w:val="bottom"/>
            <w:vMerge w:val="restart"/>
          </w:tcPr>
          <w:p>
            <w:pPr>
              <w:jc w:val="center"/>
              <w:ind w:right="182"/>
              <w:spacing w:after="0"/>
              <w:rPr>
                <w:sz w:val="20"/>
                <w:szCs w:val="20"/>
                <w:color w:val="auto"/>
              </w:rPr>
            </w:pPr>
            <w:r>
              <w:rPr>
                <w:rFonts w:ascii="Arial" w:cs="Arial" w:eastAsia="Arial" w:hAnsi="Arial"/>
                <w:sz w:val="16"/>
                <w:szCs w:val="16"/>
                <w:color w:val="auto"/>
                <w:w w:val="96"/>
              </w:rPr>
              <w:t>13(a)</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114,681,875</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105,470,496</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47,655,196</w:t>
            </w: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33,930,948</w:t>
            </w: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161,842,066</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147,704,994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2080" w:type="dxa"/>
            <w:vAlign w:val="bottom"/>
          </w:tcPr>
          <w:p>
            <w:pPr>
              <w:spacing w:after="0"/>
              <w:rPr>
                <w:sz w:val="20"/>
                <w:szCs w:val="20"/>
                <w:color w:val="auto"/>
              </w:rPr>
            </w:pPr>
            <w:r>
              <w:rPr>
                <w:rFonts w:ascii="Arial" w:cs="Arial" w:eastAsia="Arial" w:hAnsi="Arial"/>
                <w:sz w:val="16"/>
                <w:szCs w:val="16"/>
                <w:color w:val="auto"/>
              </w:rPr>
              <w:t>Cash collateral, reverse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Arial" w:cs="Arial" w:eastAsia="Arial" w:hAnsi="Arial"/>
                <w:sz w:val="16"/>
                <w:szCs w:val="16"/>
                <w:color w:val="auto"/>
              </w:rPr>
              <w:t>Payables from repurchase</w:t>
            </w: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repurchase agreements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agreements and securities</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and securities borrowing</w:t>
            </w:r>
          </w:p>
        </w:tc>
        <w:tc>
          <w:tcPr>
            <w:tcW w:w="98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8"/>
              </w:rPr>
              <w:t>5(a)</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1,033,177</w:t>
            </w:r>
          </w:p>
        </w:tc>
        <w:tc>
          <w:tcPr>
            <w:tcW w:w="220" w:type="dxa"/>
            <w:vAlign w:val="bottom"/>
          </w:tcPr>
          <w:p>
            <w:pPr>
              <w:spacing w:after="0"/>
              <w:rPr>
                <w:sz w:val="15"/>
                <w:szCs w:val="15"/>
                <w:color w:val="auto"/>
              </w:rPr>
            </w:pPr>
          </w:p>
        </w:tc>
        <w:tc>
          <w:tcPr>
            <w:tcW w:w="12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1,410,647</w:t>
            </w: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lending</w:t>
            </w:r>
          </w:p>
        </w:tc>
        <w:tc>
          <w:tcPr>
            <w:tcW w:w="94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8"/>
              </w:rPr>
              <w:t>5(b)</w:t>
            </w: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9,060,710</w:t>
            </w: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10,168,427</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Due to banks and</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correspondents</w:t>
            </w:r>
          </w:p>
        </w:tc>
        <w:tc>
          <w:tcPr>
            <w:tcW w:w="94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6"/>
              </w:rPr>
              <w:t>14(a)</w:t>
            </w: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10,754,385</w:t>
            </w:r>
          </w:p>
        </w:tc>
        <w:tc>
          <w:tcPr>
            <w:tcW w:w="200" w:type="dxa"/>
            <w:vAlign w:val="bottom"/>
          </w:tcPr>
          <w:p>
            <w:pPr>
              <w:spacing w:after="0"/>
              <w:rPr>
                <w:sz w:val="15"/>
                <w:szCs w:val="15"/>
                <w:color w:val="auto"/>
              </w:rPr>
            </w:pP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12,278,681</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Due from customers on</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Investments: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banker’s acceptances</w:t>
            </w:r>
          </w:p>
        </w:tc>
        <w:tc>
          <w:tcPr>
            <w:tcW w:w="94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8"/>
              </w:rPr>
              <w:t>3(n)</w:t>
            </w: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528,184</w:t>
            </w: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412,401</w:t>
            </w: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At fair value through profit</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or loss</w:t>
            </w:r>
          </w:p>
        </w:tc>
        <w:tc>
          <w:tcPr>
            <w:tcW w:w="98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8"/>
              </w:rPr>
              <w:t>6(a)</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4,715,343</w:t>
            </w:r>
          </w:p>
        </w:tc>
        <w:tc>
          <w:tcPr>
            <w:tcW w:w="220" w:type="dxa"/>
            <w:vAlign w:val="bottom"/>
          </w:tcPr>
          <w:p>
            <w:pPr>
              <w:spacing w:after="0"/>
              <w:rPr>
                <w:sz w:val="15"/>
                <w:szCs w:val="15"/>
                <w:color w:val="auto"/>
              </w:rPr>
            </w:pPr>
          </w:p>
        </w:tc>
        <w:tc>
          <w:tcPr>
            <w:tcW w:w="12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4,982,661</w:t>
            </w: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Lease liabilities</w:t>
            </w:r>
          </w:p>
        </w:tc>
        <w:tc>
          <w:tcPr>
            <w:tcW w:w="94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6"/>
              </w:rPr>
              <w:t>11(b)</w:t>
            </w: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404,817</w:t>
            </w: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512,579</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Financial liabilities at fair</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value through profit or loss</w:t>
            </w:r>
          </w:p>
        </w:tc>
        <w:tc>
          <w:tcPr>
            <w:tcW w:w="940" w:type="dxa"/>
            <w:vAlign w:val="bottom"/>
          </w:tcPr>
          <w:p>
            <w:pPr>
              <w:jc w:val="center"/>
              <w:ind w:right="182"/>
              <w:spacing w:after="0" w:line="175" w:lineRule="exact"/>
              <w:rPr>
                <w:sz w:val="20"/>
                <w:szCs w:val="20"/>
                <w:color w:val="auto"/>
              </w:rPr>
            </w:pPr>
            <w:r>
              <w:rPr>
                <w:rFonts w:ascii="Arial" w:cs="Arial" w:eastAsia="Arial" w:hAnsi="Arial"/>
                <w:sz w:val="16"/>
                <w:szCs w:val="16"/>
                <w:color w:val="auto"/>
              </w:rPr>
              <w:t>3(y)</w:t>
            </w: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151,485</w:t>
            </w: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641,915</w:t>
            </w:r>
          </w:p>
        </w:tc>
        <w:tc>
          <w:tcPr>
            <w:tcW w:w="0" w:type="dxa"/>
            <w:vAlign w:val="bottom"/>
          </w:tcPr>
          <w:p>
            <w:pPr>
              <w:spacing w:after="0"/>
              <w:rPr>
                <w:sz w:val="1"/>
                <w:szCs w:val="1"/>
                <w:color w:val="auto"/>
              </w:rPr>
            </w:pPr>
          </w:p>
        </w:tc>
      </w:tr>
      <w:tr>
        <w:trPr>
          <w:trHeight w:val="205"/>
        </w:trPr>
        <w:tc>
          <w:tcPr>
            <w:tcW w:w="2080" w:type="dxa"/>
            <w:vAlign w:val="bottom"/>
            <w:vMerge w:val="restart"/>
          </w:tcPr>
          <w:p>
            <w:pPr>
              <w:ind w:left="140"/>
              <w:spacing w:after="0"/>
              <w:rPr>
                <w:sz w:val="20"/>
                <w:szCs w:val="20"/>
                <w:color w:val="auto"/>
              </w:rPr>
            </w:pPr>
            <w:r>
              <w:rPr>
                <w:rFonts w:ascii="Arial" w:cs="Arial" w:eastAsia="Arial" w:hAnsi="Arial"/>
                <w:sz w:val="16"/>
                <w:szCs w:val="16"/>
                <w:color w:val="auto"/>
              </w:rPr>
              <w:t>At fair value through</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ind w:left="40"/>
              <w:spacing w:after="0"/>
              <w:rPr>
                <w:sz w:val="20"/>
                <w:szCs w:val="20"/>
                <w:color w:val="auto"/>
              </w:rPr>
            </w:pPr>
            <w:r>
              <w:rPr>
                <w:rFonts w:ascii="Arial" w:cs="Arial" w:eastAsia="Arial" w:hAnsi="Arial"/>
                <w:sz w:val="16"/>
                <w:szCs w:val="16"/>
                <w:color w:val="auto"/>
              </w:rPr>
              <w:t>Insurance contract liability</w:t>
            </w:r>
          </w:p>
        </w:tc>
        <w:tc>
          <w:tcPr>
            <w:tcW w:w="940" w:type="dxa"/>
            <w:vAlign w:val="bottom"/>
          </w:tcPr>
          <w:p>
            <w:pPr>
              <w:jc w:val="center"/>
              <w:ind w:right="182"/>
              <w:spacing w:after="0"/>
              <w:rPr>
                <w:sz w:val="20"/>
                <w:szCs w:val="20"/>
                <w:color w:val="auto"/>
              </w:rPr>
            </w:pPr>
            <w:r>
              <w:rPr>
                <w:rFonts w:ascii="Arial" w:cs="Arial" w:eastAsia="Arial" w:hAnsi="Arial"/>
                <w:sz w:val="16"/>
                <w:szCs w:val="16"/>
                <w:color w:val="auto"/>
                <w:w w:val="98"/>
              </w:rPr>
              <w:t>8(b)</w:t>
            </w:r>
          </w:p>
        </w:tc>
        <w:tc>
          <w:tcPr>
            <w:tcW w:w="1140" w:type="dxa"/>
            <w:vAlign w:val="bottom"/>
          </w:tcPr>
          <w:p>
            <w:pPr>
              <w:jc w:val="right"/>
              <w:spacing w:after="0"/>
              <w:rPr>
                <w:sz w:val="20"/>
                <w:szCs w:val="20"/>
                <w:color w:val="auto"/>
              </w:rPr>
            </w:pPr>
            <w:r>
              <w:rPr>
                <w:rFonts w:ascii="Arial" w:cs="Arial" w:eastAsia="Arial" w:hAnsi="Arial"/>
                <w:sz w:val="16"/>
                <w:szCs w:val="16"/>
                <w:color w:val="auto"/>
              </w:rPr>
              <w:t>13,422,285</w:t>
            </w:r>
          </w:p>
        </w:tc>
        <w:tc>
          <w:tcPr>
            <w:tcW w:w="20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12,318,133</w:t>
            </w:r>
          </w:p>
        </w:tc>
        <w:tc>
          <w:tcPr>
            <w:tcW w:w="0" w:type="dxa"/>
            <w:vAlign w:val="bottom"/>
          </w:tcPr>
          <w:p>
            <w:pPr>
              <w:spacing w:after="0"/>
              <w:rPr>
                <w:sz w:val="1"/>
                <w:szCs w:val="1"/>
                <w:color w:val="auto"/>
              </w:rPr>
            </w:pPr>
          </w:p>
        </w:tc>
      </w:tr>
      <w:tr>
        <w:trPr>
          <w:trHeight w:val="145"/>
        </w:trPr>
        <w:tc>
          <w:tcPr>
            <w:tcW w:w="20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other comprehensive</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income</w:t>
            </w:r>
          </w:p>
        </w:tc>
        <w:tc>
          <w:tcPr>
            <w:tcW w:w="980" w:type="dxa"/>
            <w:vAlign w:val="bottom"/>
          </w:tcPr>
          <w:p>
            <w:pPr>
              <w:spacing w:after="0"/>
              <w:rPr>
                <w:sz w:val="15"/>
                <w:szCs w:val="15"/>
                <w:color w:val="auto"/>
              </w:rPr>
            </w:pPr>
          </w:p>
        </w:tc>
        <w:tc>
          <w:tcPr>
            <w:tcW w:w="1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34,208,187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32,774,078</w:t>
            </w: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Bonds and notes issued</w:t>
            </w:r>
          </w:p>
        </w:tc>
        <w:tc>
          <w:tcPr>
            <w:tcW w:w="94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89"/>
              </w:rPr>
              <w:t>15</w:t>
            </w: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17,268,443</w:t>
            </w:r>
          </w:p>
        </w:tc>
        <w:tc>
          <w:tcPr>
            <w:tcW w:w="200" w:type="dxa"/>
            <w:vAlign w:val="bottom"/>
          </w:tcPr>
          <w:p>
            <w:pPr>
              <w:spacing w:after="0"/>
              <w:rPr>
                <w:sz w:val="15"/>
                <w:szCs w:val="15"/>
                <w:color w:val="auto"/>
              </w:rPr>
            </w:pP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14,594,785</w:t>
            </w: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At fair value through</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other comprehensive</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income</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Deferred tax liabilities, net</w:t>
            </w:r>
          </w:p>
        </w:tc>
        <w:tc>
          <w:tcPr>
            <w:tcW w:w="94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8"/>
              </w:rPr>
              <w:t>17(c)</w:t>
            </w: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59,025</w:t>
            </w: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107,517</w:t>
            </w:r>
          </w:p>
        </w:tc>
        <w:tc>
          <w:tcPr>
            <w:tcW w:w="0" w:type="dxa"/>
            <w:vAlign w:val="bottom"/>
          </w:tcPr>
          <w:p>
            <w:pPr>
              <w:spacing w:after="0"/>
              <w:rPr>
                <w:sz w:val="1"/>
                <w:szCs w:val="1"/>
                <w:color w:val="auto"/>
              </w:rPr>
            </w:pPr>
          </w:p>
        </w:tc>
      </w:tr>
      <w:tr>
        <w:trPr>
          <w:trHeight w:val="190"/>
        </w:trPr>
        <w:tc>
          <w:tcPr>
            <w:tcW w:w="2080" w:type="dxa"/>
            <w:vAlign w:val="bottom"/>
          </w:tcPr>
          <w:p>
            <w:pPr>
              <w:ind w:left="140"/>
              <w:spacing w:after="0"/>
              <w:rPr>
                <w:sz w:val="20"/>
                <w:szCs w:val="20"/>
                <w:color w:val="auto"/>
              </w:rPr>
            </w:pPr>
            <w:r>
              <w:rPr>
                <w:rFonts w:ascii="Arial" w:cs="Arial" w:eastAsia="Arial" w:hAnsi="Arial"/>
                <w:sz w:val="16"/>
                <w:szCs w:val="16"/>
                <w:color w:val="auto"/>
              </w:rPr>
              <w:t>pledged as collateral</w:t>
            </w:r>
          </w:p>
        </w:tc>
        <w:tc>
          <w:tcPr>
            <w:tcW w:w="980" w:type="dxa"/>
            <w:vAlign w:val="bottom"/>
            <w:vMerge w:val="restart"/>
          </w:tcPr>
          <w:p>
            <w:pPr>
              <w:jc w:val="center"/>
              <w:ind w:right="182"/>
              <w:spacing w:after="0"/>
              <w:rPr>
                <w:sz w:val="20"/>
                <w:szCs w:val="20"/>
                <w:color w:val="auto"/>
              </w:rPr>
            </w:pPr>
            <w:r>
              <w:rPr>
                <w:rFonts w:ascii="Arial" w:cs="Arial" w:eastAsia="Arial" w:hAnsi="Arial"/>
                <w:sz w:val="16"/>
                <w:szCs w:val="16"/>
                <w:color w:val="auto"/>
                <w:w w:val="98"/>
              </w:rPr>
              <w:t>6(b)</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5,934,451</w:t>
            </w:r>
          </w:p>
        </w:tc>
        <w:tc>
          <w:tcPr>
            <w:tcW w:w="2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4,269,862</w:t>
            </w:r>
          </w:p>
        </w:tc>
        <w:tc>
          <w:tcPr>
            <w:tcW w:w="21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940" w:type="dxa"/>
            <w:vAlign w:val="bottom"/>
          </w:tcPr>
          <w:p>
            <w:pPr>
              <w:jc w:val="center"/>
              <w:ind w:right="182"/>
              <w:spacing w:after="0"/>
              <w:rPr>
                <w:sz w:val="20"/>
                <w:szCs w:val="20"/>
                <w:color w:val="auto"/>
              </w:rPr>
            </w:pPr>
            <w:r>
              <w:rPr>
                <w:rFonts w:ascii="Arial" w:cs="Arial" w:eastAsia="Arial" w:hAnsi="Arial"/>
                <w:sz w:val="16"/>
                <w:szCs w:val="16"/>
                <w:color w:val="auto"/>
                <w:w w:val="89"/>
              </w:rPr>
              <w:t>12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7,620,306</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6,993,691</w:t>
            </w:r>
          </w:p>
        </w:tc>
        <w:tc>
          <w:tcPr>
            <w:tcW w:w="0" w:type="dxa"/>
            <w:vAlign w:val="bottom"/>
          </w:tcPr>
          <w:p>
            <w:pPr>
              <w:spacing w:after="0"/>
              <w:rPr>
                <w:sz w:val="1"/>
                <w:szCs w:val="1"/>
                <w:color w:val="auto"/>
              </w:rPr>
            </w:pPr>
          </w:p>
        </w:tc>
      </w:tr>
      <w:tr>
        <w:trPr>
          <w:trHeight w:val="167"/>
        </w:trPr>
        <w:tc>
          <w:tcPr>
            <w:tcW w:w="20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40,142,638</w:t>
            </w: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37,043,940</w:t>
            </w:r>
          </w:p>
        </w:tc>
        <w:tc>
          <w:tcPr>
            <w:tcW w:w="80" w:type="dxa"/>
            <w:vAlign w:val="bottom"/>
          </w:tcPr>
          <w:p>
            <w:pPr>
              <w:spacing w:after="0"/>
              <w:rPr>
                <w:sz w:val="14"/>
                <w:szCs w:val="14"/>
                <w:color w:val="auto"/>
              </w:rPr>
            </w:pPr>
          </w:p>
        </w:tc>
        <w:tc>
          <w:tcPr>
            <w:tcW w:w="2100" w:type="dxa"/>
            <w:vAlign w:val="bottom"/>
            <w:vMerge w:val="restart"/>
          </w:tcPr>
          <w:p>
            <w:pPr>
              <w:ind w:left="40"/>
              <w:spacing w:after="0"/>
              <w:rPr>
                <w:sz w:val="20"/>
                <w:szCs w:val="20"/>
                <w:color w:val="auto"/>
              </w:rPr>
            </w:pPr>
            <w:r>
              <w:rPr>
                <w:rFonts w:ascii="Arial" w:cs="Arial" w:eastAsia="Arial" w:hAnsi="Arial"/>
                <w:sz w:val="16"/>
                <w:szCs w:val="16"/>
                <w:color w:val="auto"/>
              </w:rPr>
              <w:t>Total liabilities</w:t>
            </w:r>
          </w:p>
        </w:tc>
        <w:tc>
          <w:tcPr>
            <w:tcW w:w="9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80" w:type="dxa"/>
            <w:vAlign w:val="bottom"/>
            <w:vMerge w:val="restart"/>
          </w:tcPr>
          <w:p>
            <w:pPr>
              <w:ind w:left="140"/>
              <w:spacing w:after="0"/>
              <w:rPr>
                <w:sz w:val="20"/>
                <w:szCs w:val="20"/>
                <w:color w:val="auto"/>
              </w:rPr>
            </w:pPr>
            <w:r>
              <w:rPr>
                <w:rFonts w:ascii="Arial" w:cs="Arial" w:eastAsia="Arial" w:hAnsi="Arial"/>
                <w:sz w:val="16"/>
                <w:szCs w:val="16"/>
                <w:color w:val="auto"/>
              </w:rPr>
              <w:t>Amortized cost</w:t>
            </w:r>
          </w:p>
        </w:tc>
        <w:tc>
          <w:tcPr>
            <w:tcW w:w="980" w:type="dxa"/>
            <w:vAlign w:val="bottom"/>
          </w:tcPr>
          <w:p>
            <w:pPr>
              <w:spacing w:after="0"/>
              <w:rPr>
                <w:sz w:val="14"/>
                <w:szCs w:val="14"/>
                <w:color w:val="auto"/>
              </w:rPr>
            </w:pPr>
          </w:p>
        </w:tc>
        <w:tc>
          <w:tcPr>
            <w:tcW w:w="118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7,904,517</w:t>
            </w:r>
          </w:p>
        </w:tc>
        <w:tc>
          <w:tcPr>
            <w:tcW w:w="220" w:type="dxa"/>
            <w:vAlign w:val="bottom"/>
          </w:tcPr>
          <w:p>
            <w:pPr>
              <w:spacing w:after="0"/>
              <w:rPr>
                <w:sz w:val="14"/>
                <w:szCs w:val="14"/>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7,924,830</w:t>
            </w:r>
          </w:p>
        </w:tc>
        <w:tc>
          <w:tcPr>
            <w:tcW w:w="21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221,111,706</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205,733,123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Amortized cost pledged</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140"/>
              <w:spacing w:after="0"/>
              <w:rPr>
                <w:sz w:val="20"/>
                <w:szCs w:val="20"/>
                <w:color w:val="auto"/>
              </w:rPr>
            </w:pPr>
            <w:r>
              <w:rPr>
                <w:rFonts w:ascii="Arial" w:cs="Arial" w:eastAsia="Arial" w:hAnsi="Arial"/>
                <w:sz w:val="16"/>
                <w:szCs w:val="16"/>
                <w:color w:val="auto"/>
              </w:rPr>
              <w:t>as collateral</w:t>
            </w:r>
          </w:p>
        </w:tc>
        <w:tc>
          <w:tcPr>
            <w:tcW w:w="980" w:type="dxa"/>
            <w:vAlign w:val="bottom"/>
            <w:vMerge w:val="restart"/>
          </w:tcPr>
          <w:p>
            <w:pPr>
              <w:jc w:val="center"/>
              <w:ind w:right="202"/>
              <w:spacing w:after="0"/>
              <w:rPr>
                <w:sz w:val="20"/>
                <w:szCs w:val="20"/>
                <w:color w:val="auto"/>
              </w:rPr>
            </w:pPr>
            <w:r>
              <w:rPr>
                <w:rFonts w:ascii="Arial" w:cs="Arial" w:eastAsia="Arial" w:hAnsi="Arial"/>
                <w:sz w:val="16"/>
                <w:szCs w:val="16"/>
                <w:color w:val="auto"/>
                <w:w w:val="94"/>
              </w:rPr>
              <w:t>6(c)</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1,063,360</w:t>
            </w:r>
          </w:p>
        </w:tc>
        <w:tc>
          <w:tcPr>
            <w:tcW w:w="2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2,264,097</w:t>
            </w:r>
          </w:p>
        </w:tc>
        <w:tc>
          <w:tcPr>
            <w:tcW w:w="2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8,967,877</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10,188,927</w:t>
            </w:r>
          </w:p>
        </w:tc>
        <w:tc>
          <w:tcPr>
            <w:tcW w:w="80" w:type="dxa"/>
            <w:vAlign w:val="bottom"/>
          </w:tcPr>
          <w:p>
            <w:pPr>
              <w:spacing w:after="0"/>
              <w:rPr>
                <w:sz w:val="17"/>
                <w:szCs w:val="17"/>
                <w:color w:val="auto"/>
              </w:rPr>
            </w:pPr>
          </w:p>
        </w:tc>
        <w:tc>
          <w:tcPr>
            <w:tcW w:w="2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Equity</w:t>
            </w:r>
          </w:p>
        </w:tc>
        <w:tc>
          <w:tcPr>
            <w:tcW w:w="940" w:type="dxa"/>
            <w:vAlign w:val="bottom"/>
            <w:vMerge w:val="restart"/>
          </w:tcPr>
          <w:p>
            <w:pPr>
              <w:jc w:val="center"/>
              <w:ind w:right="182"/>
              <w:spacing w:after="0"/>
              <w:rPr>
                <w:sz w:val="20"/>
                <w:szCs w:val="20"/>
                <w:color w:val="auto"/>
              </w:rPr>
            </w:pPr>
            <w:r>
              <w:rPr>
                <w:rFonts w:ascii="Arial" w:cs="Arial" w:eastAsia="Arial" w:hAnsi="Arial"/>
                <w:sz w:val="16"/>
                <w:szCs w:val="16"/>
                <w:color w:val="auto"/>
                <w:w w:val="89"/>
              </w:rPr>
              <w:t>16</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80" w:type="dxa"/>
            <w:vAlign w:val="bottom"/>
            <w:vMerge w:val="restart"/>
          </w:tcPr>
          <w:p>
            <w:pPr>
              <w:spacing w:after="0"/>
              <w:rPr>
                <w:sz w:val="20"/>
                <w:szCs w:val="20"/>
                <w:color w:val="auto"/>
              </w:rPr>
            </w:pPr>
            <w:r>
              <w:rPr>
                <w:rFonts w:ascii="Arial" w:cs="Arial" w:eastAsia="Arial" w:hAnsi="Arial"/>
                <w:sz w:val="16"/>
                <w:szCs w:val="16"/>
                <w:color w:val="auto"/>
              </w:rPr>
              <w:t>Loans, net:</w:t>
            </w:r>
          </w:p>
        </w:tc>
        <w:tc>
          <w:tcPr>
            <w:tcW w:w="980" w:type="dxa"/>
            <w:vAlign w:val="bottom"/>
            <w:vMerge w:val="restart"/>
          </w:tcPr>
          <w:p>
            <w:pPr>
              <w:jc w:val="center"/>
              <w:ind w:right="202"/>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5" w:lineRule="exact"/>
              <w:rPr>
                <w:sz w:val="20"/>
                <w:szCs w:val="20"/>
                <w:color w:val="auto"/>
              </w:rPr>
            </w:pPr>
            <w:r>
              <w:rPr>
                <w:rFonts w:ascii="Arial" w:cs="Arial" w:eastAsia="Arial" w:hAnsi="Arial"/>
                <w:sz w:val="16"/>
                <w:szCs w:val="16"/>
                <w:color w:val="auto"/>
              </w:rPr>
              <w:t>Loans</w:t>
            </w:r>
          </w:p>
        </w:tc>
        <w:tc>
          <w:tcPr>
            <w:tcW w:w="980" w:type="dxa"/>
            <w:vAlign w:val="bottom"/>
          </w:tcPr>
          <w:p>
            <w:pPr>
              <w:spacing w:after="0"/>
              <w:rPr>
                <w:sz w:val="15"/>
                <w:szCs w:val="15"/>
                <w:color w:val="auto"/>
              </w:rPr>
            </w:pPr>
          </w:p>
        </w:tc>
        <w:tc>
          <w:tcPr>
            <w:tcW w:w="1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145,732,273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144,976,051</w:t>
            </w: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Equity attributable to</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180"/>
              <w:spacing w:after="0" w:line="175" w:lineRule="exact"/>
              <w:rPr>
                <w:sz w:val="20"/>
                <w:szCs w:val="20"/>
                <w:color w:val="auto"/>
              </w:rPr>
            </w:pPr>
            <w:r>
              <w:rPr>
                <w:rFonts w:ascii="Arial" w:cs="Arial" w:eastAsia="Arial" w:hAnsi="Arial"/>
                <w:sz w:val="16"/>
                <w:szCs w:val="16"/>
                <w:color w:val="auto"/>
              </w:rPr>
              <w:t>Credicorp's equity</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80" w:type="dxa"/>
            <w:vAlign w:val="bottom"/>
            <w:vMerge w:val="restart"/>
          </w:tcPr>
          <w:p>
            <w:pPr>
              <w:ind w:left="140"/>
              <w:spacing w:after="0"/>
              <w:rPr>
                <w:sz w:val="20"/>
                <w:szCs w:val="20"/>
                <w:color w:val="auto"/>
              </w:rPr>
            </w:pPr>
            <w:r>
              <w:rPr>
                <w:rFonts w:ascii="Arial" w:cs="Arial" w:eastAsia="Arial" w:hAnsi="Arial"/>
                <w:sz w:val="16"/>
                <w:szCs w:val="16"/>
                <w:color w:val="auto"/>
              </w:rPr>
              <w:t>Allowance for loan losses</w:t>
            </w:r>
          </w:p>
        </w:tc>
        <w:tc>
          <w:tcPr>
            <w:tcW w:w="980" w:type="dxa"/>
            <w:vAlign w:val="bottom"/>
          </w:tcPr>
          <w:p>
            <w:pPr>
              <w:spacing w:after="0"/>
              <w:rPr>
                <w:sz w:val="17"/>
                <w:szCs w:val="17"/>
                <w:color w:val="auto"/>
              </w:rPr>
            </w:pPr>
          </w:p>
        </w:tc>
        <w:tc>
          <w:tcPr>
            <w:tcW w:w="140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auto"/>
              </w:rPr>
              <w:t>(7,994,977)</w:t>
            </w: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(8,277,916)</w:t>
            </w:r>
          </w:p>
        </w:tc>
        <w:tc>
          <w:tcPr>
            <w:tcW w:w="2100" w:type="dxa"/>
            <w:vAlign w:val="bottom"/>
          </w:tcPr>
          <w:p>
            <w:pPr>
              <w:ind w:left="180"/>
              <w:spacing w:after="0"/>
              <w:rPr>
                <w:sz w:val="20"/>
                <w:szCs w:val="20"/>
                <w:color w:val="auto"/>
              </w:rPr>
            </w:pPr>
            <w:r>
              <w:rPr>
                <w:rFonts w:ascii="Arial" w:cs="Arial" w:eastAsia="Arial" w:hAnsi="Arial"/>
                <w:sz w:val="16"/>
                <w:szCs w:val="16"/>
                <w:color w:val="auto"/>
              </w:rPr>
              <w:t>holders:</w:t>
            </w: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100" w:type="dxa"/>
            <w:vAlign w:val="bottom"/>
            <w:vMerge w:val="restart"/>
          </w:tcPr>
          <w:p>
            <w:pPr>
              <w:ind w:left="180"/>
              <w:spacing w:after="0"/>
              <w:rPr>
                <w:sz w:val="20"/>
                <w:szCs w:val="20"/>
                <w:color w:val="auto"/>
              </w:rPr>
            </w:pPr>
            <w:r>
              <w:rPr>
                <w:rFonts w:ascii="Arial" w:cs="Arial" w:eastAsia="Arial" w:hAnsi="Arial"/>
                <w:sz w:val="16"/>
                <w:szCs w:val="16"/>
                <w:color w:val="auto"/>
              </w:rPr>
              <w:t>Capital stock</w:t>
            </w:r>
          </w:p>
        </w:tc>
        <w:tc>
          <w:tcPr>
            <w:tcW w:w="940" w:type="dxa"/>
            <w:vAlign w:val="bottom"/>
          </w:tcPr>
          <w:p>
            <w:pPr>
              <w:spacing w:after="0"/>
              <w:rPr>
                <w:sz w:val="13"/>
                <w:szCs w:val="13"/>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1,318,993</w:t>
            </w: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1,318,993</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137,737,296</w:t>
            </w:r>
          </w:p>
        </w:tc>
        <w:tc>
          <w:tcPr>
            <w:tcW w:w="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136,698,135</w:t>
            </w:r>
          </w:p>
        </w:tc>
        <w:tc>
          <w:tcPr>
            <w:tcW w:w="8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80" w:type="dxa"/>
            <w:vAlign w:val="bottom"/>
            <w:vMerge w:val="restart"/>
          </w:tcPr>
          <w:p>
            <w:pPr>
              <w:spacing w:after="0"/>
              <w:rPr>
                <w:sz w:val="20"/>
                <w:szCs w:val="20"/>
                <w:color w:val="auto"/>
              </w:rPr>
            </w:pPr>
            <w:r>
              <w:rPr>
                <w:rFonts w:ascii="Arial" w:cs="Arial" w:eastAsia="Arial" w:hAnsi="Arial"/>
                <w:sz w:val="16"/>
                <w:szCs w:val="16"/>
                <w:color w:val="auto"/>
              </w:rPr>
              <w:t>Financial assets designated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9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(208,879)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(208,033)</w:t>
            </w:r>
          </w:p>
        </w:tc>
        <w:tc>
          <w:tcPr>
            <w:tcW w:w="0" w:type="dxa"/>
            <w:vAlign w:val="bottom"/>
          </w:tcPr>
          <w:p>
            <w:pPr>
              <w:spacing w:after="0"/>
              <w:rPr>
                <w:sz w:val="1"/>
                <w:szCs w:val="1"/>
                <w:color w:val="auto"/>
              </w:rPr>
            </w:pPr>
          </w:p>
        </w:tc>
      </w:tr>
      <w:tr>
        <w:trPr>
          <w:trHeight w:val="145"/>
        </w:trPr>
        <w:tc>
          <w:tcPr>
            <w:tcW w:w="20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at fair value through profit</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180"/>
              <w:spacing w:after="0" w:line="175" w:lineRule="exact"/>
              <w:rPr>
                <w:sz w:val="20"/>
                <w:szCs w:val="20"/>
                <w:color w:val="auto"/>
              </w:rPr>
            </w:pPr>
            <w:r>
              <w:rPr>
                <w:rFonts w:ascii="Arial" w:cs="Arial" w:eastAsia="Arial" w:hAnsi="Arial"/>
                <w:sz w:val="16"/>
                <w:szCs w:val="16"/>
                <w:color w:val="auto"/>
              </w:rPr>
              <w:t>Capital surplus</w:t>
            </w:r>
          </w:p>
        </w:tc>
        <w:tc>
          <w:tcPr>
            <w:tcW w:w="940" w:type="dxa"/>
            <w:vAlign w:val="bottom"/>
          </w:tcPr>
          <w:p>
            <w:pPr>
              <w:spacing w:after="0"/>
              <w:rPr>
                <w:sz w:val="15"/>
                <w:szCs w:val="15"/>
                <w:color w:val="auto"/>
              </w:rPr>
            </w:pP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176,307</w:t>
            </w: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228,239</w:t>
            </w:r>
          </w:p>
        </w:tc>
        <w:tc>
          <w:tcPr>
            <w:tcW w:w="0" w:type="dxa"/>
            <w:vAlign w:val="bottom"/>
          </w:tcPr>
          <w:p>
            <w:pPr>
              <w:spacing w:after="0"/>
              <w:rPr>
                <w:sz w:val="1"/>
                <w:szCs w:val="1"/>
                <w:color w:val="auto"/>
              </w:rPr>
            </w:pPr>
          </w:p>
        </w:tc>
      </w:t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or loss</w:t>
            </w:r>
          </w:p>
        </w:tc>
        <w:tc>
          <w:tcPr>
            <w:tcW w:w="980" w:type="dxa"/>
            <w:vAlign w:val="bottom"/>
          </w:tcPr>
          <w:p>
            <w:pPr>
              <w:jc w:val="center"/>
              <w:ind w:right="202"/>
              <w:spacing w:after="0" w:line="175" w:lineRule="exact"/>
              <w:rPr>
                <w:sz w:val="20"/>
                <w:szCs w:val="20"/>
                <w:color w:val="auto"/>
              </w:rPr>
            </w:pPr>
            <w:r>
              <w:rPr>
                <w:rFonts w:ascii="Arial" w:cs="Arial" w:eastAsia="Arial" w:hAnsi="Arial"/>
                <w:sz w:val="16"/>
                <w:szCs w:val="16"/>
                <w:color w:val="auto"/>
                <w:w w:val="91"/>
              </w:rPr>
              <w:t>3(f)</w:t>
            </w:r>
          </w:p>
        </w:tc>
        <w:tc>
          <w:tcPr>
            <w:tcW w:w="1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932,734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810,932</w:t>
            </w:r>
          </w:p>
        </w:tc>
        <w:tc>
          <w:tcPr>
            <w:tcW w:w="2100" w:type="dxa"/>
            <w:vAlign w:val="bottom"/>
          </w:tcPr>
          <w:p>
            <w:pPr>
              <w:ind w:left="180"/>
              <w:spacing w:after="0" w:line="175" w:lineRule="exact"/>
              <w:rPr>
                <w:sz w:val="20"/>
                <w:szCs w:val="20"/>
                <w:color w:val="auto"/>
              </w:rPr>
            </w:pPr>
            <w:r>
              <w:rPr>
                <w:rFonts w:ascii="Arial" w:cs="Arial" w:eastAsia="Arial" w:hAnsi="Arial"/>
                <w:sz w:val="16"/>
                <w:szCs w:val="16"/>
                <w:color w:val="auto"/>
              </w:rPr>
              <w:t>Reserves</w:t>
            </w:r>
          </w:p>
        </w:tc>
        <w:tc>
          <w:tcPr>
            <w:tcW w:w="9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27,202,665</w:t>
            </w:r>
          </w:p>
        </w:tc>
        <w:tc>
          <w:tcPr>
            <w:tcW w:w="200" w:type="dxa"/>
            <w:vAlign w:val="bottom"/>
          </w:tcPr>
          <w:p>
            <w:pPr>
              <w:spacing w:after="0"/>
              <w:rPr>
                <w:sz w:val="15"/>
                <w:szCs w:val="15"/>
                <w:color w:val="auto"/>
              </w:rPr>
            </w:pP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26,252,578</w:t>
            </w:r>
          </w:p>
        </w:tc>
        <w:tc>
          <w:tcPr>
            <w:tcW w:w="0" w:type="dxa"/>
            <w:vAlign w:val="bottom"/>
          </w:tcPr>
          <w:p>
            <w:pPr>
              <w:spacing w:after="0"/>
              <w:rPr>
                <w:sz w:val="1"/>
                <w:szCs w:val="1"/>
                <w:color w:val="auto"/>
              </w:rPr>
            </w:pPr>
          </w:p>
        </w:tc>
      </w:t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Reinsurance contract</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assets</w:t>
            </w:r>
          </w:p>
        </w:tc>
        <w:tc>
          <w:tcPr>
            <w:tcW w:w="98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8"/>
              </w:rPr>
              <w:t>8(a)</w:t>
            </w:r>
          </w:p>
        </w:tc>
        <w:tc>
          <w:tcPr>
            <w:tcW w:w="1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841,170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872,046</w:t>
            </w:r>
          </w:p>
        </w:tc>
        <w:tc>
          <w:tcPr>
            <w:tcW w:w="2100" w:type="dxa"/>
            <w:vAlign w:val="bottom"/>
          </w:tcPr>
          <w:p>
            <w:pPr>
              <w:ind w:left="180"/>
              <w:spacing w:after="0" w:line="175" w:lineRule="exact"/>
              <w:rPr>
                <w:sz w:val="20"/>
                <w:szCs w:val="20"/>
                <w:color w:val="auto"/>
              </w:rPr>
            </w:pPr>
            <w:r>
              <w:rPr>
                <w:rFonts w:ascii="Arial" w:cs="Arial" w:eastAsia="Arial" w:hAnsi="Arial"/>
                <w:sz w:val="16"/>
                <w:szCs w:val="16"/>
                <w:color w:val="auto"/>
              </w:rPr>
              <w:t>Other Reserves</w:t>
            </w:r>
          </w:p>
        </w:tc>
        <w:tc>
          <w:tcPr>
            <w:tcW w:w="940" w:type="dxa"/>
            <w:vAlign w:val="bottom"/>
          </w:tcPr>
          <w:p>
            <w:pPr>
              <w:spacing w:after="0"/>
              <w:rPr>
                <w:sz w:val="15"/>
                <w:szCs w:val="15"/>
                <w:color w:val="auto"/>
              </w:rPr>
            </w:pP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214,627</w:t>
            </w: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295,783</w:t>
            </w:r>
          </w:p>
        </w:tc>
        <w:tc>
          <w:tcPr>
            <w:tcW w:w="0" w:type="dxa"/>
            <w:vAlign w:val="bottom"/>
          </w:tcPr>
          <w:p>
            <w:pPr>
              <w:spacing w:after="0"/>
              <w:rPr>
                <w:sz w:val="1"/>
                <w:szCs w:val="1"/>
                <w:color w:val="auto"/>
              </w:rPr>
            </w:pPr>
          </w:p>
        </w:tc>
      </w:t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Property, furniture and</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20"/>
                <w:szCs w:val="20"/>
                <w:color w:val="auto"/>
              </w:rPr>
            </w:pPr>
            <w:r>
              <w:rPr>
                <w:rFonts w:ascii="Arial" w:cs="Arial" w:eastAsia="Arial" w:hAnsi="Arial"/>
                <w:sz w:val="16"/>
                <w:szCs w:val="16"/>
                <w:color w:val="auto"/>
              </w:rPr>
              <w:t>equipment, net</w:t>
            </w:r>
          </w:p>
        </w:tc>
        <w:tc>
          <w:tcPr>
            <w:tcW w:w="980" w:type="dxa"/>
            <w:vAlign w:val="bottom"/>
          </w:tcPr>
          <w:p>
            <w:pPr>
              <w:jc w:val="center"/>
              <w:ind w:right="202"/>
              <w:spacing w:after="0"/>
              <w:rPr>
                <w:sz w:val="20"/>
                <w:szCs w:val="20"/>
                <w:color w:val="auto"/>
              </w:rPr>
            </w:pPr>
            <w:r>
              <w:rPr>
                <w:rFonts w:ascii="Arial" w:cs="Arial" w:eastAsia="Arial" w:hAnsi="Arial"/>
                <w:sz w:val="16"/>
                <w:szCs w:val="16"/>
                <w:color w:val="auto"/>
              </w:rPr>
              <w:t>9</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1,438,609</w:t>
            </w:r>
          </w:p>
        </w:tc>
        <w:tc>
          <w:tcPr>
            <w:tcW w:w="2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1,357,525</w:t>
            </w:r>
          </w:p>
        </w:tc>
        <w:tc>
          <w:tcPr>
            <w:tcW w:w="21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94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5,642,738</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4,572,444</w:t>
            </w:r>
          </w:p>
        </w:tc>
        <w:tc>
          <w:tcPr>
            <w:tcW w:w="0" w:type="dxa"/>
            <w:vAlign w:val="bottom"/>
          </w:tcPr>
          <w:p>
            <w:pPr>
              <w:spacing w:after="0"/>
              <w:rPr>
                <w:sz w:val="1"/>
                <w:szCs w:val="1"/>
                <w:color w:val="auto"/>
              </w:rPr>
            </w:pPr>
          </w:p>
        </w:tc>
      </w:tr>
      <w:tr>
        <w:trPr>
          <w:trHeight w:val="152"/>
        </w:trPr>
        <w:tc>
          <w:tcPr>
            <w:tcW w:w="2080" w:type="dxa"/>
            <w:vAlign w:val="bottom"/>
          </w:tcPr>
          <w:p>
            <w:pPr>
              <w:spacing w:after="0" w:line="152" w:lineRule="exact"/>
              <w:rPr>
                <w:sz w:val="20"/>
                <w:szCs w:val="20"/>
                <w:color w:val="auto"/>
              </w:rPr>
            </w:pPr>
            <w:r>
              <w:rPr>
                <w:rFonts w:ascii="Arial" w:cs="Arial" w:eastAsia="Arial" w:hAnsi="Arial"/>
                <w:sz w:val="16"/>
                <w:szCs w:val="16"/>
                <w:color w:val="auto"/>
              </w:rPr>
              <w:t>Due from customers on</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banker’s acceptances</w:t>
            </w:r>
          </w:p>
        </w:tc>
        <w:tc>
          <w:tcPr>
            <w:tcW w:w="98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8"/>
              </w:rPr>
              <w:t>7(b)</w:t>
            </w:r>
          </w:p>
        </w:tc>
        <w:tc>
          <w:tcPr>
            <w:tcW w:w="1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528,184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412,401</w:t>
            </w: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34,346,451</w:t>
            </w:r>
          </w:p>
        </w:tc>
        <w:tc>
          <w:tcPr>
            <w:tcW w:w="200" w:type="dxa"/>
            <w:vAlign w:val="bottom"/>
          </w:tcPr>
          <w:p>
            <w:pPr>
              <w:spacing w:after="0"/>
              <w:rPr>
                <w:sz w:val="15"/>
                <w:szCs w:val="15"/>
                <w:color w:val="auto"/>
              </w:rPr>
            </w:pP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32,460,004</w:t>
            </w:r>
          </w:p>
        </w:tc>
        <w:tc>
          <w:tcPr>
            <w:tcW w:w="0" w:type="dxa"/>
            <w:vAlign w:val="bottom"/>
          </w:tcPr>
          <w:p>
            <w:pPr>
              <w:spacing w:after="0"/>
              <w:rPr>
                <w:sz w:val="1"/>
                <w:szCs w:val="1"/>
                <w:color w:val="auto"/>
              </w:rPr>
            </w:pPr>
          </w:p>
        </w:tc>
      </w:t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Intangible assets and</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line="175" w:lineRule="exact"/>
              <w:rPr>
                <w:sz w:val="20"/>
                <w:szCs w:val="20"/>
                <w:color w:val="auto"/>
              </w:rPr>
            </w:pPr>
            <w:r>
              <w:rPr>
                <w:rFonts w:ascii="Arial" w:cs="Arial" w:eastAsia="Arial" w:hAnsi="Arial"/>
                <w:sz w:val="16"/>
                <w:szCs w:val="16"/>
                <w:color w:val="auto"/>
              </w:rPr>
              <w:t>goodwill, net</w:t>
            </w:r>
          </w:p>
        </w:tc>
        <w:tc>
          <w:tcPr>
            <w:tcW w:w="980" w:type="dxa"/>
            <w:vAlign w:val="bottom"/>
          </w:tcPr>
          <w:p>
            <w:pPr>
              <w:jc w:val="center"/>
              <w:ind w:right="202"/>
              <w:spacing w:after="0" w:line="175" w:lineRule="exact"/>
              <w:rPr>
                <w:sz w:val="20"/>
                <w:szCs w:val="20"/>
                <w:color w:val="auto"/>
              </w:rPr>
            </w:pPr>
            <w:r>
              <w:rPr>
                <w:rFonts w:ascii="Arial" w:cs="Arial" w:eastAsia="Arial" w:hAnsi="Arial"/>
                <w:sz w:val="16"/>
                <w:szCs w:val="16"/>
                <w:color w:val="auto"/>
              </w:rPr>
              <w:t>10</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3,289,157</w:t>
            </w:r>
          </w:p>
        </w:tc>
        <w:tc>
          <w:tcPr>
            <w:tcW w:w="220" w:type="dxa"/>
            <w:vAlign w:val="bottom"/>
          </w:tcPr>
          <w:p>
            <w:pPr>
              <w:spacing w:after="0"/>
              <w:rPr>
                <w:sz w:val="15"/>
                <w:szCs w:val="15"/>
                <w:color w:val="auto"/>
              </w:rPr>
            </w:pPr>
          </w:p>
        </w:tc>
        <w:tc>
          <w:tcPr>
            <w:tcW w:w="12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3,225,499</w:t>
            </w:r>
          </w:p>
        </w:tc>
        <w:tc>
          <w:tcPr>
            <w:tcW w:w="2100" w:type="dxa"/>
            <w:vAlign w:val="bottom"/>
          </w:tcPr>
          <w:p>
            <w:pPr>
              <w:ind w:left="40"/>
              <w:spacing w:after="0" w:line="175" w:lineRule="exact"/>
              <w:rPr>
                <w:sz w:val="20"/>
                <w:szCs w:val="20"/>
                <w:color w:val="auto"/>
              </w:rPr>
            </w:pPr>
            <w:r>
              <w:rPr>
                <w:rFonts w:ascii="Arial" w:cs="Arial" w:eastAsia="Arial" w:hAnsi="Arial"/>
                <w:sz w:val="16"/>
                <w:szCs w:val="16"/>
                <w:color w:val="auto"/>
              </w:rPr>
              <w:t>Non-controlling interest</w:t>
            </w:r>
          </w:p>
        </w:tc>
        <w:tc>
          <w:tcPr>
            <w:tcW w:w="940" w:type="dxa"/>
            <w:vAlign w:val="bottom"/>
          </w:tcPr>
          <w:p>
            <w:pPr>
              <w:spacing w:after="0"/>
              <w:rPr>
                <w:sz w:val="15"/>
                <w:szCs w:val="15"/>
                <w:color w:val="auto"/>
              </w:rPr>
            </w:pP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630,783</w:t>
            </w:r>
          </w:p>
        </w:tc>
        <w:tc>
          <w:tcPr>
            <w:tcW w:w="11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647,061</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20"/>
                <w:szCs w:val="20"/>
                <w:color w:val="auto"/>
              </w:rPr>
            </w:pPr>
            <w:r>
              <w:rPr>
                <w:rFonts w:ascii="Arial" w:cs="Arial" w:eastAsia="Arial" w:hAnsi="Arial"/>
                <w:sz w:val="16"/>
                <w:szCs w:val="16"/>
                <w:color w:val="auto"/>
              </w:rPr>
              <w:t>Right-of-use assets, net</w:t>
            </w:r>
          </w:p>
        </w:tc>
        <w:tc>
          <w:tcPr>
            <w:tcW w:w="980" w:type="dxa"/>
            <w:vAlign w:val="bottom"/>
          </w:tcPr>
          <w:p>
            <w:pPr>
              <w:jc w:val="center"/>
              <w:ind w:right="202"/>
              <w:spacing w:after="0"/>
              <w:rPr>
                <w:sz w:val="20"/>
                <w:szCs w:val="20"/>
                <w:color w:val="auto"/>
              </w:rPr>
            </w:pPr>
            <w:r>
              <w:rPr>
                <w:rFonts w:ascii="Arial" w:cs="Arial" w:eastAsia="Arial" w:hAnsi="Arial"/>
                <w:sz w:val="16"/>
                <w:szCs w:val="16"/>
                <w:color w:val="auto"/>
                <w:w w:val="90"/>
              </w:rPr>
              <w:t>11(a)</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402,538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499,715</w:t>
            </w:r>
          </w:p>
        </w:tc>
        <w:tc>
          <w:tcPr>
            <w:tcW w:w="2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equity</w:t>
            </w:r>
          </w:p>
        </w:tc>
        <w:tc>
          <w:tcPr>
            <w:tcW w:w="9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80" w:type="dxa"/>
            <w:vAlign w:val="bottom"/>
          </w:tcPr>
          <w:p>
            <w:pPr>
              <w:spacing w:after="0" w:line="167" w:lineRule="exact"/>
              <w:rPr>
                <w:sz w:val="20"/>
                <w:szCs w:val="20"/>
                <w:color w:val="auto"/>
              </w:rPr>
            </w:pPr>
            <w:r>
              <w:rPr>
                <w:rFonts w:ascii="Arial" w:cs="Arial" w:eastAsia="Arial" w:hAnsi="Arial"/>
                <w:sz w:val="16"/>
                <w:szCs w:val="16"/>
                <w:color w:val="auto"/>
              </w:rPr>
              <w:t>Deferred tax assets, net</w:t>
            </w:r>
          </w:p>
        </w:tc>
        <w:tc>
          <w:tcPr>
            <w:tcW w:w="980" w:type="dxa"/>
            <w:vAlign w:val="bottom"/>
          </w:tcPr>
          <w:p>
            <w:pPr>
              <w:jc w:val="center"/>
              <w:ind w:right="202"/>
              <w:spacing w:after="0" w:line="167" w:lineRule="exact"/>
              <w:rPr>
                <w:sz w:val="20"/>
                <w:szCs w:val="20"/>
                <w:color w:val="auto"/>
              </w:rPr>
            </w:pPr>
            <w:r>
              <w:rPr>
                <w:rFonts w:ascii="Arial" w:cs="Arial" w:eastAsia="Arial" w:hAnsi="Arial"/>
                <w:sz w:val="16"/>
                <w:szCs w:val="16"/>
                <w:color w:val="auto"/>
                <w:w w:val="93"/>
              </w:rPr>
              <w:t>17(c)</w:t>
            </w:r>
          </w:p>
        </w:tc>
        <w:tc>
          <w:tcPr>
            <w:tcW w:w="1180" w:type="dxa"/>
            <w:vAlign w:val="bottom"/>
            <w:gridSpan w:val="3"/>
          </w:tcPr>
          <w:p>
            <w:pPr>
              <w:jc w:val="right"/>
              <w:ind w:right="20"/>
              <w:spacing w:after="0" w:line="167" w:lineRule="exact"/>
              <w:rPr>
                <w:sz w:val="20"/>
                <w:szCs w:val="20"/>
                <w:color w:val="auto"/>
              </w:rPr>
            </w:pPr>
            <w:r>
              <w:rPr>
                <w:rFonts w:ascii="Arial" w:cs="Arial" w:eastAsia="Arial" w:hAnsi="Arial"/>
                <w:sz w:val="16"/>
                <w:szCs w:val="16"/>
                <w:color w:val="auto"/>
              </w:rPr>
              <w:t>1,170,866</w:t>
            </w:r>
          </w:p>
        </w:tc>
        <w:tc>
          <w:tcPr>
            <w:tcW w:w="220" w:type="dxa"/>
            <w:vAlign w:val="bottom"/>
          </w:tcPr>
          <w:p>
            <w:pPr>
              <w:spacing w:after="0"/>
              <w:rPr>
                <w:sz w:val="14"/>
                <w:szCs w:val="14"/>
                <w:color w:val="auto"/>
              </w:rPr>
            </w:pPr>
          </w:p>
        </w:tc>
        <w:tc>
          <w:tcPr>
            <w:tcW w:w="1220" w:type="dxa"/>
            <w:vAlign w:val="bottom"/>
            <w:gridSpan w:val="2"/>
          </w:tcPr>
          <w:p>
            <w:pPr>
              <w:jc w:val="right"/>
              <w:ind w:right="80"/>
              <w:spacing w:after="0" w:line="167" w:lineRule="exact"/>
              <w:rPr>
                <w:sz w:val="20"/>
                <w:szCs w:val="20"/>
                <w:color w:val="auto"/>
              </w:rPr>
            </w:pPr>
            <w:r>
              <w:rPr>
                <w:rFonts w:ascii="Arial" w:cs="Arial" w:eastAsia="Arial" w:hAnsi="Arial"/>
                <w:sz w:val="16"/>
                <w:szCs w:val="16"/>
                <w:color w:val="auto"/>
              </w:rPr>
              <w:t>1,182,195</w:t>
            </w:r>
          </w:p>
        </w:tc>
        <w:tc>
          <w:tcPr>
            <w:tcW w:w="210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34,977,234</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33,107,065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80" w:type="dxa"/>
            <w:vAlign w:val="bottom"/>
          </w:tcPr>
          <w:p>
            <w:pPr>
              <w:spacing w:after="0" w:line="167" w:lineRule="exact"/>
              <w:rPr>
                <w:sz w:val="20"/>
                <w:szCs w:val="20"/>
                <w:color w:val="auto"/>
              </w:rPr>
            </w:pPr>
            <w:r>
              <w:rPr>
                <w:rFonts w:ascii="Arial" w:cs="Arial" w:eastAsia="Arial" w:hAnsi="Arial"/>
                <w:sz w:val="16"/>
                <w:szCs w:val="16"/>
                <w:color w:val="auto"/>
              </w:rPr>
              <w:t>Other assets</w:t>
            </w:r>
          </w:p>
        </w:tc>
        <w:tc>
          <w:tcPr>
            <w:tcW w:w="980" w:type="dxa"/>
            <w:vAlign w:val="bottom"/>
          </w:tcPr>
          <w:p>
            <w:pPr>
              <w:jc w:val="center"/>
              <w:ind w:right="202"/>
              <w:spacing w:after="0" w:line="167" w:lineRule="exact"/>
              <w:rPr>
                <w:sz w:val="20"/>
                <w:szCs w:val="20"/>
                <w:color w:val="auto"/>
              </w:rPr>
            </w:pPr>
            <w:r>
              <w:rPr>
                <w:rFonts w:ascii="Arial" w:cs="Arial" w:eastAsia="Arial" w:hAnsi="Arial"/>
                <w:sz w:val="16"/>
                <w:szCs w:val="16"/>
                <w:color w:val="auto"/>
              </w:rPr>
              <w:t>12</w:t>
            </w:r>
          </w:p>
        </w:tc>
        <w:tc>
          <w:tcPr>
            <w:tcW w:w="1180" w:type="dxa"/>
            <w:vAlign w:val="bottom"/>
            <w:gridSpan w:val="3"/>
          </w:tcPr>
          <w:p>
            <w:pPr>
              <w:jc w:val="right"/>
              <w:ind w:right="20"/>
              <w:spacing w:after="0" w:line="167" w:lineRule="exact"/>
              <w:rPr>
                <w:sz w:val="20"/>
                <w:szCs w:val="20"/>
                <w:color w:val="auto"/>
              </w:rPr>
            </w:pPr>
            <w:r>
              <w:rPr>
                <w:rFonts w:ascii="Arial" w:cs="Arial" w:eastAsia="Arial" w:hAnsi="Arial"/>
                <w:sz w:val="16"/>
                <w:szCs w:val="16"/>
                <w:color w:val="auto"/>
              </w:rPr>
              <w:t>7,234,155</w:t>
            </w:r>
          </w:p>
        </w:tc>
        <w:tc>
          <w:tcPr>
            <w:tcW w:w="220" w:type="dxa"/>
            <w:vAlign w:val="bottom"/>
          </w:tcPr>
          <w:p>
            <w:pPr>
              <w:spacing w:after="0"/>
              <w:rPr>
                <w:sz w:val="14"/>
                <w:szCs w:val="14"/>
                <w:color w:val="auto"/>
              </w:rPr>
            </w:pPr>
          </w:p>
        </w:tc>
        <w:tc>
          <w:tcPr>
            <w:tcW w:w="1220" w:type="dxa"/>
            <w:vAlign w:val="bottom"/>
            <w:gridSpan w:val="2"/>
          </w:tcPr>
          <w:p>
            <w:pPr>
              <w:jc w:val="right"/>
              <w:ind w:right="80"/>
              <w:spacing w:after="0" w:line="167" w:lineRule="exact"/>
              <w:rPr>
                <w:sz w:val="20"/>
                <w:szCs w:val="20"/>
                <w:color w:val="auto"/>
              </w:rPr>
            </w:pPr>
            <w:r>
              <w:rPr>
                <w:rFonts w:ascii="Arial" w:cs="Arial" w:eastAsia="Arial" w:hAnsi="Arial"/>
                <w:sz w:val="16"/>
                <w:szCs w:val="16"/>
                <w:color w:val="auto"/>
              </w:rPr>
              <w:t>6,224,617</w:t>
            </w:r>
          </w:p>
        </w:tc>
        <w:tc>
          <w:tcPr>
            <w:tcW w:w="2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80" w:type="dxa"/>
            <w:vAlign w:val="bottom"/>
          </w:tcPr>
          <w:p>
            <w:pPr>
              <w:spacing w:after="0" w:line="167" w:lineRule="exact"/>
              <w:rPr>
                <w:sz w:val="20"/>
                <w:szCs w:val="20"/>
                <w:color w:val="auto"/>
              </w:rPr>
            </w:pPr>
            <w:r>
              <w:rPr>
                <w:rFonts w:ascii="Arial" w:cs="Arial" w:eastAsia="Arial" w:hAnsi="Arial"/>
                <w:sz w:val="16"/>
                <w:szCs w:val="16"/>
                <w:b w:val="1"/>
                <w:bCs w:val="1"/>
                <w:color w:val="auto"/>
              </w:rPr>
              <w:t>Total assets</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256,088,940</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238,840,188</w:t>
            </w:r>
          </w:p>
        </w:tc>
        <w:tc>
          <w:tcPr>
            <w:tcW w:w="80" w:type="dxa"/>
            <w:vAlign w:val="bottom"/>
          </w:tcPr>
          <w:p>
            <w:pPr>
              <w:spacing w:after="0"/>
              <w:rPr>
                <w:sz w:val="14"/>
                <w:szCs w:val="14"/>
                <w:color w:val="auto"/>
              </w:rPr>
            </w:pPr>
          </w:p>
        </w:tc>
        <w:tc>
          <w:tcPr>
            <w:tcW w:w="2100" w:type="dxa"/>
            <w:vAlign w:val="bottom"/>
          </w:tcPr>
          <w:p>
            <w:pPr>
              <w:ind w:left="40"/>
              <w:spacing w:after="0" w:line="167" w:lineRule="exact"/>
              <w:rPr>
                <w:sz w:val="20"/>
                <w:szCs w:val="20"/>
                <w:color w:val="auto"/>
              </w:rPr>
            </w:pPr>
            <w:r>
              <w:rPr>
                <w:rFonts w:ascii="Arial" w:cs="Arial" w:eastAsia="Arial" w:hAnsi="Arial"/>
                <w:sz w:val="16"/>
                <w:szCs w:val="16"/>
                <w:b w:val="1"/>
                <w:bCs w:val="1"/>
                <w:color w:val="auto"/>
              </w:rPr>
              <w:t>Total liabilities and equity</w:t>
            </w:r>
          </w:p>
        </w:tc>
        <w:tc>
          <w:tcPr>
            <w:tcW w:w="9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256,088,940</w:t>
            </w:r>
          </w:p>
        </w:tc>
        <w:tc>
          <w:tcPr>
            <w:tcW w:w="2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238,840,188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4"/>
        </w:trPr>
        <w:tc>
          <w:tcPr>
            <w:tcW w:w="6000" w:type="dxa"/>
            <w:vAlign w:val="bottom"/>
          </w:tcPr>
          <w:p>
            <w:pPr>
              <w:spacing w:after="0"/>
              <w:rPr>
                <w:sz w:val="20"/>
                <w:szCs w:val="20"/>
                <w:color w:val="auto"/>
              </w:rPr>
            </w:pPr>
            <w:r>
              <w:rPr>
                <w:rFonts w:ascii="Arial" w:cs="Arial" w:eastAsia="Arial" w:hAnsi="Arial"/>
                <w:sz w:val="16"/>
                <w:szCs w:val="16"/>
                <w:b w:val="1"/>
                <w:bCs w:val="1"/>
                <w:color w:val="auto"/>
              </w:rPr>
              <w:t>CREDICORP LTD. AND SUBSIDIARIES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00" w:type="dxa"/>
            <w:vAlign w:val="bottom"/>
          </w:tcPr>
          <w:p>
            <w:pPr>
              <w:spacing w:after="0"/>
              <w:rPr>
                <w:sz w:val="20"/>
                <w:szCs w:val="20"/>
                <w:color w:val="auto"/>
              </w:rPr>
            </w:pPr>
            <w:r>
              <w:rPr>
                <w:rFonts w:ascii="Arial" w:cs="Arial" w:eastAsia="Arial" w:hAnsi="Arial"/>
                <w:sz w:val="16"/>
                <w:szCs w:val="16"/>
                <w:color w:val="auto"/>
              </w:rPr>
              <w:t>CONSOLIDATED STATEMENT OF INCOME</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6"/>
                <w:szCs w:val="16"/>
                <w:color w:val="auto"/>
              </w:rPr>
              <w:t>FOR THE YEARS ENDED DECEMBER 31, 2024, 2023 AND 2022</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6000" w:type="dxa"/>
            <w:vAlign w:val="bottom"/>
          </w:tcPr>
          <w:p>
            <w:pPr>
              <w:spacing w:after="0"/>
              <w:rPr>
                <w:sz w:val="24"/>
                <w:szCs w:val="24"/>
                <w:color w:val="auto"/>
              </w:rPr>
            </w:pPr>
          </w:p>
        </w:tc>
        <w:tc>
          <w:tcPr>
            <w:tcW w:w="1300" w:type="dxa"/>
            <w:vAlign w:val="bottom"/>
          </w:tcPr>
          <w:p>
            <w:pPr>
              <w:jc w:val="center"/>
              <w:ind w:right="122"/>
              <w:spacing w:after="0"/>
              <w:rPr>
                <w:sz w:val="20"/>
                <w:szCs w:val="20"/>
                <w:color w:val="auto"/>
              </w:rPr>
            </w:pPr>
            <w:r>
              <w:rPr>
                <w:rFonts w:ascii="Arial" w:cs="Arial" w:eastAsia="Arial" w:hAnsi="Arial"/>
                <w:sz w:val="16"/>
                <w:szCs w:val="16"/>
                <w:b w:val="1"/>
                <w:bCs w:val="1"/>
                <w:color w:val="auto"/>
                <w:w w:val="95"/>
              </w:rPr>
              <w:t>Note</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000" w:type="dxa"/>
            <w:vAlign w:val="bottom"/>
          </w:tcPr>
          <w:p>
            <w:pPr>
              <w:spacing w:after="0"/>
              <w:rPr>
                <w:sz w:val="20"/>
                <w:szCs w:val="20"/>
                <w:color w:val="auto"/>
              </w:rPr>
            </w:pPr>
            <w:r>
              <w:rPr>
                <w:rFonts w:ascii="Arial" w:cs="Arial" w:eastAsia="Arial" w:hAnsi="Arial"/>
                <w:sz w:val="16"/>
                <w:szCs w:val="16"/>
                <w:color w:val="auto"/>
              </w:rPr>
              <w:t>Interest and similar income</w:t>
            </w:r>
          </w:p>
        </w:tc>
        <w:tc>
          <w:tcPr>
            <w:tcW w:w="1300" w:type="dxa"/>
            <w:vAlign w:val="bottom"/>
          </w:tcPr>
          <w:p>
            <w:pPr>
              <w:jc w:val="center"/>
              <w:ind w:right="122"/>
              <w:spacing w:after="0"/>
              <w:rPr>
                <w:sz w:val="20"/>
                <w:szCs w:val="20"/>
                <w:color w:val="auto"/>
              </w:rPr>
            </w:pPr>
            <w:r>
              <w:rPr>
                <w:rFonts w:ascii="Arial" w:cs="Arial" w:eastAsia="Arial" w:hAnsi="Arial"/>
                <w:sz w:val="16"/>
                <w:szCs w:val="16"/>
                <w:color w:val="auto"/>
              </w:rPr>
              <w:t>19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19,869,256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18,798,495</w:t>
            </w:r>
          </w:p>
        </w:tc>
        <w:tc>
          <w:tcPr>
            <w:tcW w:w="20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15,011,282</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20"/>
                <w:szCs w:val="20"/>
                <w:color w:val="auto"/>
              </w:rPr>
            </w:pPr>
            <w:r>
              <w:rPr>
                <w:rFonts w:ascii="Arial" w:cs="Arial" w:eastAsia="Arial" w:hAnsi="Arial"/>
                <w:sz w:val="16"/>
                <w:szCs w:val="16"/>
                <w:color w:val="auto"/>
              </w:rPr>
              <w:t>Interest and similar expenses</w:t>
            </w:r>
          </w:p>
        </w:tc>
        <w:tc>
          <w:tcPr>
            <w:tcW w:w="1300" w:type="dxa"/>
            <w:vAlign w:val="bottom"/>
          </w:tcPr>
          <w:p>
            <w:pPr>
              <w:jc w:val="center"/>
              <w:ind w:right="122"/>
              <w:spacing w:after="0"/>
              <w:rPr>
                <w:sz w:val="20"/>
                <w:szCs w:val="20"/>
                <w:color w:val="auto"/>
              </w:rPr>
            </w:pPr>
            <w:r>
              <w:rPr>
                <w:rFonts w:ascii="Arial" w:cs="Arial" w:eastAsia="Arial" w:hAnsi="Arial"/>
                <w:sz w:val="16"/>
                <w:szCs w:val="16"/>
                <w:color w:val="auto"/>
              </w:rPr>
              <w:t>19</w:t>
            </w:r>
          </w:p>
        </w:tc>
        <w:tc>
          <w:tcPr>
            <w:tcW w:w="1280" w:type="dxa"/>
            <w:vAlign w:val="bottom"/>
            <w:gridSpan w:val="4"/>
          </w:tcPr>
          <w:p>
            <w:pPr>
              <w:jc w:val="right"/>
              <w:ind w:right="80"/>
              <w:spacing w:after="0"/>
              <w:rPr>
                <w:sz w:val="20"/>
                <w:szCs w:val="20"/>
                <w:color w:val="auto"/>
              </w:rPr>
            </w:pPr>
            <w:r>
              <w:rPr>
                <w:rFonts w:ascii="Arial" w:cs="Arial" w:eastAsia="Arial" w:hAnsi="Arial"/>
                <w:sz w:val="16"/>
                <w:szCs w:val="16"/>
                <w:color w:val="auto"/>
              </w:rPr>
              <w:t>(5,754,125)</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(5,860,523)</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(3,919,664)</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Arial" w:cs="Arial" w:eastAsia="Arial" w:hAnsi="Arial"/>
                <w:sz w:val="16"/>
                <w:szCs w:val="16"/>
                <w:b w:val="1"/>
                <w:bCs w:val="1"/>
                <w:color w:val="auto"/>
              </w:rPr>
              <w:t>Net interest, similar income and expenses</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14,115,131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12,937,972</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11,091,618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6000" w:type="dxa"/>
            <w:vAlign w:val="bottom"/>
          </w:tcPr>
          <w:p>
            <w:pPr>
              <w:spacing w:after="0"/>
              <w:rPr>
                <w:sz w:val="20"/>
                <w:szCs w:val="20"/>
                <w:color w:val="auto"/>
              </w:rPr>
            </w:pPr>
            <w:r>
              <w:rPr>
                <w:rFonts w:ascii="Arial" w:cs="Arial" w:eastAsia="Arial" w:hAnsi="Arial"/>
                <w:sz w:val="16"/>
                <w:szCs w:val="16"/>
                <w:color w:val="auto"/>
              </w:rPr>
              <w:t>Provision for credit losses on loan portfolio</w:t>
            </w:r>
          </w:p>
        </w:tc>
        <w:tc>
          <w:tcPr>
            <w:tcW w:w="1300" w:type="dxa"/>
            <w:vAlign w:val="bottom"/>
          </w:tcPr>
          <w:p>
            <w:pPr>
              <w:jc w:val="center"/>
              <w:ind w:right="122"/>
              <w:spacing w:after="0"/>
              <w:rPr>
                <w:sz w:val="20"/>
                <w:szCs w:val="20"/>
                <w:color w:val="auto"/>
              </w:rPr>
            </w:pPr>
            <w:r>
              <w:rPr>
                <w:rFonts w:ascii="Arial" w:cs="Arial" w:eastAsia="Arial" w:hAnsi="Arial"/>
                <w:sz w:val="16"/>
                <w:szCs w:val="16"/>
                <w:color w:val="auto"/>
                <w:w w:val="94"/>
              </w:rPr>
              <w:t>7(c)</w:t>
            </w:r>
          </w:p>
        </w:tc>
        <w:tc>
          <w:tcPr>
            <w:tcW w:w="1280" w:type="dxa"/>
            <w:vAlign w:val="bottom"/>
            <w:gridSpan w:val="4"/>
          </w:tcPr>
          <w:p>
            <w:pPr>
              <w:jc w:val="right"/>
              <w:ind w:right="80"/>
              <w:spacing w:after="0"/>
              <w:rPr>
                <w:sz w:val="20"/>
                <w:szCs w:val="20"/>
                <w:color w:val="auto"/>
              </w:rPr>
            </w:pPr>
            <w:r>
              <w:rPr>
                <w:rFonts w:ascii="Arial" w:cs="Arial" w:eastAsia="Arial" w:hAnsi="Arial"/>
                <w:sz w:val="16"/>
                <w:szCs w:val="16"/>
                <w:color w:val="auto"/>
              </w:rPr>
              <w:t>(3,943,301)</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(3,957,143)</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(2,158,555)</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20"/>
                <w:szCs w:val="20"/>
                <w:color w:val="auto"/>
              </w:rPr>
            </w:pPr>
            <w:r>
              <w:rPr>
                <w:rFonts w:ascii="Arial" w:cs="Arial" w:eastAsia="Arial" w:hAnsi="Arial"/>
                <w:sz w:val="16"/>
                <w:szCs w:val="16"/>
                <w:color w:val="auto"/>
              </w:rPr>
              <w:t>Recoveries of written-off loans</w:t>
            </w:r>
          </w:p>
        </w:tc>
        <w:tc>
          <w:tcPr>
            <w:tcW w:w="13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423,854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334,798</w:t>
            </w:r>
          </w:p>
        </w:tc>
        <w:tc>
          <w:tcPr>
            <w:tcW w:w="1120" w:type="dxa"/>
            <w:vAlign w:val="bottom"/>
          </w:tcPr>
          <w:p>
            <w:pPr>
              <w:jc w:val="right"/>
              <w:spacing w:after="0"/>
              <w:rPr>
                <w:sz w:val="20"/>
                <w:szCs w:val="20"/>
                <w:color w:val="auto"/>
              </w:rPr>
            </w:pPr>
            <w:r>
              <w:rPr>
                <w:rFonts w:ascii="Arial" w:cs="Arial" w:eastAsia="Arial" w:hAnsi="Arial"/>
                <w:sz w:val="16"/>
                <w:szCs w:val="16"/>
                <w:color w:val="auto"/>
              </w:rPr>
              <w:t>347,017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Arial" w:cs="Arial" w:eastAsia="Arial" w:hAnsi="Arial"/>
                <w:sz w:val="16"/>
                <w:szCs w:val="16"/>
                <w:b w:val="1"/>
                <w:bCs w:val="1"/>
                <w:color w:val="auto"/>
              </w:rPr>
              <w:t>Provision for credit losses on loan portfolio, net of recoveries</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(3,519,447)</w:t>
            </w: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(3,622,345)</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(1,811,538)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Net interest, similar income and expenses, after provision for credit losses on</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600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00" w:type="dxa"/>
            <w:vAlign w:val="bottom"/>
          </w:tcPr>
          <w:p>
            <w:pPr>
              <w:spacing w:after="0"/>
              <w:rPr>
                <w:sz w:val="20"/>
                <w:szCs w:val="20"/>
                <w:color w:val="auto"/>
              </w:rPr>
            </w:pPr>
            <w:r>
              <w:rPr>
                <w:rFonts w:ascii="Arial" w:cs="Arial" w:eastAsia="Arial" w:hAnsi="Arial"/>
                <w:sz w:val="16"/>
                <w:szCs w:val="16"/>
                <w:b w:val="1"/>
                <w:bCs w:val="1"/>
                <w:color w:val="auto"/>
              </w:rPr>
              <w:t>loan portfolio</w:t>
            </w:r>
          </w:p>
        </w:tc>
        <w:tc>
          <w:tcPr>
            <w:tcW w:w="13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10,595,684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9,315,627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9,280,080</w:t>
            </w:r>
          </w:p>
        </w:tc>
        <w:tc>
          <w:tcPr>
            <w:tcW w:w="0" w:type="dxa"/>
            <w:vAlign w:val="bottom"/>
          </w:tcPr>
          <w:p>
            <w:pPr>
              <w:spacing w:after="0"/>
              <w:rPr>
                <w:sz w:val="1"/>
                <w:szCs w:val="1"/>
                <w:color w:val="auto"/>
              </w:rPr>
            </w:pPr>
          </w:p>
        </w:tc>
      </w:tr>
      <w:tr>
        <w:trPr>
          <w:trHeight w:val="327"/>
        </w:trPr>
        <w:tc>
          <w:tcPr>
            <w:tcW w:w="6000" w:type="dxa"/>
            <w:vAlign w:val="bottom"/>
          </w:tcPr>
          <w:p>
            <w:pPr>
              <w:spacing w:after="0"/>
              <w:rPr>
                <w:sz w:val="20"/>
                <w:szCs w:val="20"/>
                <w:color w:val="auto"/>
              </w:rPr>
            </w:pPr>
            <w:r>
              <w:rPr>
                <w:rFonts w:ascii="Arial" w:cs="Arial" w:eastAsia="Arial" w:hAnsi="Arial"/>
                <w:sz w:val="16"/>
                <w:szCs w:val="16"/>
                <w:b w:val="1"/>
                <w:bCs w:val="1"/>
                <w:color w:val="auto"/>
              </w:rPr>
              <w:t>Other income</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Commissions and fees</w:t>
            </w:r>
          </w:p>
        </w:tc>
        <w:tc>
          <w:tcPr>
            <w:tcW w:w="1300" w:type="dxa"/>
            <w:vAlign w:val="bottom"/>
          </w:tcPr>
          <w:p>
            <w:pPr>
              <w:jc w:val="center"/>
              <w:ind w:right="122"/>
              <w:spacing w:after="0" w:line="175" w:lineRule="exact"/>
              <w:rPr>
                <w:sz w:val="20"/>
                <w:szCs w:val="20"/>
                <w:color w:val="auto"/>
              </w:rPr>
            </w:pPr>
            <w:r>
              <w:rPr>
                <w:rFonts w:ascii="Arial" w:cs="Arial" w:eastAsia="Arial" w:hAnsi="Arial"/>
                <w:sz w:val="16"/>
                <w:szCs w:val="16"/>
                <w:color w:val="auto"/>
              </w:rPr>
              <w:t>20</w:t>
            </w:r>
          </w:p>
        </w:tc>
        <w:tc>
          <w:tcPr>
            <w:tcW w:w="1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4,052,103</w:t>
            </w:r>
          </w:p>
        </w:tc>
        <w:tc>
          <w:tcPr>
            <w:tcW w:w="12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3,804,459</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3,642,857</w:t>
            </w: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Net gain on foreign exchange transactions</w:t>
            </w:r>
          </w:p>
        </w:tc>
        <w:tc>
          <w:tcPr>
            <w:tcW w:w="1300" w:type="dxa"/>
            <w:vAlign w:val="bottom"/>
          </w:tcPr>
          <w:p>
            <w:pPr>
              <w:spacing w:after="0"/>
              <w:rPr>
                <w:sz w:val="15"/>
                <w:szCs w:val="15"/>
                <w:color w:val="auto"/>
              </w:rPr>
            </w:pPr>
          </w:p>
        </w:tc>
        <w:tc>
          <w:tcPr>
            <w:tcW w:w="1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1,359,805</w:t>
            </w:r>
          </w:p>
        </w:tc>
        <w:tc>
          <w:tcPr>
            <w:tcW w:w="12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886,126</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1,084,151</w:t>
            </w: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Net gain on securities</w:t>
            </w:r>
          </w:p>
        </w:tc>
        <w:tc>
          <w:tcPr>
            <w:tcW w:w="1300" w:type="dxa"/>
            <w:vAlign w:val="bottom"/>
          </w:tcPr>
          <w:p>
            <w:pPr>
              <w:jc w:val="center"/>
              <w:ind w:right="122"/>
              <w:spacing w:after="0" w:line="175" w:lineRule="exact"/>
              <w:rPr>
                <w:sz w:val="20"/>
                <w:szCs w:val="20"/>
                <w:color w:val="auto"/>
              </w:rPr>
            </w:pPr>
            <w:r>
              <w:rPr>
                <w:rFonts w:ascii="Arial" w:cs="Arial" w:eastAsia="Arial" w:hAnsi="Arial"/>
                <w:sz w:val="16"/>
                <w:szCs w:val="16"/>
                <w:color w:val="auto"/>
              </w:rPr>
              <w:t>21</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362,295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425,144</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5,468</w:t>
            </w: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Net gain on derivatives held for trading</w:t>
            </w:r>
          </w:p>
        </w:tc>
        <w:tc>
          <w:tcPr>
            <w:tcW w:w="1300" w:type="dxa"/>
            <w:vAlign w:val="bottom"/>
          </w:tcPr>
          <w:p>
            <w:pPr>
              <w:spacing w:after="0"/>
              <w:rPr>
                <w:sz w:val="15"/>
                <w:szCs w:val="15"/>
                <w:color w:val="auto"/>
              </w:rPr>
            </w:pP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156,195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53,665</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65,187</w:t>
            </w: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Exchange difference result</w:t>
            </w:r>
          </w:p>
        </w:tc>
        <w:tc>
          <w:tcPr>
            <w:tcW w:w="1300" w:type="dxa"/>
            <w:vAlign w:val="bottom"/>
          </w:tcPr>
          <w:p>
            <w:pPr>
              <w:spacing w:after="0"/>
              <w:rPr>
                <w:sz w:val="15"/>
                <w:szCs w:val="15"/>
                <w:color w:val="auto"/>
              </w:rPr>
            </w:pP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(41,058)</w:t>
            </w: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45,778</w:t>
            </w: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387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00" w:type="dxa"/>
            <w:vAlign w:val="bottom"/>
          </w:tcPr>
          <w:p>
            <w:pPr>
              <w:spacing w:after="0"/>
              <w:rPr>
                <w:sz w:val="20"/>
                <w:szCs w:val="20"/>
                <w:color w:val="auto"/>
              </w:rPr>
            </w:pPr>
            <w:r>
              <w:rPr>
                <w:rFonts w:ascii="Arial" w:cs="Arial" w:eastAsia="Arial" w:hAnsi="Arial"/>
                <w:sz w:val="16"/>
                <w:szCs w:val="16"/>
                <w:color w:val="auto"/>
              </w:rPr>
              <w:t>Others</w:t>
            </w:r>
          </w:p>
        </w:tc>
        <w:tc>
          <w:tcPr>
            <w:tcW w:w="1300" w:type="dxa"/>
            <w:vAlign w:val="bottom"/>
          </w:tcPr>
          <w:p>
            <w:pPr>
              <w:jc w:val="center"/>
              <w:ind w:right="122"/>
              <w:spacing w:after="0"/>
              <w:rPr>
                <w:sz w:val="20"/>
                <w:szCs w:val="20"/>
                <w:color w:val="auto"/>
              </w:rPr>
            </w:pPr>
            <w:r>
              <w:rPr>
                <w:rFonts w:ascii="Arial" w:cs="Arial" w:eastAsia="Arial" w:hAnsi="Arial"/>
                <w:sz w:val="16"/>
                <w:szCs w:val="16"/>
                <w:color w:val="auto"/>
              </w:rPr>
              <w:t>25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514,779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440,653</w:t>
            </w:r>
          </w:p>
        </w:tc>
        <w:tc>
          <w:tcPr>
            <w:tcW w:w="1120" w:type="dxa"/>
            <w:vAlign w:val="bottom"/>
          </w:tcPr>
          <w:p>
            <w:pPr>
              <w:jc w:val="right"/>
              <w:spacing w:after="0"/>
              <w:rPr>
                <w:sz w:val="20"/>
                <w:szCs w:val="20"/>
                <w:color w:val="auto"/>
              </w:rPr>
            </w:pPr>
            <w:r>
              <w:rPr>
                <w:rFonts w:ascii="Arial" w:cs="Arial" w:eastAsia="Arial" w:hAnsi="Arial"/>
                <w:sz w:val="16"/>
                <w:szCs w:val="16"/>
                <w:color w:val="auto"/>
              </w:rPr>
              <w:t>268,046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000" w:type="dxa"/>
            <w:vAlign w:val="bottom"/>
          </w:tcPr>
          <w:p>
            <w:pPr>
              <w:spacing w:after="0" w:line="167" w:lineRule="exact"/>
              <w:rPr>
                <w:sz w:val="20"/>
                <w:szCs w:val="20"/>
                <w:color w:val="auto"/>
              </w:rPr>
            </w:pPr>
            <w:r>
              <w:rPr>
                <w:rFonts w:ascii="Arial" w:cs="Arial" w:eastAsia="Arial" w:hAnsi="Arial"/>
                <w:sz w:val="16"/>
                <w:szCs w:val="16"/>
                <w:b w:val="1"/>
                <w:bCs w:val="1"/>
                <w:color w:val="auto"/>
              </w:rPr>
              <w:t>Total other income</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6,404,119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5,655,825</w:t>
            </w:r>
          </w:p>
        </w:tc>
        <w:tc>
          <w:tcPr>
            <w:tcW w:w="2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5,066,096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6000" w:type="dxa"/>
            <w:vAlign w:val="bottom"/>
          </w:tcPr>
          <w:p>
            <w:pPr>
              <w:spacing w:after="0"/>
              <w:rPr>
                <w:sz w:val="20"/>
                <w:szCs w:val="20"/>
                <w:color w:val="auto"/>
              </w:rPr>
            </w:pPr>
            <w:r>
              <w:rPr>
                <w:rFonts w:ascii="Arial" w:cs="Arial" w:eastAsia="Arial" w:hAnsi="Arial"/>
                <w:sz w:val="16"/>
                <w:szCs w:val="16"/>
                <w:b w:val="1"/>
                <w:bCs w:val="1"/>
                <w:color w:val="auto"/>
              </w:rPr>
              <w:t>Insurance and reinsurance result</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Insurance service result</w:t>
            </w:r>
          </w:p>
        </w:tc>
        <w:tc>
          <w:tcPr>
            <w:tcW w:w="1300" w:type="dxa"/>
            <w:vAlign w:val="bottom"/>
          </w:tcPr>
          <w:p>
            <w:pPr>
              <w:jc w:val="center"/>
              <w:ind w:right="122"/>
              <w:spacing w:after="0" w:line="175" w:lineRule="exact"/>
              <w:rPr>
                <w:sz w:val="20"/>
                <w:szCs w:val="20"/>
                <w:color w:val="auto"/>
              </w:rPr>
            </w:pPr>
            <w:r>
              <w:rPr>
                <w:rFonts w:ascii="Arial" w:cs="Arial" w:eastAsia="Arial" w:hAnsi="Arial"/>
                <w:sz w:val="16"/>
                <w:szCs w:val="16"/>
                <w:color w:val="auto"/>
              </w:rPr>
              <w:t>22</w:t>
            </w:r>
          </w:p>
        </w:tc>
        <w:tc>
          <w:tcPr>
            <w:tcW w:w="1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1,693,617</w:t>
            </w:r>
          </w:p>
        </w:tc>
        <w:tc>
          <w:tcPr>
            <w:tcW w:w="12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1,602,421</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1,302,347</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20"/>
                <w:szCs w:val="20"/>
                <w:color w:val="auto"/>
              </w:rPr>
            </w:pPr>
            <w:r>
              <w:rPr>
                <w:rFonts w:ascii="Arial" w:cs="Arial" w:eastAsia="Arial" w:hAnsi="Arial"/>
                <w:sz w:val="16"/>
                <w:szCs w:val="16"/>
                <w:color w:val="auto"/>
              </w:rPr>
              <w:t>Reinsurance result</w:t>
            </w:r>
          </w:p>
        </w:tc>
        <w:tc>
          <w:tcPr>
            <w:tcW w:w="1300" w:type="dxa"/>
            <w:vAlign w:val="bottom"/>
          </w:tcPr>
          <w:p>
            <w:pPr>
              <w:jc w:val="center"/>
              <w:ind w:right="122"/>
              <w:spacing w:after="0"/>
              <w:rPr>
                <w:sz w:val="20"/>
                <w:szCs w:val="20"/>
                <w:color w:val="auto"/>
              </w:rPr>
            </w:pPr>
            <w:r>
              <w:rPr>
                <w:rFonts w:ascii="Arial" w:cs="Arial" w:eastAsia="Arial" w:hAnsi="Arial"/>
                <w:sz w:val="16"/>
                <w:szCs w:val="16"/>
                <w:color w:val="auto"/>
              </w:rPr>
              <w:t>22</w:t>
            </w:r>
          </w:p>
        </w:tc>
        <w:tc>
          <w:tcPr>
            <w:tcW w:w="1280" w:type="dxa"/>
            <w:vAlign w:val="bottom"/>
            <w:gridSpan w:val="4"/>
          </w:tcPr>
          <w:p>
            <w:pPr>
              <w:jc w:val="right"/>
              <w:ind w:right="80"/>
              <w:spacing w:after="0"/>
              <w:rPr>
                <w:sz w:val="20"/>
                <w:szCs w:val="20"/>
                <w:color w:val="auto"/>
              </w:rPr>
            </w:pPr>
            <w:r>
              <w:rPr>
                <w:rFonts w:ascii="Arial" w:cs="Arial" w:eastAsia="Arial" w:hAnsi="Arial"/>
                <w:sz w:val="16"/>
                <w:szCs w:val="16"/>
                <w:color w:val="auto"/>
              </w:rPr>
              <w:t>(494,597)</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(391,321)</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(460,899)</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Arial" w:cs="Arial" w:eastAsia="Arial" w:hAnsi="Arial"/>
                <w:sz w:val="16"/>
                <w:szCs w:val="16"/>
                <w:b w:val="1"/>
                <w:bCs w:val="1"/>
                <w:color w:val="auto"/>
              </w:rPr>
              <w:t>Total insurance and reinsurance result</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1,199,020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1,211,100</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841,448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6000" w:type="dxa"/>
            <w:vAlign w:val="bottom"/>
          </w:tcPr>
          <w:p>
            <w:pPr>
              <w:spacing w:after="0"/>
              <w:rPr>
                <w:sz w:val="20"/>
                <w:szCs w:val="20"/>
                <w:color w:val="auto"/>
              </w:rPr>
            </w:pPr>
            <w:r>
              <w:rPr>
                <w:rFonts w:ascii="Arial" w:cs="Arial" w:eastAsia="Arial" w:hAnsi="Arial"/>
                <w:sz w:val="16"/>
                <w:szCs w:val="16"/>
                <w:b w:val="1"/>
                <w:bCs w:val="1"/>
                <w:color w:val="auto"/>
              </w:rPr>
              <w:t>Other expenses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Salaries and employee benefits</w:t>
            </w:r>
          </w:p>
        </w:tc>
        <w:tc>
          <w:tcPr>
            <w:tcW w:w="1300" w:type="dxa"/>
            <w:vAlign w:val="bottom"/>
          </w:tcPr>
          <w:p>
            <w:pPr>
              <w:jc w:val="center"/>
              <w:ind w:right="122"/>
              <w:spacing w:after="0" w:line="175" w:lineRule="exact"/>
              <w:rPr>
                <w:sz w:val="20"/>
                <w:szCs w:val="20"/>
                <w:color w:val="auto"/>
              </w:rPr>
            </w:pPr>
            <w:r>
              <w:rPr>
                <w:rFonts w:ascii="Arial" w:cs="Arial" w:eastAsia="Arial" w:hAnsi="Arial"/>
                <w:sz w:val="16"/>
                <w:szCs w:val="16"/>
                <w:color w:val="auto"/>
              </w:rPr>
              <w:t>23</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(4,676,436)</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(4,265,453)</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(3,902,161)</w:t>
            </w: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Administrative expenses</w:t>
            </w:r>
          </w:p>
        </w:tc>
        <w:tc>
          <w:tcPr>
            <w:tcW w:w="1300" w:type="dxa"/>
            <w:vAlign w:val="bottom"/>
          </w:tcPr>
          <w:p>
            <w:pPr>
              <w:jc w:val="center"/>
              <w:ind w:right="122"/>
              <w:spacing w:after="0" w:line="175" w:lineRule="exact"/>
              <w:rPr>
                <w:sz w:val="20"/>
                <w:szCs w:val="20"/>
                <w:color w:val="auto"/>
              </w:rPr>
            </w:pPr>
            <w:r>
              <w:rPr>
                <w:rFonts w:ascii="Arial" w:cs="Arial" w:eastAsia="Arial" w:hAnsi="Arial"/>
                <w:sz w:val="16"/>
                <w:szCs w:val="16"/>
                <w:color w:val="auto"/>
              </w:rPr>
              <w:t>24</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(4,183,775)</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(3,803,203)</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(3,414,065)</w:t>
            </w: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Depreciation and amortization</w:t>
            </w:r>
          </w:p>
        </w:tc>
        <w:tc>
          <w:tcPr>
            <w:tcW w:w="1300" w:type="dxa"/>
            <w:vAlign w:val="bottom"/>
          </w:tcPr>
          <w:p>
            <w:pPr>
              <w:jc w:val="center"/>
              <w:ind w:right="122"/>
              <w:spacing w:after="0" w:line="175" w:lineRule="exact"/>
              <w:rPr>
                <w:sz w:val="20"/>
                <w:szCs w:val="20"/>
                <w:color w:val="auto"/>
              </w:rPr>
            </w:pPr>
            <w:r>
              <w:rPr>
                <w:rFonts w:ascii="Arial" w:cs="Arial" w:eastAsia="Arial" w:hAnsi="Arial"/>
                <w:sz w:val="16"/>
                <w:szCs w:val="16"/>
                <w:color w:val="auto"/>
                <w:w w:val="99"/>
              </w:rPr>
              <w:t>9 and 10</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(570,830)</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(511,174)</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(485,207)</w:t>
            </w: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Impairment loss on goodwill</w:t>
            </w:r>
          </w:p>
        </w:tc>
        <w:tc>
          <w:tcPr>
            <w:tcW w:w="1300" w:type="dxa"/>
            <w:vAlign w:val="bottom"/>
          </w:tcPr>
          <w:p>
            <w:pPr>
              <w:jc w:val="center"/>
              <w:ind w:right="102"/>
              <w:spacing w:after="0" w:line="175" w:lineRule="exact"/>
              <w:rPr>
                <w:sz w:val="20"/>
                <w:szCs w:val="20"/>
                <w:color w:val="auto"/>
              </w:rPr>
            </w:pPr>
            <w:r>
              <w:rPr>
                <w:rFonts w:ascii="Arial" w:cs="Arial" w:eastAsia="Arial" w:hAnsi="Arial"/>
                <w:sz w:val="16"/>
                <w:szCs w:val="16"/>
                <w:color w:val="auto"/>
                <w:w w:val="96"/>
              </w:rPr>
              <w:t>10(b)</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(27,346)</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(71,959)</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000" w:type="dxa"/>
            <w:vAlign w:val="bottom"/>
          </w:tcPr>
          <w:p>
            <w:pPr>
              <w:spacing w:after="0" w:line="175" w:lineRule="exact"/>
              <w:rPr>
                <w:sz w:val="20"/>
                <w:szCs w:val="20"/>
                <w:color w:val="auto"/>
              </w:rPr>
            </w:pPr>
            <w:r>
              <w:rPr>
                <w:rFonts w:ascii="Arial" w:cs="Arial" w:eastAsia="Arial" w:hAnsi="Arial"/>
                <w:sz w:val="16"/>
                <w:szCs w:val="16"/>
                <w:color w:val="auto"/>
              </w:rPr>
              <w:t>Depreciation for right-of-use assets</w:t>
            </w:r>
          </w:p>
        </w:tc>
        <w:tc>
          <w:tcPr>
            <w:tcW w:w="1300" w:type="dxa"/>
            <w:vAlign w:val="bottom"/>
          </w:tcPr>
          <w:p>
            <w:pPr>
              <w:jc w:val="center"/>
              <w:ind w:right="122"/>
              <w:spacing w:after="0" w:line="175" w:lineRule="exact"/>
              <w:rPr>
                <w:sz w:val="20"/>
                <w:szCs w:val="20"/>
                <w:color w:val="auto"/>
              </w:rPr>
            </w:pPr>
            <w:r>
              <w:rPr>
                <w:rFonts w:ascii="Arial" w:cs="Arial" w:eastAsia="Arial" w:hAnsi="Arial"/>
                <w:sz w:val="16"/>
                <w:szCs w:val="16"/>
                <w:color w:val="auto"/>
                <w:w w:val="90"/>
              </w:rPr>
              <w:t>11(a)</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(142,640)</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(147,833)</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(151,282)</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20"/>
                <w:szCs w:val="20"/>
                <w:color w:val="auto"/>
              </w:rPr>
            </w:pPr>
            <w:r>
              <w:rPr>
                <w:rFonts w:ascii="Arial" w:cs="Arial" w:eastAsia="Arial" w:hAnsi="Arial"/>
                <w:sz w:val="16"/>
                <w:szCs w:val="16"/>
                <w:color w:val="auto"/>
              </w:rPr>
              <w:t>Others</w:t>
            </w:r>
          </w:p>
        </w:tc>
        <w:tc>
          <w:tcPr>
            <w:tcW w:w="1300" w:type="dxa"/>
            <w:vAlign w:val="bottom"/>
          </w:tcPr>
          <w:p>
            <w:pPr>
              <w:jc w:val="center"/>
              <w:ind w:right="122"/>
              <w:spacing w:after="0"/>
              <w:rPr>
                <w:sz w:val="20"/>
                <w:szCs w:val="20"/>
                <w:color w:val="auto"/>
              </w:rPr>
            </w:pPr>
            <w:r>
              <w:rPr>
                <w:rFonts w:ascii="Arial" w:cs="Arial" w:eastAsia="Arial" w:hAnsi="Arial"/>
                <w:sz w:val="16"/>
                <w:szCs w:val="16"/>
                <w:color w:val="auto"/>
              </w:rPr>
              <w:t>25</w:t>
            </w:r>
          </w:p>
        </w:tc>
        <w:tc>
          <w:tcPr>
            <w:tcW w:w="1280" w:type="dxa"/>
            <w:vAlign w:val="bottom"/>
            <w:gridSpan w:val="4"/>
          </w:tcPr>
          <w:p>
            <w:pPr>
              <w:jc w:val="right"/>
              <w:ind w:right="80"/>
              <w:spacing w:after="0"/>
              <w:rPr>
                <w:sz w:val="20"/>
                <w:szCs w:val="20"/>
                <w:color w:val="auto"/>
              </w:rPr>
            </w:pPr>
            <w:r>
              <w:rPr>
                <w:rFonts w:ascii="Arial" w:cs="Arial" w:eastAsia="Arial" w:hAnsi="Arial"/>
                <w:sz w:val="16"/>
                <w:szCs w:val="16"/>
                <w:color w:val="auto"/>
              </w:rPr>
              <w:t>(773,269)</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(534,601)</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(364,298)</w:t>
            </w:r>
          </w:p>
        </w:tc>
        <w:tc>
          <w:tcPr>
            <w:tcW w:w="0" w:type="dxa"/>
            <w:vAlign w:val="bottom"/>
          </w:tcPr>
          <w:p>
            <w:pPr>
              <w:spacing w:after="0"/>
              <w:rPr>
                <w:sz w:val="1"/>
                <w:szCs w:val="1"/>
                <w:color w:val="auto"/>
              </w:rPr>
            </w:pPr>
          </w:p>
        </w:tc>
      </w:tr>
      <w:tr>
        <w:trPr>
          <w:trHeight w:val="167"/>
        </w:trPr>
        <w:tc>
          <w:tcPr>
            <w:tcW w:w="6000" w:type="dxa"/>
            <w:vAlign w:val="bottom"/>
          </w:tcPr>
          <w:p>
            <w:pPr>
              <w:spacing w:after="0" w:line="167" w:lineRule="exact"/>
              <w:rPr>
                <w:sz w:val="20"/>
                <w:szCs w:val="20"/>
                <w:color w:val="auto"/>
              </w:rPr>
            </w:pPr>
            <w:r>
              <w:rPr>
                <w:rFonts w:ascii="Arial" w:cs="Arial" w:eastAsia="Arial" w:hAnsi="Arial"/>
                <w:sz w:val="16"/>
                <w:szCs w:val="16"/>
                <w:b w:val="1"/>
                <w:bCs w:val="1"/>
                <w:color w:val="auto"/>
              </w:rPr>
              <w:t>Total other expenses</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(10,374,296)</w:t>
            </w: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(9,334,223)</w:t>
            </w:r>
          </w:p>
        </w:tc>
        <w:tc>
          <w:tcPr>
            <w:tcW w:w="2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(8,317,013)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6000" w:type="dxa"/>
            <w:vAlign w:val="bottom"/>
          </w:tcPr>
          <w:p>
            <w:pPr>
              <w:ind w:left="5520"/>
              <w:spacing w:after="0"/>
              <w:rPr>
                <w:sz w:val="20"/>
                <w:szCs w:val="20"/>
                <w:color w:val="auto"/>
              </w:rPr>
            </w:pPr>
            <w:r>
              <w:rPr>
                <w:rFonts w:ascii="Arial" w:cs="Arial" w:eastAsia="Arial" w:hAnsi="Arial"/>
                <w:sz w:val="12"/>
                <w:szCs w:val="12"/>
                <w:color w:val="auto"/>
              </w:rPr>
              <w:t>-11-</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40" w:type="dxa"/>
            <w:vAlign w:val="bottom"/>
          </w:tcPr>
          <w:p>
            <w:pPr>
              <w:spacing w:after="0"/>
              <w:rPr>
                <w:sz w:val="20"/>
                <w:szCs w:val="20"/>
                <w:color w:val="auto"/>
              </w:rPr>
            </w:pPr>
            <w:r>
              <w:rPr>
                <w:rFonts w:ascii="Arial" w:cs="Arial" w:eastAsia="Arial" w:hAnsi="Arial"/>
                <w:sz w:val="16"/>
                <w:szCs w:val="16"/>
                <w:color w:val="auto"/>
              </w:rPr>
              <w:t>CONSOLIDATED STATEMENT OF INCOME (CONTINUED)</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5"/>
        </w:trPr>
        <w:tc>
          <w:tcPr>
            <w:tcW w:w="5940" w:type="dxa"/>
            <w:vAlign w:val="bottom"/>
          </w:tcPr>
          <w:p>
            <w:pPr>
              <w:spacing w:after="0"/>
              <w:rPr>
                <w:sz w:val="24"/>
                <w:szCs w:val="24"/>
                <w:color w:val="auto"/>
              </w:rPr>
            </w:pPr>
          </w:p>
        </w:tc>
        <w:tc>
          <w:tcPr>
            <w:tcW w:w="1360" w:type="dxa"/>
            <w:vAlign w:val="bottom"/>
          </w:tcPr>
          <w:p>
            <w:pPr>
              <w:ind w:left="440"/>
              <w:spacing w:after="0"/>
              <w:rPr>
                <w:sz w:val="20"/>
                <w:szCs w:val="20"/>
                <w:color w:val="auto"/>
              </w:rPr>
            </w:pPr>
            <w:r>
              <w:rPr>
                <w:rFonts w:ascii="Arial" w:cs="Arial" w:eastAsia="Arial" w:hAnsi="Arial"/>
                <w:sz w:val="16"/>
                <w:szCs w:val="16"/>
                <w:b w:val="1"/>
                <w:bCs w:val="1"/>
                <w:color w:val="auto"/>
              </w:rPr>
              <w:t>Note</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4"/>
                <w:szCs w:val="24"/>
                <w:color w:val="auto"/>
              </w:rPr>
            </w:pPr>
          </w:p>
        </w:tc>
      </w:tr>
      <w:tr>
        <w:trPr>
          <w:trHeight w:val="206"/>
        </w:trPr>
        <w:tc>
          <w:tcPr>
            <w:tcW w:w="5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r>
      <w:tr>
        <w:trPr>
          <w:trHeight w:val="296"/>
        </w:trPr>
        <w:tc>
          <w:tcPr>
            <w:tcW w:w="5940" w:type="dxa"/>
            <w:vAlign w:val="bottom"/>
          </w:tcPr>
          <w:p>
            <w:pPr>
              <w:spacing w:after="0"/>
              <w:rPr>
                <w:sz w:val="20"/>
                <w:szCs w:val="20"/>
                <w:color w:val="auto"/>
              </w:rPr>
            </w:pPr>
            <w:r>
              <w:rPr>
                <w:rFonts w:ascii="Arial" w:cs="Arial" w:eastAsia="Arial" w:hAnsi="Arial"/>
                <w:sz w:val="16"/>
                <w:szCs w:val="16"/>
                <w:b w:val="1"/>
                <w:bCs w:val="1"/>
                <w:color w:val="auto"/>
              </w:rPr>
              <w:t>Net result before income tax</w:t>
            </w:r>
          </w:p>
        </w:tc>
        <w:tc>
          <w:tcPr>
            <w:tcW w:w="136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7,824,527</w:t>
            </w:r>
          </w:p>
        </w:tc>
        <w:tc>
          <w:tcPr>
            <w:tcW w:w="120" w:type="dxa"/>
            <w:vAlign w:val="bottom"/>
          </w:tcPr>
          <w:p>
            <w:pPr>
              <w:spacing w:after="0"/>
              <w:rPr>
                <w:sz w:val="24"/>
                <w:szCs w:val="24"/>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6,848,329</w:t>
            </w:r>
          </w:p>
        </w:tc>
        <w:tc>
          <w:tcPr>
            <w:tcW w:w="1120" w:type="dxa"/>
            <w:vAlign w:val="bottom"/>
          </w:tcPr>
          <w:p>
            <w:pPr>
              <w:jc w:val="right"/>
              <w:spacing w:after="0"/>
              <w:rPr>
                <w:sz w:val="20"/>
                <w:szCs w:val="20"/>
                <w:color w:val="auto"/>
              </w:rPr>
            </w:pPr>
            <w:r>
              <w:rPr>
                <w:rFonts w:ascii="Arial" w:cs="Arial" w:eastAsia="Arial" w:hAnsi="Arial"/>
                <w:sz w:val="16"/>
                <w:szCs w:val="16"/>
                <w:color w:val="auto"/>
              </w:rPr>
              <w:t>6,870,611</w:t>
            </w:r>
          </w:p>
        </w:tc>
        <w:tc>
          <w:tcPr>
            <w:tcW w:w="60" w:type="dxa"/>
            <w:vAlign w:val="bottom"/>
          </w:tcPr>
          <w:p>
            <w:pPr>
              <w:spacing w:after="0"/>
              <w:rPr>
                <w:sz w:val="24"/>
                <w:szCs w:val="24"/>
                <w:color w:val="auto"/>
              </w:rPr>
            </w:pPr>
          </w:p>
        </w:tc>
      </w:tr>
      <w:tr>
        <w:trPr>
          <w:trHeight w:val="190"/>
        </w:trPr>
        <w:tc>
          <w:tcPr>
            <w:tcW w:w="5940" w:type="dxa"/>
            <w:vAlign w:val="bottom"/>
          </w:tcPr>
          <w:p>
            <w:pPr>
              <w:spacing w:after="0"/>
              <w:rPr>
                <w:sz w:val="20"/>
                <w:szCs w:val="20"/>
                <w:color w:val="auto"/>
              </w:rPr>
            </w:pPr>
            <w:r>
              <w:rPr>
                <w:rFonts w:ascii="Arial" w:cs="Arial" w:eastAsia="Arial" w:hAnsi="Arial"/>
                <w:sz w:val="16"/>
                <w:szCs w:val="16"/>
                <w:color w:val="auto"/>
              </w:rPr>
              <w:t>Income tax</w:t>
            </w:r>
          </w:p>
        </w:tc>
        <w:tc>
          <w:tcPr>
            <w:tcW w:w="1360" w:type="dxa"/>
            <w:vAlign w:val="bottom"/>
          </w:tcPr>
          <w:p>
            <w:pPr>
              <w:jc w:val="center"/>
              <w:ind w:right="42"/>
              <w:spacing w:after="0"/>
              <w:rPr>
                <w:sz w:val="20"/>
                <w:szCs w:val="20"/>
                <w:color w:val="auto"/>
              </w:rPr>
            </w:pPr>
            <w:r>
              <w:rPr>
                <w:rFonts w:ascii="Arial" w:cs="Arial" w:eastAsia="Arial" w:hAnsi="Arial"/>
                <w:sz w:val="16"/>
                <w:szCs w:val="16"/>
                <w:color w:val="auto"/>
                <w:w w:val="96"/>
              </w:rPr>
              <w:t>17(b)</w:t>
            </w:r>
          </w:p>
        </w:tc>
        <w:tc>
          <w:tcPr>
            <w:tcW w:w="1280" w:type="dxa"/>
            <w:vAlign w:val="bottom"/>
            <w:gridSpan w:val="4"/>
          </w:tcPr>
          <w:p>
            <w:pPr>
              <w:jc w:val="right"/>
              <w:ind w:right="80"/>
              <w:spacing w:after="0"/>
              <w:rPr>
                <w:sz w:val="20"/>
                <w:szCs w:val="20"/>
                <w:color w:val="auto"/>
              </w:rPr>
            </w:pPr>
            <w:r>
              <w:rPr>
                <w:rFonts w:ascii="Arial" w:cs="Arial" w:eastAsia="Arial" w:hAnsi="Arial"/>
                <w:sz w:val="16"/>
                <w:szCs w:val="16"/>
                <w:color w:val="auto"/>
              </w:rPr>
              <w:t>(2,201,275)</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(1,888,451)</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(2,110,501)</w:t>
            </w:r>
          </w:p>
        </w:tc>
      </w:tr>
      <w:tr>
        <w:trPr>
          <w:trHeight w:val="170"/>
        </w:trPr>
        <w:tc>
          <w:tcPr>
            <w:tcW w:w="5940" w:type="dxa"/>
            <w:vAlign w:val="bottom"/>
          </w:tcPr>
          <w:p>
            <w:pPr>
              <w:spacing w:after="0" w:line="167" w:lineRule="exact"/>
              <w:rPr>
                <w:sz w:val="20"/>
                <w:szCs w:val="20"/>
                <w:color w:val="auto"/>
              </w:rPr>
            </w:pPr>
            <w:r>
              <w:rPr>
                <w:rFonts w:ascii="Arial" w:cs="Arial" w:eastAsia="Arial" w:hAnsi="Arial"/>
                <w:sz w:val="16"/>
                <w:szCs w:val="16"/>
                <w:b w:val="1"/>
                <w:bCs w:val="1"/>
                <w:color w:val="auto"/>
              </w:rPr>
              <w:t>Net result after income tax</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5,623,252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4,959,878</w:t>
            </w:r>
          </w:p>
        </w:tc>
        <w:tc>
          <w:tcPr>
            <w:tcW w:w="200" w:type="dxa"/>
            <w:vAlign w:val="bottom"/>
          </w:tcPr>
          <w:p>
            <w:pPr>
              <w:spacing w:after="0"/>
              <w:rPr>
                <w:sz w:val="14"/>
                <w:szCs w:val="14"/>
                <w:color w:val="auto"/>
              </w:rPr>
            </w:pPr>
          </w:p>
        </w:tc>
        <w:tc>
          <w:tcPr>
            <w:tcW w:w="11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4,760,110</w:t>
            </w:r>
          </w:p>
        </w:tc>
        <w:tc>
          <w:tcPr>
            <w:tcW w:w="60" w:type="dxa"/>
            <w:vAlign w:val="bottom"/>
          </w:tcPr>
          <w:p>
            <w:pPr>
              <w:spacing w:after="0"/>
              <w:rPr>
                <w:sz w:val="14"/>
                <w:szCs w:val="14"/>
                <w:color w:val="auto"/>
              </w:rPr>
            </w:pPr>
          </w:p>
        </w:tc>
      </w:tr>
      <w:tr>
        <w:trPr>
          <w:trHeight w:val="335"/>
        </w:trPr>
        <w:tc>
          <w:tcPr>
            <w:tcW w:w="594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5940" w:type="dxa"/>
            <w:vAlign w:val="bottom"/>
          </w:tcPr>
          <w:p>
            <w:pPr>
              <w:spacing w:after="0" w:line="175" w:lineRule="exact"/>
              <w:rPr>
                <w:sz w:val="20"/>
                <w:szCs w:val="20"/>
                <w:color w:val="auto"/>
              </w:rPr>
            </w:pPr>
            <w:r>
              <w:rPr>
                <w:rFonts w:ascii="Arial" w:cs="Arial" w:eastAsia="Arial" w:hAnsi="Arial"/>
                <w:sz w:val="16"/>
                <w:szCs w:val="16"/>
                <w:color w:val="auto"/>
              </w:rPr>
              <w:t>Credicorp’s equity holders</w:t>
            </w:r>
          </w:p>
        </w:tc>
        <w:tc>
          <w:tcPr>
            <w:tcW w:w="1360" w:type="dxa"/>
            <w:vAlign w:val="bottom"/>
          </w:tcPr>
          <w:p>
            <w:pPr>
              <w:spacing w:after="0"/>
              <w:rPr>
                <w:sz w:val="15"/>
                <w:szCs w:val="15"/>
                <w:color w:val="auto"/>
              </w:rPr>
            </w:pPr>
          </w:p>
        </w:tc>
        <w:tc>
          <w:tcPr>
            <w:tcW w:w="1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5,501,254</w:t>
            </w:r>
          </w:p>
        </w:tc>
        <w:tc>
          <w:tcPr>
            <w:tcW w:w="12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4,865,540</w:t>
            </w: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4,647,818</w:t>
            </w:r>
          </w:p>
        </w:tc>
      </w:tr>
      <w:tr>
        <w:trPr>
          <w:trHeight w:val="201"/>
        </w:trPr>
        <w:tc>
          <w:tcPr>
            <w:tcW w:w="59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3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121,998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94,338</w:t>
            </w:r>
          </w:p>
        </w:tc>
        <w:tc>
          <w:tcPr>
            <w:tcW w:w="1120" w:type="dxa"/>
            <w:vAlign w:val="bottom"/>
          </w:tcPr>
          <w:p>
            <w:pPr>
              <w:jc w:val="right"/>
              <w:spacing w:after="0"/>
              <w:rPr>
                <w:sz w:val="20"/>
                <w:szCs w:val="20"/>
                <w:color w:val="auto"/>
              </w:rPr>
            </w:pPr>
            <w:r>
              <w:rPr>
                <w:rFonts w:ascii="Arial" w:cs="Arial" w:eastAsia="Arial" w:hAnsi="Arial"/>
                <w:sz w:val="16"/>
                <w:szCs w:val="16"/>
                <w:color w:val="auto"/>
              </w:rPr>
              <w:t>112,292</w:t>
            </w:r>
          </w:p>
        </w:tc>
        <w:tc>
          <w:tcPr>
            <w:tcW w:w="60" w:type="dxa"/>
            <w:vAlign w:val="bottom"/>
          </w:tcPr>
          <w:p>
            <w:pPr>
              <w:spacing w:after="0"/>
              <w:rPr>
                <w:sz w:val="17"/>
                <w:szCs w:val="17"/>
                <w:color w:val="auto"/>
              </w:rPr>
            </w:pPr>
          </w:p>
        </w:tc>
      </w:tr>
      <w:tr>
        <w:trPr>
          <w:trHeight w:val="170"/>
        </w:trPr>
        <w:tc>
          <w:tcPr>
            <w:tcW w:w="5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5,623,252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4,959,878</w:t>
            </w:r>
          </w:p>
        </w:tc>
        <w:tc>
          <w:tcPr>
            <w:tcW w:w="2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4,760,110</w:t>
            </w:r>
          </w:p>
        </w:tc>
        <w:tc>
          <w:tcPr>
            <w:tcW w:w="60" w:type="dxa"/>
            <w:vAlign w:val="bottom"/>
          </w:tcPr>
          <w:p>
            <w:pPr>
              <w:spacing w:after="0"/>
              <w:rPr>
                <w:sz w:val="14"/>
                <w:szCs w:val="14"/>
                <w:color w:val="auto"/>
              </w:rPr>
            </w:pPr>
          </w:p>
        </w:tc>
      </w:tr>
      <w:tr>
        <w:trPr>
          <w:trHeight w:val="333"/>
        </w:trPr>
        <w:tc>
          <w:tcPr>
            <w:tcW w:w="5940" w:type="dxa"/>
            <w:vAlign w:val="bottom"/>
          </w:tcPr>
          <w:p>
            <w:pPr>
              <w:spacing w:after="0"/>
              <w:rPr>
                <w:sz w:val="20"/>
                <w:szCs w:val="20"/>
                <w:color w:val="auto"/>
              </w:rPr>
            </w:pPr>
            <w:r>
              <w:rPr>
                <w:rFonts w:ascii="Arial" w:cs="Arial" w:eastAsia="Arial" w:hAnsi="Arial"/>
                <w:sz w:val="16"/>
                <w:szCs w:val="16"/>
                <w:b w:val="1"/>
                <w:bCs w:val="1"/>
                <w:color w:val="auto"/>
              </w:rPr>
              <w:t>Net basic and dilutive earnings per share attributable to Credicorp's equity</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5940" w:type="dxa"/>
            <w:vAlign w:val="bottom"/>
          </w:tcPr>
          <w:p>
            <w:pPr>
              <w:spacing w:after="0"/>
              <w:rPr>
                <w:sz w:val="20"/>
                <w:szCs w:val="20"/>
                <w:color w:val="auto"/>
              </w:rPr>
            </w:pPr>
            <w:r>
              <w:rPr>
                <w:rFonts w:ascii="Arial" w:cs="Arial" w:eastAsia="Arial" w:hAnsi="Arial"/>
                <w:sz w:val="16"/>
                <w:szCs w:val="16"/>
                <w:b w:val="1"/>
                <w:bCs w:val="1"/>
                <w:color w:val="auto"/>
              </w:rPr>
              <w:t>holders (in soles):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12"/>
        </w:trPr>
        <w:tc>
          <w:tcPr>
            <w:tcW w:w="5940" w:type="dxa"/>
            <w:vAlign w:val="bottom"/>
          </w:tcPr>
          <w:p>
            <w:pPr>
              <w:spacing w:after="0"/>
              <w:rPr>
                <w:sz w:val="20"/>
                <w:szCs w:val="20"/>
                <w:color w:val="auto"/>
              </w:rPr>
            </w:pPr>
            <w:r>
              <w:rPr>
                <w:rFonts w:ascii="Arial" w:cs="Arial" w:eastAsia="Arial" w:hAnsi="Arial"/>
                <w:sz w:val="16"/>
                <w:szCs w:val="16"/>
                <w:color w:val="auto"/>
              </w:rPr>
              <w:t>Basic</w:t>
            </w:r>
          </w:p>
        </w:tc>
        <w:tc>
          <w:tcPr>
            <w:tcW w:w="1360" w:type="dxa"/>
            <w:vAlign w:val="bottom"/>
          </w:tcPr>
          <w:p>
            <w:pPr>
              <w:jc w:val="center"/>
              <w:ind w:right="62"/>
              <w:spacing w:after="0"/>
              <w:rPr>
                <w:sz w:val="20"/>
                <w:szCs w:val="20"/>
                <w:color w:val="auto"/>
              </w:rPr>
            </w:pPr>
            <w:r>
              <w:rPr>
                <w:rFonts w:ascii="Arial" w:cs="Arial" w:eastAsia="Arial" w:hAnsi="Arial"/>
                <w:sz w:val="16"/>
                <w:szCs w:val="16"/>
                <w:color w:val="auto"/>
              </w:rPr>
              <w:t>26</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69.24</w:t>
            </w:r>
          </w:p>
        </w:tc>
        <w:tc>
          <w:tcPr>
            <w:tcW w:w="120" w:type="dxa"/>
            <w:vAlign w:val="bottom"/>
          </w:tcPr>
          <w:p>
            <w:pPr>
              <w:spacing w:after="0"/>
              <w:rPr>
                <w:sz w:val="24"/>
                <w:szCs w:val="24"/>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61.22</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58.44</w:t>
            </w:r>
          </w:p>
        </w:tc>
      </w:tr>
      <w:tr>
        <w:trPr>
          <w:trHeight w:val="205"/>
        </w:trPr>
        <w:tc>
          <w:tcPr>
            <w:tcW w:w="5940" w:type="dxa"/>
            <w:vAlign w:val="bottom"/>
          </w:tcPr>
          <w:p>
            <w:pPr>
              <w:spacing w:after="0"/>
              <w:rPr>
                <w:sz w:val="20"/>
                <w:szCs w:val="20"/>
                <w:color w:val="auto"/>
              </w:rPr>
            </w:pPr>
            <w:r>
              <w:rPr>
                <w:rFonts w:ascii="Arial" w:cs="Arial" w:eastAsia="Arial" w:hAnsi="Arial"/>
                <w:sz w:val="16"/>
                <w:szCs w:val="16"/>
                <w:color w:val="auto"/>
              </w:rPr>
              <w:t>Diluted</w:t>
            </w:r>
          </w:p>
        </w:tc>
        <w:tc>
          <w:tcPr>
            <w:tcW w:w="1360" w:type="dxa"/>
            <w:vAlign w:val="bottom"/>
          </w:tcPr>
          <w:p>
            <w:pPr>
              <w:jc w:val="center"/>
              <w:ind w:right="62"/>
              <w:spacing w:after="0"/>
              <w:rPr>
                <w:sz w:val="20"/>
                <w:szCs w:val="20"/>
                <w:color w:val="auto"/>
              </w:rPr>
            </w:pPr>
            <w:r>
              <w:rPr>
                <w:rFonts w:ascii="Arial" w:cs="Arial" w:eastAsia="Arial" w:hAnsi="Arial"/>
                <w:sz w:val="16"/>
                <w:szCs w:val="16"/>
                <w:color w:val="auto"/>
              </w:rPr>
              <w:t>26</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69.09</w:t>
            </w:r>
          </w:p>
        </w:tc>
        <w:tc>
          <w:tcPr>
            <w:tcW w:w="120" w:type="dxa"/>
            <w:vAlign w:val="bottom"/>
          </w:tcPr>
          <w:p>
            <w:pPr>
              <w:spacing w:after="0"/>
              <w:rPr>
                <w:sz w:val="17"/>
                <w:szCs w:val="17"/>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61.08</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58.32</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4"/>
        </w:trPr>
        <w:tc>
          <w:tcPr>
            <w:tcW w:w="6040" w:type="dxa"/>
            <w:vAlign w:val="bottom"/>
          </w:tcPr>
          <w:p>
            <w:pPr>
              <w:spacing w:after="0"/>
              <w:rPr>
                <w:sz w:val="20"/>
                <w:szCs w:val="20"/>
                <w:color w:val="auto"/>
              </w:rPr>
            </w:pPr>
            <w:r>
              <w:rPr>
                <w:rFonts w:ascii="Arial" w:cs="Arial" w:eastAsia="Arial" w:hAnsi="Arial"/>
                <w:sz w:val="16"/>
                <w:szCs w:val="16"/>
                <w:b w:val="1"/>
                <w:bCs w:val="1"/>
                <w:color w:val="auto"/>
              </w:rPr>
              <w:t>CREDICORP LTD. AND SUBSIDIARIES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40" w:type="dxa"/>
            <w:vAlign w:val="bottom"/>
          </w:tcPr>
          <w:p>
            <w:pPr>
              <w:spacing w:after="0"/>
              <w:rPr>
                <w:sz w:val="20"/>
                <w:szCs w:val="20"/>
                <w:color w:val="auto"/>
              </w:rPr>
            </w:pPr>
            <w:r>
              <w:rPr>
                <w:rFonts w:ascii="Arial" w:cs="Arial" w:eastAsia="Arial" w:hAnsi="Arial"/>
                <w:sz w:val="16"/>
                <w:szCs w:val="16"/>
                <w:color w:val="auto"/>
              </w:rPr>
              <w:t>CONSOLIDATED STATEMENT OF COMPREHENSIVE INCOME</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6"/>
                <w:szCs w:val="16"/>
                <w:color w:val="auto"/>
              </w:rPr>
              <w:t>FOR THE YEARS ENDED DECEMBER 31, 2024, 2023 AND 2022</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6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6040" w:type="dxa"/>
            <w:vAlign w:val="bottom"/>
          </w:tcPr>
          <w:p>
            <w:pPr>
              <w:spacing w:after="0"/>
              <w:rPr>
                <w:sz w:val="20"/>
                <w:szCs w:val="20"/>
                <w:color w:val="auto"/>
              </w:rPr>
            </w:pPr>
            <w:r>
              <w:rPr>
                <w:rFonts w:ascii="Arial" w:cs="Arial" w:eastAsia="Arial" w:hAnsi="Arial"/>
                <w:sz w:val="16"/>
                <w:szCs w:val="16"/>
                <w:b w:val="1"/>
                <w:bCs w:val="1"/>
                <w:color w:val="auto"/>
              </w:rPr>
              <w:t>Net profit for the period</w:t>
            </w:r>
          </w:p>
        </w:tc>
        <w:tc>
          <w:tcPr>
            <w:tcW w:w="13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6"/>
                <w:szCs w:val="16"/>
                <w:color w:val="auto"/>
              </w:rPr>
              <w:t>5,623,252</w:t>
            </w:r>
          </w:p>
        </w:tc>
        <w:tc>
          <w:tcPr>
            <w:tcW w:w="2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4,959,878</w:t>
            </w:r>
          </w:p>
        </w:tc>
        <w:tc>
          <w:tcPr>
            <w:tcW w:w="1100" w:type="dxa"/>
            <w:vAlign w:val="bottom"/>
          </w:tcPr>
          <w:p>
            <w:pPr>
              <w:jc w:val="right"/>
              <w:spacing w:after="0"/>
              <w:rPr>
                <w:sz w:val="20"/>
                <w:szCs w:val="20"/>
                <w:color w:val="auto"/>
              </w:rPr>
            </w:pPr>
            <w:r>
              <w:rPr>
                <w:rFonts w:ascii="Arial" w:cs="Arial" w:eastAsia="Arial" w:hAnsi="Arial"/>
                <w:sz w:val="16"/>
                <w:szCs w:val="16"/>
                <w:color w:val="auto"/>
              </w:rPr>
              <w:t>4,760,110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40" w:type="dxa"/>
            <w:vAlign w:val="bottom"/>
          </w:tcPr>
          <w:p>
            <w:pPr>
              <w:spacing w:after="0" w:line="175" w:lineRule="exact"/>
              <w:rPr>
                <w:sz w:val="20"/>
                <w:szCs w:val="20"/>
                <w:color w:val="auto"/>
              </w:rPr>
            </w:pPr>
            <w:r>
              <w:rPr>
                <w:rFonts w:ascii="Arial" w:cs="Arial" w:eastAsia="Arial" w:hAnsi="Arial"/>
                <w:sz w:val="16"/>
                <w:szCs w:val="16"/>
                <w:b w:val="1"/>
                <w:bCs w:val="1"/>
                <w:color w:val="auto"/>
              </w:rPr>
              <w:t>Other comprehensive income:</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140"/>
              <w:spacing w:after="0"/>
              <w:rPr>
                <w:sz w:val="20"/>
                <w:szCs w:val="20"/>
                <w:color w:val="auto"/>
              </w:rPr>
            </w:pPr>
            <w:r>
              <w:rPr>
                <w:rFonts w:ascii="Arial" w:cs="Arial" w:eastAsia="Arial" w:hAnsi="Arial"/>
                <w:sz w:val="16"/>
                <w:szCs w:val="16"/>
                <w:b w:val="1"/>
                <w:bCs w:val="1"/>
                <w:color w:val="auto"/>
              </w:rPr>
              <w:t>To be reclassified to profit or loss in subsequent periods: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40" w:type="dxa"/>
            <w:vAlign w:val="bottom"/>
          </w:tcPr>
          <w:p>
            <w:pPr>
              <w:ind w:left="140"/>
              <w:spacing w:after="0"/>
              <w:rPr>
                <w:sz w:val="20"/>
                <w:szCs w:val="20"/>
                <w:color w:val="auto"/>
              </w:rPr>
            </w:pPr>
            <w:r>
              <w:rPr>
                <w:rFonts w:ascii="Arial" w:cs="Arial" w:eastAsia="Arial" w:hAnsi="Arial"/>
                <w:sz w:val="16"/>
                <w:szCs w:val="16"/>
                <w:color w:val="auto"/>
              </w:rPr>
              <w:t>Net gain (loss) on investments at fair value through other comprehensive income</w:t>
            </w:r>
          </w:p>
        </w:tc>
        <w:tc>
          <w:tcPr>
            <w:tcW w:w="1300" w:type="dxa"/>
            <w:vAlign w:val="bottom"/>
          </w:tcPr>
          <w:p>
            <w:pPr>
              <w:ind w:left="380"/>
              <w:spacing w:after="0"/>
              <w:rPr>
                <w:sz w:val="20"/>
                <w:szCs w:val="20"/>
                <w:color w:val="auto"/>
              </w:rPr>
            </w:pPr>
            <w:r>
              <w:rPr>
                <w:rFonts w:ascii="Arial" w:cs="Arial" w:eastAsia="Arial" w:hAnsi="Arial"/>
                <w:sz w:val="16"/>
                <w:szCs w:val="16"/>
                <w:color w:val="auto"/>
              </w:rPr>
              <w:t>16(d)</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205,765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1,334,943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(1,614,053)</w:t>
            </w:r>
          </w:p>
        </w:tc>
        <w:tc>
          <w:tcPr>
            <w:tcW w:w="0" w:type="dxa"/>
            <w:vAlign w:val="bottom"/>
          </w:tcPr>
          <w:p>
            <w:pPr>
              <w:spacing w:after="0"/>
              <w:rPr>
                <w:sz w:val="1"/>
                <w:szCs w:val="1"/>
                <w:color w:val="auto"/>
              </w:rPr>
            </w:pPr>
          </w:p>
        </w:tc>
      </w:tr>
      <w:tr>
        <w:trPr>
          <w:trHeight w:val="190"/>
        </w:trPr>
        <w:tc>
          <w:tcPr>
            <w:tcW w:w="604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1300" w:type="dxa"/>
            <w:vAlign w:val="bottom"/>
          </w:tcPr>
          <w:p>
            <w:pPr>
              <w:ind w:left="380"/>
              <w:spacing w:after="0"/>
              <w:rPr>
                <w:sz w:val="20"/>
                <w:szCs w:val="20"/>
                <w:color w:val="auto"/>
              </w:rPr>
            </w:pPr>
            <w:r>
              <w:rPr>
                <w:rFonts w:ascii="Arial" w:cs="Arial" w:eastAsia="Arial" w:hAnsi="Arial"/>
                <w:sz w:val="16"/>
                <w:szCs w:val="16"/>
                <w:color w:val="auto"/>
              </w:rPr>
              <w:t>16(d)</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5,118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(58,489)</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82,459</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210,883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1,276,454</w:t>
            </w: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(1,531,594)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6040" w:type="dxa"/>
            <w:vAlign w:val="bottom"/>
          </w:tcPr>
          <w:p>
            <w:pPr>
              <w:ind w:left="140"/>
              <w:spacing w:after="0"/>
              <w:rPr>
                <w:sz w:val="20"/>
                <w:szCs w:val="20"/>
                <w:color w:val="auto"/>
              </w:rPr>
            </w:pPr>
            <w:r>
              <w:rPr>
                <w:rFonts w:ascii="Arial" w:cs="Arial" w:eastAsia="Arial" w:hAnsi="Arial"/>
                <w:sz w:val="16"/>
                <w:szCs w:val="16"/>
                <w:color w:val="auto"/>
              </w:rPr>
              <w:t>Net movement of cash flow hedge reserves</w:t>
            </w:r>
          </w:p>
        </w:tc>
        <w:tc>
          <w:tcPr>
            <w:tcW w:w="1300" w:type="dxa"/>
            <w:vAlign w:val="bottom"/>
          </w:tcPr>
          <w:p>
            <w:pPr>
              <w:ind w:left="380"/>
              <w:spacing w:after="0"/>
              <w:rPr>
                <w:sz w:val="20"/>
                <w:szCs w:val="20"/>
                <w:color w:val="auto"/>
              </w:rPr>
            </w:pPr>
            <w:r>
              <w:rPr>
                <w:rFonts w:ascii="Arial" w:cs="Arial" w:eastAsia="Arial" w:hAnsi="Arial"/>
                <w:sz w:val="16"/>
                <w:szCs w:val="16"/>
                <w:color w:val="auto"/>
              </w:rPr>
              <w:t>16(d)</w:t>
            </w:r>
          </w:p>
        </w:tc>
        <w:tc>
          <w:tcPr>
            <w:tcW w:w="1160" w:type="dxa"/>
            <w:vAlign w:val="bottom"/>
            <w:gridSpan w:val="4"/>
          </w:tcPr>
          <w:p>
            <w:pPr>
              <w:jc w:val="right"/>
              <w:ind w:right="40"/>
              <w:spacing w:after="0"/>
              <w:rPr>
                <w:sz w:val="20"/>
                <w:szCs w:val="20"/>
                <w:color w:val="auto"/>
              </w:rPr>
            </w:pPr>
            <w:r>
              <w:rPr>
                <w:rFonts w:ascii="Arial" w:cs="Arial" w:eastAsia="Arial" w:hAnsi="Arial"/>
                <w:sz w:val="16"/>
                <w:szCs w:val="16"/>
                <w:color w:val="auto"/>
              </w:rPr>
              <w:t>13,925</w:t>
            </w:r>
          </w:p>
        </w:tc>
        <w:tc>
          <w:tcPr>
            <w:tcW w:w="20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(17,443)</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190"/>
        </w:trPr>
        <w:tc>
          <w:tcPr>
            <w:tcW w:w="604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1300" w:type="dxa"/>
            <w:vAlign w:val="bottom"/>
          </w:tcPr>
          <w:p>
            <w:pPr>
              <w:ind w:left="380"/>
              <w:spacing w:after="0"/>
              <w:rPr>
                <w:sz w:val="20"/>
                <w:szCs w:val="20"/>
                <w:color w:val="auto"/>
              </w:rPr>
            </w:pPr>
            <w:r>
              <w:rPr>
                <w:rFonts w:ascii="Arial" w:cs="Arial" w:eastAsia="Arial" w:hAnsi="Arial"/>
                <w:sz w:val="16"/>
                <w:szCs w:val="16"/>
                <w:color w:val="auto"/>
              </w:rPr>
              <w:t>16(d)</w:t>
            </w:r>
          </w:p>
        </w:tc>
        <w:tc>
          <w:tcPr>
            <w:tcW w:w="1360" w:type="dxa"/>
            <w:vAlign w:val="bottom"/>
            <w:gridSpan w:val="5"/>
          </w:tcPr>
          <w:p>
            <w:pPr>
              <w:jc w:val="right"/>
              <w:ind w:right="180"/>
              <w:spacing w:after="0"/>
              <w:rPr>
                <w:sz w:val="20"/>
                <w:szCs w:val="20"/>
                <w:color w:val="auto"/>
              </w:rPr>
            </w:pPr>
            <w:r>
              <w:rPr>
                <w:rFonts w:ascii="Arial" w:cs="Arial" w:eastAsia="Arial" w:hAnsi="Arial"/>
                <w:sz w:val="16"/>
                <w:szCs w:val="16"/>
                <w:color w:val="auto"/>
              </w:rPr>
              <w:t>(4,030)</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5,104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9,895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(12,339)</w:t>
            </w: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6040" w:type="dxa"/>
            <w:vAlign w:val="bottom"/>
          </w:tcPr>
          <w:p>
            <w:pPr>
              <w:ind w:left="140"/>
              <w:spacing w:after="0"/>
              <w:rPr>
                <w:sz w:val="20"/>
                <w:szCs w:val="20"/>
                <w:color w:val="auto"/>
              </w:rPr>
            </w:pPr>
            <w:r>
              <w:rPr>
                <w:rFonts w:ascii="Arial" w:cs="Arial" w:eastAsia="Arial" w:hAnsi="Arial"/>
                <w:sz w:val="16"/>
                <w:szCs w:val="16"/>
                <w:color w:val="auto"/>
              </w:rPr>
              <w:t>Insurance reserves</w:t>
            </w:r>
          </w:p>
        </w:tc>
        <w:tc>
          <w:tcPr>
            <w:tcW w:w="1300" w:type="dxa"/>
            <w:vAlign w:val="bottom"/>
          </w:tcPr>
          <w:p>
            <w:pPr>
              <w:ind w:left="380"/>
              <w:spacing w:after="0"/>
              <w:rPr>
                <w:sz w:val="20"/>
                <w:szCs w:val="20"/>
                <w:color w:val="auto"/>
              </w:rPr>
            </w:pPr>
            <w:r>
              <w:rPr>
                <w:rFonts w:ascii="Arial" w:cs="Arial" w:eastAsia="Arial" w:hAnsi="Arial"/>
                <w:sz w:val="16"/>
                <w:szCs w:val="16"/>
                <w:color w:val="auto"/>
              </w:rPr>
              <w:t>16(d)</w:t>
            </w:r>
          </w:p>
        </w:tc>
        <w:tc>
          <w:tcPr>
            <w:tcW w:w="1360" w:type="dxa"/>
            <w:vAlign w:val="bottom"/>
            <w:gridSpan w:val="5"/>
          </w:tcPr>
          <w:p>
            <w:pPr>
              <w:jc w:val="right"/>
              <w:ind w:right="180"/>
              <w:spacing w:after="0"/>
              <w:rPr>
                <w:sz w:val="20"/>
                <w:szCs w:val="20"/>
                <w:color w:val="auto"/>
              </w:rPr>
            </w:pPr>
            <w:r>
              <w:rPr>
                <w:rFonts w:ascii="Arial" w:cs="Arial" w:eastAsia="Arial" w:hAnsi="Arial"/>
                <w:sz w:val="16"/>
                <w:szCs w:val="16"/>
                <w:color w:val="auto"/>
              </w:rPr>
              <w:t>(70,176)</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(762,811)</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1,144,140</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(70,176)</w:t>
            </w:r>
          </w:p>
        </w:tc>
        <w:tc>
          <w:tcPr>
            <w:tcW w:w="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(762,811)</w:t>
            </w: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1,144,140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6040" w:type="dxa"/>
            <w:vAlign w:val="bottom"/>
          </w:tcPr>
          <w:p>
            <w:pPr>
              <w:ind w:left="140"/>
              <w:spacing w:after="0"/>
              <w:rPr>
                <w:sz w:val="20"/>
                <w:szCs w:val="20"/>
                <w:color w:val="auto"/>
              </w:rPr>
            </w:pPr>
            <w:r>
              <w:rPr>
                <w:rFonts w:ascii="Arial" w:cs="Arial" w:eastAsia="Arial" w:hAnsi="Arial"/>
                <w:sz w:val="16"/>
                <w:szCs w:val="16"/>
                <w:color w:val="auto"/>
              </w:rPr>
              <w:t>Exchange differences on translation of foreign operations</w:t>
            </w:r>
          </w:p>
        </w:tc>
        <w:tc>
          <w:tcPr>
            <w:tcW w:w="1300" w:type="dxa"/>
            <w:vAlign w:val="bottom"/>
          </w:tcPr>
          <w:p>
            <w:pPr>
              <w:ind w:left="380"/>
              <w:spacing w:after="0"/>
              <w:rPr>
                <w:sz w:val="20"/>
                <w:szCs w:val="20"/>
                <w:color w:val="auto"/>
              </w:rPr>
            </w:pPr>
            <w:r>
              <w:rPr>
                <w:rFonts w:ascii="Arial" w:cs="Arial" w:eastAsia="Arial" w:hAnsi="Arial"/>
                <w:sz w:val="16"/>
                <w:szCs w:val="16"/>
                <w:color w:val="auto"/>
              </w:rPr>
              <w:t>16(d)</w:t>
            </w:r>
          </w:p>
        </w:tc>
        <w:tc>
          <w:tcPr>
            <w:tcW w:w="1360" w:type="dxa"/>
            <w:vAlign w:val="bottom"/>
            <w:gridSpan w:val="5"/>
          </w:tcPr>
          <w:p>
            <w:pPr>
              <w:jc w:val="right"/>
              <w:ind w:right="180"/>
              <w:spacing w:after="0"/>
              <w:rPr>
                <w:sz w:val="20"/>
                <w:szCs w:val="20"/>
                <w:color w:val="auto"/>
              </w:rPr>
            </w:pPr>
            <w:r>
              <w:rPr>
                <w:rFonts w:ascii="Arial" w:cs="Arial" w:eastAsia="Arial" w:hAnsi="Arial"/>
                <w:sz w:val="16"/>
                <w:szCs w:val="16"/>
                <w:color w:val="auto"/>
              </w:rPr>
              <w:t>(114,142)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73,464</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(302,083)</w:t>
            </w:r>
          </w:p>
        </w:tc>
        <w:tc>
          <w:tcPr>
            <w:tcW w:w="0" w:type="dxa"/>
            <w:vAlign w:val="bottom"/>
          </w:tcPr>
          <w:p>
            <w:pPr>
              <w:spacing w:after="0"/>
              <w:rPr>
                <w:sz w:val="1"/>
                <w:szCs w:val="1"/>
                <w:color w:val="auto"/>
              </w:rPr>
            </w:pPr>
          </w:p>
        </w:tc>
      </w:tr>
      <w:tr>
        <w:trPr>
          <w:trHeight w:val="190"/>
        </w:trPr>
        <w:tc>
          <w:tcPr>
            <w:tcW w:w="6040" w:type="dxa"/>
            <w:vAlign w:val="bottom"/>
          </w:tcPr>
          <w:p>
            <w:pPr>
              <w:ind w:left="140"/>
              <w:spacing w:after="0"/>
              <w:rPr>
                <w:sz w:val="20"/>
                <w:szCs w:val="20"/>
                <w:color w:val="auto"/>
              </w:rPr>
            </w:pPr>
            <w:r>
              <w:rPr>
                <w:rFonts w:ascii="Arial" w:cs="Arial" w:eastAsia="Arial" w:hAnsi="Arial"/>
                <w:sz w:val="16"/>
                <w:szCs w:val="16"/>
                <w:color w:val="auto"/>
              </w:rPr>
              <w:t>Net movement in hedges of net investments in foreign businesses</w:t>
            </w:r>
          </w:p>
        </w:tc>
        <w:tc>
          <w:tcPr>
            <w:tcW w:w="1300" w:type="dxa"/>
            <w:vAlign w:val="bottom"/>
          </w:tcPr>
          <w:p>
            <w:pPr>
              <w:ind w:left="380"/>
              <w:spacing w:after="0"/>
              <w:rPr>
                <w:sz w:val="20"/>
                <w:szCs w:val="20"/>
                <w:color w:val="auto"/>
              </w:rPr>
            </w:pPr>
            <w:r>
              <w:rPr>
                <w:rFonts w:ascii="Arial" w:cs="Arial" w:eastAsia="Arial" w:hAnsi="Arial"/>
                <w:sz w:val="16"/>
                <w:szCs w:val="16"/>
                <w:color w:val="auto"/>
              </w:rPr>
              <w:t>16(d)</w:t>
            </w:r>
          </w:p>
        </w:tc>
        <w:tc>
          <w:tcPr>
            <w:tcW w:w="20" w:type="dxa"/>
            <w:vAlign w:val="bottom"/>
          </w:tcPr>
          <w:p>
            <w:pPr>
              <w:spacing w:after="0"/>
              <w:rPr>
                <w:sz w:val="16"/>
                <w:szCs w:val="16"/>
                <w:color w:val="auto"/>
              </w:rPr>
            </w:pPr>
          </w:p>
        </w:tc>
        <w:tc>
          <w:tcPr>
            <w:tcW w:w="134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18,950</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39,587</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(114,142)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92,414</w:t>
            </w: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(262,496)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0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13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140" w:type="dxa"/>
            <w:vAlign w:val="bottom"/>
            <w:tcBorders>
              <w:bottom w:val="single" w:sz="8" w:color="auto"/>
            </w:tcBorders>
            <w:gridSpan w:val="3"/>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140" w:type="dxa"/>
            <w:vAlign w:val="bottom"/>
            <w:gridSpan w:val="3"/>
          </w:tcPr>
          <w:p>
            <w:pPr>
              <w:jc w:val="right"/>
              <w:ind w:right="40"/>
              <w:spacing w:after="0" w:line="167" w:lineRule="exact"/>
              <w:rPr>
                <w:sz w:val="20"/>
                <w:szCs w:val="20"/>
                <w:color w:val="auto"/>
              </w:rPr>
            </w:pPr>
            <w:r>
              <w:rPr>
                <w:rFonts w:ascii="Arial" w:cs="Arial" w:eastAsia="Arial" w:hAnsi="Arial"/>
                <w:sz w:val="16"/>
                <w:szCs w:val="16"/>
                <w:color w:val="auto"/>
              </w:rPr>
              <w:t>36,460</w:t>
            </w:r>
          </w:p>
        </w:tc>
        <w:tc>
          <w:tcPr>
            <w:tcW w:w="200" w:type="dxa"/>
            <w:vAlign w:val="bottom"/>
          </w:tcPr>
          <w:p>
            <w:pPr>
              <w:spacing w:after="0"/>
              <w:rPr>
                <w:sz w:val="14"/>
                <w:szCs w:val="14"/>
                <w:color w:val="auto"/>
              </w:rPr>
            </w:pPr>
          </w:p>
        </w:tc>
        <w:tc>
          <w:tcPr>
            <w:tcW w:w="1140" w:type="dxa"/>
            <w:vAlign w:val="bottom"/>
          </w:tcPr>
          <w:p>
            <w:pPr>
              <w:jc w:val="right"/>
              <w:spacing w:after="0" w:line="167" w:lineRule="exact"/>
              <w:rPr>
                <w:sz w:val="20"/>
                <w:szCs w:val="20"/>
                <w:color w:val="auto"/>
              </w:rPr>
            </w:pPr>
            <w:r>
              <w:rPr>
                <w:rFonts w:ascii="Arial" w:cs="Arial" w:eastAsia="Arial" w:hAnsi="Arial"/>
                <w:sz w:val="16"/>
                <w:szCs w:val="16"/>
                <w:color w:val="auto"/>
              </w:rPr>
              <w:t>593,718</w:t>
            </w:r>
          </w:p>
        </w:tc>
        <w:tc>
          <w:tcPr>
            <w:tcW w:w="200" w:type="dxa"/>
            <w:vAlign w:val="bottom"/>
            <w:vMerge w:val="continue"/>
          </w:tcPr>
          <w:p>
            <w:pPr>
              <w:spacing w:after="0"/>
              <w:rPr>
                <w:sz w:val="14"/>
                <w:szCs w:val="14"/>
                <w:color w:val="auto"/>
              </w:rPr>
            </w:pPr>
          </w:p>
        </w:tc>
        <w:tc>
          <w:tcPr>
            <w:tcW w:w="1100" w:type="dxa"/>
            <w:vAlign w:val="bottom"/>
          </w:tcPr>
          <w:p>
            <w:pPr>
              <w:jc w:val="right"/>
              <w:spacing w:after="0" w:line="167" w:lineRule="exact"/>
              <w:rPr>
                <w:sz w:val="20"/>
                <w:szCs w:val="20"/>
                <w:color w:val="auto"/>
              </w:rPr>
            </w:pPr>
            <w:r>
              <w:rPr>
                <w:rFonts w:ascii="Arial" w:cs="Arial" w:eastAsia="Arial" w:hAnsi="Arial"/>
                <w:sz w:val="16"/>
                <w:szCs w:val="16"/>
                <w:color w:val="auto"/>
              </w:rPr>
              <w:t>(648,862)</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6040" w:type="dxa"/>
            <w:vAlign w:val="bottom"/>
          </w:tcPr>
          <w:p>
            <w:pPr>
              <w:ind w:left="140"/>
              <w:spacing w:after="0"/>
              <w:rPr>
                <w:sz w:val="20"/>
                <w:szCs w:val="20"/>
                <w:color w:val="auto"/>
              </w:rPr>
            </w:pPr>
            <w:r>
              <w:rPr>
                <w:rFonts w:ascii="Arial" w:cs="Arial" w:eastAsia="Arial" w:hAnsi="Arial"/>
                <w:sz w:val="16"/>
                <w:szCs w:val="16"/>
                <w:b w:val="1"/>
                <w:bCs w:val="1"/>
                <w:color w:val="auto"/>
              </w:rPr>
              <w:t>Not to be reclassified to profit or loss in subsequent periods:</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040" w:type="dxa"/>
            <w:vAlign w:val="bottom"/>
          </w:tcPr>
          <w:p>
            <w:pPr>
              <w:ind w:left="140"/>
              <w:spacing w:after="0"/>
              <w:rPr>
                <w:sz w:val="20"/>
                <w:szCs w:val="20"/>
                <w:color w:val="auto"/>
              </w:rPr>
            </w:pPr>
            <w:r>
              <w:rPr>
                <w:rFonts w:ascii="Arial" w:cs="Arial" w:eastAsia="Arial" w:hAnsi="Arial"/>
                <w:sz w:val="16"/>
                <w:szCs w:val="16"/>
                <w:color w:val="auto"/>
              </w:rPr>
              <w:t>Gain (loss) on equity instruments designated at fair value through other</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40" w:type="dxa"/>
            <w:vAlign w:val="bottom"/>
          </w:tcPr>
          <w:p>
            <w:pPr>
              <w:ind w:left="140"/>
              <w:spacing w:after="0" w:line="175" w:lineRule="exact"/>
              <w:rPr>
                <w:sz w:val="20"/>
                <w:szCs w:val="20"/>
                <w:color w:val="auto"/>
              </w:rPr>
            </w:pPr>
            <w:r>
              <w:rPr>
                <w:rFonts w:ascii="Arial" w:cs="Arial" w:eastAsia="Arial" w:hAnsi="Arial"/>
                <w:sz w:val="16"/>
                <w:szCs w:val="16"/>
                <w:color w:val="auto"/>
              </w:rPr>
              <w:t>comprehensive income</w:t>
            </w:r>
          </w:p>
        </w:tc>
        <w:tc>
          <w:tcPr>
            <w:tcW w:w="1300" w:type="dxa"/>
            <w:vAlign w:val="bottom"/>
          </w:tcPr>
          <w:p>
            <w:pPr>
              <w:ind w:left="380"/>
              <w:spacing w:after="0" w:line="175" w:lineRule="exact"/>
              <w:rPr>
                <w:sz w:val="20"/>
                <w:szCs w:val="20"/>
                <w:color w:val="auto"/>
              </w:rPr>
            </w:pPr>
            <w:r>
              <w:rPr>
                <w:rFonts w:ascii="Arial" w:cs="Arial" w:eastAsia="Arial" w:hAnsi="Arial"/>
                <w:sz w:val="16"/>
                <w:szCs w:val="16"/>
                <w:color w:val="auto"/>
              </w:rPr>
              <w:t>16(d)</w:t>
            </w:r>
          </w:p>
        </w:tc>
        <w:tc>
          <w:tcPr>
            <w:tcW w:w="1160" w:type="dxa"/>
            <w:vAlign w:val="bottom"/>
            <w:gridSpan w:val="4"/>
          </w:tcPr>
          <w:p>
            <w:pPr>
              <w:jc w:val="right"/>
              <w:ind w:right="40"/>
              <w:spacing w:after="0" w:line="175" w:lineRule="exact"/>
              <w:rPr>
                <w:sz w:val="20"/>
                <w:szCs w:val="20"/>
                <w:color w:val="auto"/>
              </w:rPr>
            </w:pPr>
            <w:r>
              <w:rPr>
                <w:rFonts w:ascii="Arial" w:cs="Arial" w:eastAsia="Arial" w:hAnsi="Arial"/>
                <w:sz w:val="16"/>
                <w:szCs w:val="16"/>
                <w:color w:val="auto"/>
              </w:rPr>
              <w:t>15,684</w:t>
            </w:r>
          </w:p>
        </w:tc>
        <w:tc>
          <w:tcPr>
            <w:tcW w:w="200" w:type="dxa"/>
            <w:vAlign w:val="bottom"/>
          </w:tcPr>
          <w:p>
            <w:pPr>
              <w:spacing w:after="0"/>
              <w:rPr>
                <w:sz w:val="15"/>
                <w:szCs w:val="15"/>
                <w:color w:val="auto"/>
              </w:rPr>
            </w:pPr>
          </w:p>
        </w:tc>
        <w:tc>
          <w:tcPr>
            <w:tcW w:w="134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(8,329)</w:t>
            </w:r>
          </w:p>
        </w:tc>
        <w:tc>
          <w:tcPr>
            <w:tcW w:w="1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(38,563)</w:t>
            </w:r>
          </w:p>
        </w:tc>
        <w:tc>
          <w:tcPr>
            <w:tcW w:w="0" w:type="dxa"/>
            <w:vAlign w:val="bottom"/>
          </w:tcPr>
          <w:p>
            <w:pPr>
              <w:spacing w:after="0"/>
              <w:rPr>
                <w:sz w:val="1"/>
                <w:szCs w:val="1"/>
                <w:color w:val="auto"/>
              </w:rPr>
            </w:pPr>
          </w:p>
        </w:tc>
      </w:tr>
      <w:tr>
        <w:trPr>
          <w:trHeight w:val="175"/>
        </w:trPr>
        <w:tc>
          <w:tcPr>
            <w:tcW w:w="6040" w:type="dxa"/>
            <w:vAlign w:val="bottom"/>
          </w:tcPr>
          <w:p>
            <w:pPr>
              <w:ind w:left="140"/>
              <w:spacing w:after="0" w:line="175" w:lineRule="exact"/>
              <w:rPr>
                <w:sz w:val="20"/>
                <w:szCs w:val="20"/>
                <w:color w:val="auto"/>
              </w:rPr>
            </w:pPr>
            <w:r>
              <w:rPr>
                <w:rFonts w:ascii="Arial" w:cs="Arial" w:eastAsia="Arial" w:hAnsi="Arial"/>
                <w:sz w:val="16"/>
                <w:szCs w:val="16"/>
                <w:color w:val="auto"/>
              </w:rPr>
              <w:t>Transfer of fair value reserve to accumulated results</w:t>
            </w:r>
          </w:p>
        </w:tc>
        <w:tc>
          <w:tcPr>
            <w:tcW w:w="1300" w:type="dxa"/>
            <w:vAlign w:val="bottom"/>
          </w:tcPr>
          <w:p>
            <w:pPr>
              <w:ind w:left="380"/>
              <w:spacing w:after="0" w:line="175" w:lineRule="exact"/>
              <w:rPr>
                <w:sz w:val="20"/>
                <w:szCs w:val="20"/>
                <w:color w:val="auto"/>
              </w:rPr>
            </w:pPr>
            <w:r>
              <w:rPr>
                <w:rFonts w:ascii="Arial" w:cs="Arial" w:eastAsia="Arial" w:hAnsi="Arial"/>
                <w:sz w:val="16"/>
                <w:szCs w:val="16"/>
                <w:color w:val="auto"/>
              </w:rPr>
              <w:t>16(d)</w:t>
            </w:r>
          </w:p>
        </w:tc>
        <w:tc>
          <w:tcPr>
            <w:tcW w:w="1360" w:type="dxa"/>
            <w:vAlign w:val="bottom"/>
            <w:gridSpan w:val="5"/>
          </w:tcPr>
          <w:p>
            <w:pPr>
              <w:jc w:val="right"/>
              <w:ind w:right="180"/>
              <w:spacing w:after="0" w:line="175" w:lineRule="exact"/>
              <w:rPr>
                <w:sz w:val="20"/>
                <w:szCs w:val="20"/>
                <w:color w:val="auto"/>
              </w:rPr>
            </w:pPr>
            <w:r>
              <w:rPr>
                <w:rFonts w:ascii="Arial" w:cs="Arial" w:eastAsia="Arial" w:hAnsi="Arial"/>
                <w:sz w:val="16"/>
                <w:szCs w:val="16"/>
                <w:color w:val="auto"/>
              </w:rPr>
              <w:t>(137,787)</w:t>
            </w: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040" w:type="dxa"/>
            <w:vAlign w:val="bottom"/>
          </w:tcPr>
          <w:p>
            <w:pPr>
              <w:ind w:left="140"/>
              <w:spacing w:after="0"/>
              <w:rPr>
                <w:sz w:val="20"/>
                <w:szCs w:val="20"/>
                <w:color w:val="auto"/>
              </w:rPr>
            </w:pPr>
            <w:r>
              <w:rPr>
                <w:rFonts w:ascii="Arial" w:cs="Arial" w:eastAsia="Arial" w:hAnsi="Arial"/>
                <w:sz w:val="16"/>
                <w:szCs w:val="16"/>
                <w:color w:val="auto"/>
              </w:rPr>
              <w:t>Income tax</w:t>
            </w:r>
          </w:p>
        </w:tc>
        <w:tc>
          <w:tcPr>
            <w:tcW w:w="1300" w:type="dxa"/>
            <w:vAlign w:val="bottom"/>
          </w:tcPr>
          <w:p>
            <w:pPr>
              <w:ind w:left="380"/>
              <w:spacing w:after="0"/>
              <w:rPr>
                <w:sz w:val="20"/>
                <w:szCs w:val="20"/>
                <w:color w:val="auto"/>
              </w:rPr>
            </w:pPr>
            <w:r>
              <w:rPr>
                <w:rFonts w:ascii="Arial" w:cs="Arial" w:eastAsia="Arial" w:hAnsi="Arial"/>
                <w:sz w:val="16"/>
                <w:szCs w:val="16"/>
                <w:color w:val="auto"/>
              </w:rPr>
              <w:t>16(d)</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8,439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(3,791)</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167"/>
        </w:trPr>
        <w:tc>
          <w:tcPr>
            <w:tcW w:w="6040" w:type="dxa"/>
            <w:vAlign w:val="bottom"/>
          </w:tcPr>
          <w:p>
            <w:pPr>
              <w:ind w:left="140"/>
              <w:spacing w:after="0" w:line="167" w:lineRule="exact"/>
              <w:rPr>
                <w:sz w:val="20"/>
                <w:szCs w:val="20"/>
                <w:color w:val="auto"/>
              </w:rPr>
            </w:pPr>
            <w:r>
              <w:rPr>
                <w:rFonts w:ascii="Arial" w:cs="Arial" w:eastAsia="Arial" w:hAnsi="Arial"/>
                <w:sz w:val="16"/>
                <w:szCs w:val="16"/>
                <w:b w:val="1"/>
                <w:bCs w:val="1"/>
                <w:color w:val="auto"/>
              </w:rPr>
              <w:t>Total</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(113,664)</w:t>
            </w:r>
          </w:p>
        </w:tc>
        <w:tc>
          <w:tcPr>
            <w:tcW w:w="220" w:type="dxa"/>
            <w:vAlign w:val="bottom"/>
            <w:gridSpan w:val="2"/>
          </w:tcPr>
          <w:p>
            <w:pPr>
              <w:spacing w:after="0"/>
              <w:rPr>
                <w:sz w:val="14"/>
                <w:szCs w:val="14"/>
                <w:color w:val="auto"/>
              </w:rPr>
            </w:pPr>
          </w:p>
        </w:tc>
        <w:tc>
          <w:tcPr>
            <w:tcW w:w="11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(12,120)</w:t>
            </w:r>
          </w:p>
        </w:tc>
        <w:tc>
          <w:tcPr>
            <w:tcW w:w="200" w:type="dxa"/>
            <w:vAlign w:val="bottom"/>
          </w:tcPr>
          <w:p>
            <w:pPr>
              <w:spacing w:after="0"/>
              <w:rPr>
                <w:sz w:val="14"/>
                <w:szCs w:val="14"/>
                <w:color w:val="auto"/>
              </w:rPr>
            </w:pPr>
          </w:p>
        </w:tc>
        <w:tc>
          <w:tcPr>
            <w:tcW w:w="11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(36,454)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Total other comprehensive income</w:t>
            </w:r>
          </w:p>
        </w:tc>
        <w:tc>
          <w:tcPr>
            <w:tcW w:w="1300" w:type="dxa"/>
            <w:vAlign w:val="bottom"/>
            <w:vMerge w:val="restart"/>
          </w:tcPr>
          <w:p>
            <w:pPr>
              <w:ind w:left="380"/>
              <w:spacing w:after="0"/>
              <w:rPr>
                <w:sz w:val="20"/>
                <w:szCs w:val="20"/>
                <w:color w:val="auto"/>
              </w:rPr>
            </w:pPr>
            <w:r>
              <w:rPr>
                <w:rFonts w:ascii="Arial" w:cs="Arial" w:eastAsia="Arial" w:hAnsi="Arial"/>
                <w:sz w:val="16"/>
                <w:szCs w:val="16"/>
                <w:color w:val="auto"/>
              </w:rPr>
              <w:t>16(d)</w:t>
            </w:r>
          </w:p>
        </w:tc>
        <w:tc>
          <w:tcPr>
            <w:tcW w:w="20" w:type="dxa"/>
            <w:vAlign w:val="bottom"/>
            <w:vMerge w:val="restart"/>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00" w:type="dxa"/>
            <w:vAlign w:val="bottom"/>
            <w:vMerge w:val="restart"/>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(77,204)</w:t>
            </w:r>
          </w:p>
        </w:tc>
        <w:tc>
          <w:tcPr>
            <w:tcW w:w="4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581,598</w:t>
            </w:r>
          </w:p>
        </w:tc>
        <w:tc>
          <w:tcPr>
            <w:tcW w:w="200" w:type="dxa"/>
            <w:vAlign w:val="bottom"/>
            <w:vMerge w:val="continue"/>
          </w:tcPr>
          <w:p>
            <w:pPr>
              <w:spacing w:after="0"/>
              <w:rPr>
                <w:sz w:val="14"/>
                <w:szCs w:val="14"/>
                <w:color w:val="auto"/>
              </w:rPr>
            </w:pP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(685,316)</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6040" w:type="dxa"/>
            <w:vAlign w:val="bottom"/>
          </w:tcPr>
          <w:p>
            <w:pPr>
              <w:spacing w:after="0"/>
              <w:rPr>
                <w:sz w:val="20"/>
                <w:szCs w:val="20"/>
                <w:color w:val="auto"/>
              </w:rPr>
            </w:pPr>
            <w:r>
              <w:rPr>
                <w:rFonts w:ascii="Arial" w:cs="Arial" w:eastAsia="Arial" w:hAnsi="Arial"/>
                <w:sz w:val="16"/>
                <w:szCs w:val="16"/>
                <w:b w:val="1"/>
                <w:bCs w:val="1"/>
                <w:color w:val="auto"/>
              </w:rPr>
              <w:t>Total comprehensive income for the period, net of income tax</w:t>
            </w:r>
          </w:p>
        </w:tc>
        <w:tc>
          <w:tcPr>
            <w:tcW w:w="1300" w:type="dxa"/>
            <w:vAlign w:val="bottom"/>
          </w:tcPr>
          <w:p>
            <w:pPr>
              <w:spacing w:after="0"/>
              <w:rPr>
                <w:sz w:val="24"/>
                <w:szCs w:val="24"/>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6"/>
                <w:szCs w:val="16"/>
                <w:color w:val="auto"/>
              </w:rPr>
              <w:t>5,546,048</w:t>
            </w:r>
          </w:p>
        </w:tc>
        <w:tc>
          <w:tcPr>
            <w:tcW w:w="2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5,541,476</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4,074,794</w:t>
            </w:r>
          </w:p>
        </w:tc>
        <w:tc>
          <w:tcPr>
            <w:tcW w:w="0" w:type="dxa"/>
            <w:vAlign w:val="bottom"/>
          </w:tcPr>
          <w:p>
            <w:pPr>
              <w:spacing w:after="0"/>
              <w:rPr>
                <w:sz w:val="1"/>
                <w:szCs w:val="1"/>
                <w:color w:val="auto"/>
              </w:rPr>
            </w:pPr>
          </w:p>
        </w:tc>
      </w:tr>
      <w:tr>
        <w:trPr>
          <w:trHeight w:val="312"/>
        </w:trPr>
        <w:tc>
          <w:tcPr>
            <w:tcW w:w="6040" w:type="dxa"/>
            <w:vAlign w:val="bottom"/>
          </w:tcPr>
          <w:p>
            <w:pPr>
              <w:spacing w:after="0"/>
              <w:rPr>
                <w:sz w:val="20"/>
                <w:szCs w:val="20"/>
                <w:color w:val="auto"/>
              </w:rPr>
            </w:pPr>
            <w:r>
              <w:rPr>
                <w:rFonts w:ascii="Arial" w:cs="Arial" w:eastAsia="Arial" w:hAnsi="Arial"/>
                <w:sz w:val="16"/>
                <w:szCs w:val="16"/>
                <w:b w:val="1"/>
                <w:bCs w:val="1"/>
                <w:color w:val="auto"/>
              </w:rPr>
              <w:t>Attributable to:</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40" w:type="dxa"/>
            <w:vAlign w:val="bottom"/>
          </w:tcPr>
          <w:p>
            <w:pPr>
              <w:spacing w:after="0" w:line="175" w:lineRule="exact"/>
              <w:rPr>
                <w:sz w:val="20"/>
                <w:szCs w:val="20"/>
                <w:color w:val="auto"/>
              </w:rPr>
            </w:pPr>
            <w:r>
              <w:rPr>
                <w:rFonts w:ascii="Arial" w:cs="Arial" w:eastAsia="Arial" w:hAnsi="Arial"/>
                <w:sz w:val="16"/>
                <w:szCs w:val="16"/>
                <w:color w:val="auto"/>
              </w:rPr>
              <w:t>Credicorp's equity holders</w:t>
            </w:r>
          </w:p>
        </w:tc>
        <w:tc>
          <w:tcPr>
            <w:tcW w:w="1300" w:type="dxa"/>
            <w:vAlign w:val="bottom"/>
          </w:tcPr>
          <w:p>
            <w:pPr>
              <w:spacing w:after="0"/>
              <w:rPr>
                <w:sz w:val="15"/>
                <w:szCs w:val="15"/>
                <w:color w:val="auto"/>
              </w:rPr>
            </w:pPr>
          </w:p>
        </w:tc>
        <w:tc>
          <w:tcPr>
            <w:tcW w:w="1160" w:type="dxa"/>
            <w:vAlign w:val="bottom"/>
            <w:gridSpan w:val="4"/>
          </w:tcPr>
          <w:p>
            <w:pPr>
              <w:jc w:val="right"/>
              <w:ind w:right="40"/>
              <w:spacing w:after="0" w:line="175" w:lineRule="exact"/>
              <w:rPr>
                <w:sz w:val="20"/>
                <w:szCs w:val="20"/>
                <w:color w:val="auto"/>
              </w:rPr>
            </w:pPr>
            <w:r>
              <w:rPr>
                <w:rFonts w:ascii="Arial" w:cs="Arial" w:eastAsia="Arial" w:hAnsi="Arial"/>
                <w:sz w:val="16"/>
                <w:szCs w:val="16"/>
                <w:color w:val="auto"/>
              </w:rPr>
              <w:t>5,420,098</w:t>
            </w:r>
          </w:p>
        </w:tc>
        <w:tc>
          <w:tcPr>
            <w:tcW w:w="200" w:type="dxa"/>
            <w:vAlign w:val="bottom"/>
          </w:tcPr>
          <w:p>
            <w:pPr>
              <w:spacing w:after="0"/>
              <w:rPr>
                <w:sz w:val="15"/>
                <w:szCs w:val="15"/>
                <w:color w:val="auto"/>
              </w:rPr>
            </w:pP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5,437,495</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3,967,497</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30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125,950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103,981</w:t>
            </w:r>
          </w:p>
        </w:tc>
        <w:tc>
          <w:tcPr>
            <w:tcW w:w="1100" w:type="dxa"/>
            <w:vAlign w:val="bottom"/>
          </w:tcPr>
          <w:p>
            <w:pPr>
              <w:jc w:val="right"/>
              <w:spacing w:after="0"/>
              <w:rPr>
                <w:sz w:val="20"/>
                <w:szCs w:val="20"/>
                <w:color w:val="auto"/>
              </w:rPr>
            </w:pPr>
            <w:r>
              <w:rPr>
                <w:rFonts w:ascii="Arial" w:cs="Arial" w:eastAsia="Arial" w:hAnsi="Arial"/>
                <w:sz w:val="16"/>
                <w:szCs w:val="16"/>
                <w:color w:val="auto"/>
              </w:rPr>
              <w:t>107,297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5,546,048</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5,541,476</w:t>
            </w:r>
          </w:p>
        </w:tc>
        <w:tc>
          <w:tcPr>
            <w:tcW w:w="2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4,074,794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CREDICORP LTD. AND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CHANGES IN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2024, 2023 AND 2022</w:t>
      </w:r>
    </w:p>
    <w:p>
      <w:pPr>
        <w:spacing w:after="0" w:line="169" w:lineRule="exact"/>
        <w:rPr>
          <w:sz w:val="20"/>
          <w:szCs w:val="20"/>
          <w:color w:val="auto"/>
        </w:rPr>
      </w:pPr>
    </w:p>
    <w:p>
      <w:pPr>
        <w:ind w:left="1840"/>
        <w:spacing w:after="0"/>
        <w:rPr>
          <w:sz w:val="20"/>
          <w:szCs w:val="20"/>
          <w:color w:val="auto"/>
        </w:rPr>
      </w:pPr>
      <w:r>
        <w:rPr>
          <w:rFonts w:ascii="Arial" w:cs="Arial" w:eastAsia="Arial" w:hAnsi="Arial"/>
          <w:sz w:val="12"/>
          <w:szCs w:val="12"/>
          <w:b w:val="1"/>
          <w:bCs w:val="1"/>
          <w:color w:val="auto"/>
        </w:rPr>
        <w:t>Attributable to Credicorp's equity holders.</w:t>
      </w:r>
    </w:p>
    <w:tbl>
      <w:tblPr>
        <w:tblLayout w:type="fixed"/>
        <w:tblInd w:w="0" w:type="dxa"/>
        <w:tblCellMar>
          <w:top w:w="0" w:type="dxa"/>
          <w:left w:w="0" w:type="dxa"/>
          <w:bottom w:w="0" w:type="dxa"/>
          <w:right w:w="0" w:type="dxa"/>
        </w:tblCellMar>
      </w:tblPr>
      <w:tr>
        <w:trPr>
          <w:trHeight w:val="155"/>
        </w:trPr>
        <w:tc>
          <w:tcPr>
            <w:tcW w:w="17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2"/>
                <w:szCs w:val="12"/>
                <w:b w:val="1"/>
                <w:bCs w:val="1"/>
                <w:color w:val="auto"/>
              </w:rPr>
              <w:t>Other reserves</w:t>
            </w:r>
          </w:p>
        </w:tc>
        <w:tc>
          <w:tcPr>
            <w:tcW w:w="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Instruments</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that will not</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be</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reclassified</w:t>
            </w:r>
          </w:p>
        </w:tc>
        <w:tc>
          <w:tcPr>
            <w:tcW w:w="2780" w:type="dxa"/>
            <w:vAlign w:val="bottom"/>
            <w:gridSpan w:val="12"/>
          </w:tcPr>
          <w:p>
            <w:pPr>
              <w:ind w:left="40"/>
              <w:spacing w:after="0"/>
              <w:rPr>
                <w:sz w:val="20"/>
                <w:szCs w:val="20"/>
                <w:color w:val="auto"/>
              </w:rPr>
            </w:pPr>
            <w:r>
              <w:rPr>
                <w:rFonts w:ascii="Arial" w:cs="Arial" w:eastAsia="Arial" w:hAnsi="Arial"/>
                <w:sz w:val="12"/>
                <w:szCs w:val="12"/>
                <w:b w:val="1"/>
                <w:bCs w:val="1"/>
                <w:color w:val="auto"/>
              </w:rPr>
              <w:t>Instruments that will be reclassified to the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4"/>
          </w:tcPr>
          <w:p>
            <w:pPr>
              <w:spacing w:after="0"/>
              <w:rPr>
                <w:sz w:val="20"/>
                <w:szCs w:val="20"/>
                <w:color w:val="auto"/>
              </w:rPr>
            </w:pPr>
            <w:r>
              <w:rPr>
                <w:rFonts w:ascii="Arial" w:cs="Arial" w:eastAsia="Arial" w:hAnsi="Arial"/>
                <w:sz w:val="12"/>
                <w:szCs w:val="12"/>
                <w:b w:val="1"/>
                <w:bCs w:val="1"/>
                <w:color w:val="auto"/>
              </w:rPr>
              <w:t>Treasury stock</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to income</w:t>
            </w:r>
          </w:p>
        </w:tc>
        <w:tc>
          <w:tcPr>
            <w:tcW w:w="2780" w:type="dxa"/>
            <w:vAlign w:val="bottom"/>
            <w:gridSpan w:val="12"/>
          </w:tcPr>
          <w:p>
            <w:pPr>
              <w:ind w:left="40"/>
              <w:spacing w:after="0"/>
              <w:rPr>
                <w:sz w:val="20"/>
                <w:szCs w:val="20"/>
                <w:color w:val="auto"/>
              </w:rPr>
            </w:pPr>
            <w:r>
              <w:rPr>
                <w:rFonts w:ascii="Arial" w:cs="Arial" w:eastAsia="Arial" w:hAnsi="Arial"/>
                <w:sz w:val="12"/>
                <w:szCs w:val="12"/>
                <w:b w:val="1"/>
                <w:bCs w:val="1"/>
                <w:color w:val="auto"/>
              </w:rPr>
              <w:t>consolidated statement of income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3"/>
          </w:tcPr>
          <w:p>
            <w:pPr>
              <w:ind w:left="20"/>
              <w:spacing w:after="0" w:line="124" w:lineRule="exact"/>
              <w:rPr>
                <w:sz w:val="20"/>
                <w:szCs w:val="20"/>
                <w:color w:val="auto"/>
              </w:rPr>
            </w:pPr>
            <w:r>
              <w:rPr>
                <w:rFonts w:ascii="Arial" w:cs="Arial" w:eastAsia="Arial" w:hAnsi="Arial"/>
                <w:sz w:val="12"/>
                <w:szCs w:val="12"/>
                <w:b w:val="1"/>
                <w:bCs w:val="1"/>
                <w:color w:val="auto"/>
              </w:rPr>
              <w:t>Cash</w:t>
            </w: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2"/>
                <w:szCs w:val="12"/>
                <w:b w:val="1"/>
                <w:bCs w:val="1"/>
                <w:color w:val="auto"/>
              </w:rPr>
              <w:t>Foreign</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Share-</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Investments</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Investments</w:t>
            </w:r>
          </w:p>
        </w:tc>
        <w:tc>
          <w:tcPr>
            <w:tcW w:w="520" w:type="dxa"/>
            <w:vAlign w:val="bottom"/>
            <w:gridSpan w:val="3"/>
          </w:tcPr>
          <w:p>
            <w:pPr>
              <w:ind w:left="20"/>
              <w:spacing w:after="0"/>
              <w:rPr>
                <w:sz w:val="20"/>
                <w:szCs w:val="20"/>
                <w:color w:val="auto"/>
              </w:rPr>
            </w:pPr>
            <w:r>
              <w:rPr>
                <w:rFonts w:ascii="Arial" w:cs="Arial" w:eastAsia="Arial" w:hAnsi="Arial"/>
                <w:sz w:val="12"/>
                <w:szCs w:val="12"/>
                <w:b w:val="1"/>
                <w:bCs w:val="1"/>
                <w:color w:val="auto"/>
              </w:rPr>
              <w:t>flow</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currency</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Non-</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Capital</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the</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based</w:t>
            </w:r>
          </w:p>
        </w:tc>
        <w:tc>
          <w:tcPr>
            <w:tcW w:w="540" w:type="dxa"/>
            <w:vAlign w:val="bottom"/>
            <w:gridSpan w:val="3"/>
          </w:tcPr>
          <w:p>
            <w:pPr>
              <w:ind w:left="40"/>
              <w:spacing w:after="0"/>
              <w:rPr>
                <w:sz w:val="20"/>
                <w:szCs w:val="20"/>
                <w:color w:val="auto"/>
              </w:rPr>
            </w:pPr>
            <w:r>
              <w:rPr>
                <w:rFonts w:ascii="Arial" w:cs="Arial" w:eastAsia="Arial" w:hAnsi="Arial"/>
                <w:sz w:val="12"/>
                <w:szCs w:val="12"/>
                <w:b w:val="1"/>
                <w:bCs w:val="1"/>
                <w:color w:val="auto"/>
              </w:rPr>
              <w:t>Capital</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in equity</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in debt</w:t>
            </w:r>
          </w:p>
        </w:tc>
        <w:tc>
          <w:tcPr>
            <w:tcW w:w="520" w:type="dxa"/>
            <w:vAlign w:val="bottom"/>
            <w:gridSpan w:val="3"/>
          </w:tcPr>
          <w:p>
            <w:pPr>
              <w:ind w:left="20"/>
              <w:spacing w:after="0"/>
              <w:rPr>
                <w:sz w:val="20"/>
                <w:szCs w:val="20"/>
                <w:color w:val="auto"/>
              </w:rPr>
            </w:pPr>
            <w:r>
              <w:rPr>
                <w:rFonts w:ascii="Arial" w:cs="Arial" w:eastAsia="Arial" w:hAnsi="Arial"/>
                <w:sz w:val="12"/>
                <w:szCs w:val="12"/>
                <w:b w:val="1"/>
                <w:bCs w:val="1"/>
                <w:color w:val="auto"/>
              </w:rPr>
              <w:t>hedge</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Insurance</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translation</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controlling</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stock</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Group</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payment</w:t>
            </w:r>
          </w:p>
        </w:tc>
        <w:tc>
          <w:tcPr>
            <w:tcW w:w="540" w:type="dxa"/>
            <w:vAlign w:val="bottom"/>
            <w:gridSpan w:val="3"/>
          </w:tcPr>
          <w:p>
            <w:pPr>
              <w:ind w:left="40"/>
              <w:spacing w:after="0"/>
              <w:rPr>
                <w:sz w:val="20"/>
                <w:szCs w:val="20"/>
                <w:color w:val="auto"/>
              </w:rPr>
            </w:pPr>
            <w:r>
              <w:rPr>
                <w:rFonts w:ascii="Arial" w:cs="Arial" w:eastAsia="Arial" w:hAnsi="Arial"/>
                <w:sz w:val="12"/>
                <w:szCs w:val="12"/>
                <w:b w:val="1"/>
                <w:bCs w:val="1"/>
                <w:color w:val="auto"/>
              </w:rPr>
              <w:t>surplus</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Reserves</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instruments</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instruments</w:t>
            </w:r>
          </w:p>
        </w:tc>
        <w:tc>
          <w:tcPr>
            <w:tcW w:w="520" w:type="dxa"/>
            <w:vAlign w:val="bottom"/>
            <w:gridSpan w:val="3"/>
          </w:tcPr>
          <w:p>
            <w:pPr>
              <w:ind w:left="20"/>
              <w:spacing w:after="0"/>
              <w:rPr>
                <w:sz w:val="20"/>
                <w:szCs w:val="20"/>
                <w:color w:val="auto"/>
              </w:rPr>
            </w:pPr>
            <w:r>
              <w:rPr>
                <w:rFonts w:ascii="Arial" w:cs="Arial" w:eastAsia="Arial" w:hAnsi="Arial"/>
                <w:sz w:val="12"/>
                <w:szCs w:val="12"/>
                <w:b w:val="1"/>
                <w:bCs w:val="1"/>
                <w:color w:val="auto"/>
              </w:rPr>
              <w:t>reserve</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reserves</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reserve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Total</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interest</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0"/>
                <w:szCs w:val="20"/>
                <w:color w:val="auto"/>
              </w:rPr>
            </w:pPr>
            <w:r>
              <w:rPr>
                <w:rFonts w:ascii="Arial" w:cs="Arial" w:eastAsia="Arial" w:hAnsi="Arial"/>
                <w:sz w:val="12"/>
                <w:szCs w:val="12"/>
                <w:b w:val="1"/>
                <w:bCs w:val="1"/>
                <w:color w:val="auto"/>
              </w:rPr>
              <w:t>Balances as of January 1,</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b w:val="1"/>
                <w:bCs w:val="1"/>
                <w:color w:val="auto"/>
              </w:rPr>
              <w:t>2022</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1,318,993</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(204,326)</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(3,208)</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228,853</w:t>
            </w: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21,364,272</w:t>
            </w:r>
          </w:p>
        </w:tc>
        <w:tc>
          <w:tcPr>
            <w:tcW w:w="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206,885</w:t>
            </w:r>
          </w:p>
        </w:tc>
        <w:tc>
          <w:tcPr>
            <w:tcW w:w="40" w:type="dxa"/>
            <w:vAlign w:val="bottom"/>
          </w:tcPr>
          <w:p>
            <w:pPr>
              <w:spacing w:after="0"/>
              <w:rPr>
                <w:sz w:val="12"/>
                <w:szCs w:val="1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2"/>
                <w:szCs w:val="12"/>
                <w:color w:val="auto"/>
              </w:rPr>
              <w:t>(139,500)</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(273)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337,037</w:t>
            </w:r>
          </w:p>
        </w:tc>
        <w:tc>
          <w:tcPr>
            <w:tcW w:w="640" w:type="dxa"/>
            <w:vAlign w:val="bottom"/>
          </w:tcPr>
          <w:p>
            <w:pPr>
              <w:jc w:val="right"/>
              <w:spacing w:after="0"/>
              <w:rPr>
                <w:sz w:val="20"/>
                <w:szCs w:val="20"/>
                <w:color w:val="auto"/>
              </w:rPr>
            </w:pPr>
            <w:r>
              <w:rPr>
                <w:rFonts w:ascii="Arial" w:cs="Arial" w:eastAsia="Arial" w:hAnsi="Arial"/>
                <w:sz w:val="12"/>
                <w:szCs w:val="12"/>
                <w:color w:val="auto"/>
              </w:rPr>
              <w:t>3,183,119</w:t>
            </w:r>
          </w:p>
        </w:tc>
        <w:tc>
          <w:tcPr>
            <w:tcW w:w="4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26,291,852</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540,672</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26,832,524</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Changes in equity in 2022 -</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Net profit for the year</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4,647,818</w:t>
            </w:r>
          </w:p>
        </w:tc>
        <w:tc>
          <w:tcPr>
            <w:tcW w:w="4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4,647,818</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112,292</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4,760,110</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60" w:type="dxa"/>
            <w:vAlign w:val="bottom"/>
          </w:tcPr>
          <w:p>
            <w:pPr>
              <w:spacing w:after="0"/>
              <w:rPr>
                <w:sz w:val="20"/>
                <w:szCs w:val="20"/>
                <w:color w:val="auto"/>
              </w:rPr>
            </w:pPr>
            <w:r>
              <w:rPr>
                <w:rFonts w:ascii="Arial" w:cs="Arial" w:eastAsia="Arial" w:hAnsi="Arial"/>
                <w:sz w:val="12"/>
                <w:szCs w:val="12"/>
                <w:color w:val="auto"/>
              </w:rPr>
              <w:t>Note 16(d)</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(36,477)</w:t>
            </w:r>
          </w:p>
        </w:tc>
        <w:tc>
          <w:tcPr>
            <w:tcW w:w="40" w:type="dxa"/>
            <w:vAlign w:val="bottom"/>
          </w:tcPr>
          <w:p>
            <w:pPr>
              <w:spacing w:after="0"/>
              <w:rPr>
                <w:sz w:val="13"/>
                <w:szCs w:val="13"/>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2"/>
                <w:szCs w:val="12"/>
                <w:color w:val="auto"/>
              </w:rPr>
              <w:t>(1,516,059)</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1,061</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1,133,536</w:t>
            </w:r>
          </w:p>
        </w:tc>
        <w:tc>
          <w:tcPr>
            <w:tcW w:w="4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(262,382)</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(680,321)</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(4,995)</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(685,316)</w:t>
            </w: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2"/>
                <w:szCs w:val="12"/>
                <w:color w:val="auto"/>
              </w:rPr>
              <w:t>Total comprehensive income</w:t>
            </w: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00" w:type="dxa"/>
            <w:vAlign w:val="bottom"/>
            <w:tcBorders>
              <w:top w:val="single" w:sz="8" w:color="auto"/>
            </w:tcBorders>
          </w:tcPr>
          <w:p>
            <w:pPr>
              <w:ind w:left="440"/>
              <w:spacing w:after="0"/>
              <w:rPr>
                <w:sz w:val="20"/>
                <w:szCs w:val="20"/>
                <w:color w:val="auto"/>
              </w:rPr>
            </w:pPr>
            <w:r>
              <w:rPr>
                <w:rFonts w:ascii="Arial" w:cs="Arial" w:eastAsia="Arial" w:hAnsi="Arial"/>
                <w:sz w:val="9"/>
                <w:szCs w:val="9"/>
                <w:color w:val="auto"/>
                <w:w w:val="75"/>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(36,477)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(1,516,059)</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1,061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1,133,536</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(262,382)</w:t>
            </w: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4,647,818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3,967,497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107,297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4,074,794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Transfer of retained earnings to</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reserves, Note 16(c)</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2,354,859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(2,354,859)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Dividend distribution, Note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16(e)</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(1,196,422)</w:t>
            </w:r>
          </w:p>
        </w:tc>
        <w:tc>
          <w:tcPr>
            <w:tcW w:w="4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(1,196,422)</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(1,196,422)</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Dividends paid to non-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controlling interest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subsidiaries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(48,577)</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(48,577)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Non-controlling interest 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put option</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(42,964)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(42,964)</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(42,964)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Minority purchase</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(5,877)</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(5,877)</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Purchase of treasury 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Note 16(b)</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(1,923)</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(81,682)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(83,605)</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(83,605)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Sale of treasury stocks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231</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9,718</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9,949</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9,949</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Share-based payment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transactions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1,708</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74,667</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(16,541)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59,834</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59,834</w:t>
            </w:r>
          </w:p>
        </w:tc>
        <w:tc>
          <w:tcPr>
            <w:tcW w:w="0" w:type="dxa"/>
            <w:vAlign w:val="bottom"/>
          </w:tcPr>
          <w:p>
            <w:pPr>
              <w:spacing w:after="0"/>
              <w:rPr>
                <w:sz w:val="1"/>
                <w:szCs w:val="1"/>
                <w:color w:val="auto"/>
              </w:rPr>
            </w:pPr>
          </w:p>
        </w:tc>
      </w:tr>
      <w:tr>
        <w:trPr>
          <w:trHeight w:val="160"/>
        </w:trPr>
        <w:tc>
          <w:tcPr>
            <w:tcW w:w="1760" w:type="dxa"/>
            <w:vAlign w:val="bottom"/>
          </w:tcPr>
          <w:p>
            <w:pPr>
              <w:spacing w:after="0"/>
              <w:rPr>
                <w:sz w:val="20"/>
                <w:szCs w:val="20"/>
                <w:color w:val="auto"/>
              </w:rPr>
            </w:pPr>
            <w:r>
              <w:rPr>
                <w:rFonts w:ascii="Arial" w:cs="Arial" w:eastAsia="Arial" w:hAnsi="Arial"/>
                <w:sz w:val="12"/>
                <w:szCs w:val="12"/>
                <w:color w:val="auto"/>
              </w:rPr>
              <w:t>Others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(2,497)</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(2,497)</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(1,946)</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(4,443)</w:t>
            </w:r>
          </w:p>
        </w:tc>
        <w:tc>
          <w:tcPr>
            <w:tcW w:w="0" w:type="dxa"/>
            <w:vAlign w:val="bottom"/>
          </w:tcPr>
          <w:p>
            <w:pPr>
              <w:spacing w:after="0"/>
              <w:rPr>
                <w:sz w:val="1"/>
                <w:szCs w:val="1"/>
                <w:color w:val="auto"/>
              </w:rPr>
            </w:pPr>
          </w:p>
        </w:tc>
      </w:tr>
      <w:tr>
        <w:trPr>
          <w:trHeight w:val="112"/>
        </w:trPr>
        <w:tc>
          <w:tcPr>
            <w:tcW w:w="1760" w:type="dxa"/>
            <w:vAlign w:val="bottom"/>
          </w:tcPr>
          <w:p>
            <w:pPr>
              <w:spacing w:after="0" w:line="113" w:lineRule="exact"/>
              <w:rPr>
                <w:sz w:val="20"/>
                <w:szCs w:val="20"/>
                <w:color w:val="auto"/>
              </w:rPr>
            </w:pPr>
            <w:r>
              <w:rPr>
                <w:rFonts w:ascii="Arial" w:cs="Arial" w:eastAsia="Arial" w:hAnsi="Arial"/>
                <w:sz w:val="12"/>
                <w:szCs w:val="12"/>
                <w:b w:val="1"/>
                <w:bCs w:val="1"/>
                <w:color w:val="auto"/>
              </w:rPr>
              <w:t>Balances as of December 31,</w:t>
            </w: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760" w:type="dxa"/>
            <w:vAlign w:val="bottom"/>
          </w:tcPr>
          <w:p>
            <w:pPr>
              <w:spacing w:after="0"/>
              <w:rPr>
                <w:sz w:val="20"/>
                <w:szCs w:val="20"/>
                <w:color w:val="auto"/>
              </w:rPr>
            </w:pPr>
            <w:r>
              <w:rPr>
                <w:rFonts w:ascii="Arial" w:cs="Arial" w:eastAsia="Arial" w:hAnsi="Arial"/>
                <w:sz w:val="12"/>
                <w:szCs w:val="12"/>
                <w:b w:val="1"/>
                <w:bCs w:val="1"/>
                <w:color w:val="auto"/>
              </w:rPr>
              <w:t>2022</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1,318,993</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(204,326)</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(3,192)</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231,556</w:t>
            </w:r>
          </w:p>
        </w:tc>
        <w:tc>
          <w:tcPr>
            <w:tcW w:w="4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23,659,626</w:t>
            </w: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170,408</w:t>
            </w:r>
          </w:p>
        </w:tc>
        <w:tc>
          <w:tcPr>
            <w:tcW w:w="40" w:type="dxa"/>
            <w:vAlign w:val="bottom"/>
          </w:tcPr>
          <w:p>
            <w:pPr>
              <w:spacing w:after="0"/>
              <w:rPr>
                <w:sz w:val="13"/>
                <w:szCs w:val="13"/>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2"/>
                <w:szCs w:val="12"/>
                <w:color w:val="auto"/>
              </w:rPr>
              <w:t>(1,655,559)</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788</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1,133,536</w:t>
            </w:r>
          </w:p>
        </w:tc>
        <w:tc>
          <w:tcPr>
            <w:tcW w:w="40" w:type="dxa"/>
            <w:vAlign w:val="bottom"/>
          </w:tcPr>
          <w:p>
            <w:pPr>
              <w:spacing w:after="0"/>
              <w:rPr>
                <w:sz w:val="13"/>
                <w:szCs w:val="13"/>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74,655</w:t>
            </w:r>
          </w:p>
        </w:tc>
        <w:tc>
          <w:tcPr>
            <w:tcW w:w="640" w:type="dxa"/>
            <w:vAlign w:val="bottom"/>
          </w:tcPr>
          <w:p>
            <w:pPr>
              <w:jc w:val="right"/>
              <w:spacing w:after="0"/>
              <w:rPr>
                <w:sz w:val="20"/>
                <w:szCs w:val="20"/>
                <w:color w:val="auto"/>
              </w:rPr>
            </w:pPr>
            <w:r>
              <w:rPr>
                <w:rFonts w:ascii="Arial" w:cs="Arial" w:eastAsia="Arial" w:hAnsi="Arial"/>
                <w:sz w:val="12"/>
                <w:szCs w:val="12"/>
                <w:color w:val="auto"/>
              </w:rPr>
              <w:t>4,277,159</w:t>
            </w:r>
          </w:p>
        </w:tc>
        <w:tc>
          <w:tcPr>
            <w:tcW w:w="40" w:type="dxa"/>
            <w:vAlign w:val="bottom"/>
          </w:tcPr>
          <w:p>
            <w:pPr>
              <w:spacing w:after="0"/>
              <w:rPr>
                <w:sz w:val="13"/>
                <w:szCs w:val="13"/>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29,003,644</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591,569</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29,595,213</w:t>
            </w: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0"/>
                <w:szCs w:val="20"/>
                <w:color w:val="auto"/>
              </w:rPr>
            </w:pPr>
            <w:r>
              <w:rPr>
                <w:rFonts w:ascii="Arial" w:cs="Arial" w:eastAsia="Arial" w:hAnsi="Arial"/>
                <w:sz w:val="12"/>
                <w:szCs w:val="12"/>
                <w:b w:val="1"/>
                <w:bCs w:val="1"/>
                <w:color w:val="auto"/>
              </w:rPr>
              <w:t>Balances as of January 1,</w:t>
            </w:r>
          </w:p>
        </w:tc>
        <w:tc>
          <w:tcPr>
            <w:tcW w:w="6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b w:val="1"/>
                <w:bCs w:val="1"/>
                <w:color w:val="auto"/>
              </w:rPr>
              <w:t>2023</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1,318,993</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(204,326)</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(3,192)</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231,556</w:t>
            </w:r>
          </w:p>
        </w:tc>
        <w:tc>
          <w:tcPr>
            <w:tcW w:w="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23,659,626</w:t>
            </w:r>
          </w:p>
        </w:tc>
        <w:tc>
          <w:tcPr>
            <w:tcW w:w="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170,408</w:t>
            </w:r>
          </w:p>
        </w:tc>
        <w:tc>
          <w:tcPr>
            <w:tcW w:w="40" w:type="dxa"/>
            <w:vAlign w:val="bottom"/>
          </w:tcPr>
          <w:p>
            <w:pPr>
              <w:spacing w:after="0"/>
              <w:rPr>
                <w:sz w:val="12"/>
                <w:szCs w:val="1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2"/>
                <w:szCs w:val="12"/>
                <w:color w:val="auto"/>
              </w:rPr>
              <w:t>(1,655,559)</w:t>
            </w: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788</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1,133,536</w:t>
            </w:r>
          </w:p>
        </w:tc>
        <w:tc>
          <w:tcPr>
            <w:tcW w:w="40" w:type="dxa"/>
            <w:vAlign w:val="bottom"/>
          </w:tcPr>
          <w:p>
            <w:pPr>
              <w:spacing w:after="0"/>
              <w:rPr>
                <w:sz w:val="12"/>
                <w:szCs w:val="12"/>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74,655</w:t>
            </w:r>
          </w:p>
        </w:tc>
        <w:tc>
          <w:tcPr>
            <w:tcW w:w="640" w:type="dxa"/>
            <w:vAlign w:val="bottom"/>
          </w:tcPr>
          <w:p>
            <w:pPr>
              <w:jc w:val="right"/>
              <w:spacing w:after="0"/>
              <w:rPr>
                <w:sz w:val="20"/>
                <w:szCs w:val="20"/>
                <w:color w:val="auto"/>
              </w:rPr>
            </w:pPr>
            <w:r>
              <w:rPr>
                <w:rFonts w:ascii="Arial" w:cs="Arial" w:eastAsia="Arial" w:hAnsi="Arial"/>
                <w:sz w:val="12"/>
                <w:szCs w:val="12"/>
                <w:color w:val="auto"/>
              </w:rPr>
              <w:t>4,277,159</w:t>
            </w:r>
          </w:p>
        </w:tc>
        <w:tc>
          <w:tcPr>
            <w:tcW w:w="4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29,003,644</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591,569</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29,595,213</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Changes in equity in 2023 -</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Net profit for the year</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4,865,540</w:t>
            </w:r>
          </w:p>
        </w:tc>
        <w:tc>
          <w:tcPr>
            <w:tcW w:w="4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4,865,540</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94,338</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4,959,878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60" w:type="dxa"/>
            <w:vAlign w:val="bottom"/>
          </w:tcPr>
          <w:p>
            <w:pPr>
              <w:spacing w:after="0"/>
              <w:rPr>
                <w:sz w:val="20"/>
                <w:szCs w:val="20"/>
                <w:color w:val="auto"/>
              </w:rPr>
            </w:pPr>
            <w:r>
              <w:rPr>
                <w:rFonts w:ascii="Arial" w:cs="Arial" w:eastAsia="Arial" w:hAnsi="Arial"/>
                <w:sz w:val="12"/>
                <w:szCs w:val="12"/>
                <w:color w:val="auto"/>
              </w:rPr>
              <w:t>Note 16(d)</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(12,247)</w:t>
            </w:r>
          </w:p>
        </w:tc>
        <w:tc>
          <w:tcPr>
            <w:tcW w:w="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1,258,137</w:t>
            </w:r>
          </w:p>
        </w:tc>
        <w:tc>
          <w:tcPr>
            <w:tcW w:w="40" w:type="dxa"/>
            <w:vAlign w:val="bottom"/>
          </w:tcPr>
          <w:p>
            <w:pPr>
              <w:spacing w:after="0"/>
              <w:rPr>
                <w:sz w:val="13"/>
                <w:szCs w:val="13"/>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2"/>
                <w:szCs w:val="12"/>
                <w:color w:val="auto"/>
              </w:rPr>
              <w:t>(12,191)</w:t>
            </w:r>
          </w:p>
        </w:tc>
        <w:tc>
          <w:tcPr>
            <w:tcW w:w="680" w:type="dxa"/>
            <w:vAlign w:val="bottom"/>
            <w:gridSpan w:val="3"/>
          </w:tcPr>
          <w:p>
            <w:pPr>
              <w:jc w:val="right"/>
              <w:ind w:right="40"/>
              <w:spacing w:after="0"/>
              <w:rPr>
                <w:sz w:val="20"/>
                <w:szCs w:val="20"/>
                <w:color w:val="auto"/>
              </w:rPr>
            </w:pPr>
            <w:r>
              <w:rPr>
                <w:rFonts w:ascii="Arial" w:cs="Arial" w:eastAsia="Arial" w:hAnsi="Arial"/>
                <w:sz w:val="12"/>
                <w:szCs w:val="12"/>
                <w:color w:val="auto"/>
              </w:rPr>
              <w:t>(754,192)</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92,448</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571,955</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9,643</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581,598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line="124" w:lineRule="exact"/>
              <w:rPr>
                <w:sz w:val="20"/>
                <w:szCs w:val="20"/>
                <w:color w:val="auto"/>
              </w:rPr>
            </w:pPr>
            <w:r>
              <w:rPr>
                <w:rFonts w:ascii="Arial" w:cs="Arial" w:eastAsia="Arial" w:hAnsi="Arial"/>
                <w:sz w:val="12"/>
                <w:szCs w:val="12"/>
                <w:color w:val="auto"/>
              </w:rPr>
              <w:t>Total comprehensive income</w:t>
            </w: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00" w:type="dxa"/>
            <w:vAlign w:val="bottom"/>
            <w:tcBorders>
              <w:top w:val="single" w:sz="8" w:color="auto"/>
            </w:tcBorders>
          </w:tcPr>
          <w:p>
            <w:pPr>
              <w:ind w:left="440"/>
              <w:spacing w:after="0"/>
              <w:rPr>
                <w:sz w:val="20"/>
                <w:szCs w:val="20"/>
                <w:color w:val="auto"/>
              </w:rPr>
            </w:pPr>
            <w:r>
              <w:rPr>
                <w:rFonts w:ascii="Arial" w:cs="Arial" w:eastAsia="Arial" w:hAnsi="Arial"/>
                <w:sz w:val="9"/>
                <w:szCs w:val="9"/>
                <w:color w:val="auto"/>
                <w:w w:val="75"/>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(12,247)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1,258,137</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(12,191)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(754,192)</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92,448</w:t>
            </w: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4,865,540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5,437,495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103,981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5,541,476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Transfer of retained earnings to</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reserves, Note 16(c)</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2,593,598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(2,593,598)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Dividend distribution, Note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16(e)</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(1,994,037)</w:t>
            </w:r>
          </w:p>
        </w:tc>
        <w:tc>
          <w:tcPr>
            <w:tcW w:w="4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(1,994,037)</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(1,994,037)</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Dividends paid to non-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controlling interest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subsidiaries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(62,051)</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(62,051)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Subsidiary acquisition</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14,192</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14,192</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Minority purchase</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(1,773)</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(1,773)</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Purchase of treasury 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Note 16(b)</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(2,279)</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(83,296)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(85,575)</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(85,575)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Share-based payment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transactions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1,764</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79,979</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(12,225)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69,518</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69,518</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Dividends not collected</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11,579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11,579</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11,579</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Result from exchange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strategic shares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14,425</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14,425</w:t>
            </w:r>
          </w:p>
        </w:tc>
        <w:tc>
          <w:tcPr>
            <w:tcW w:w="4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14,425</w:t>
            </w:r>
          </w:p>
        </w:tc>
        <w:tc>
          <w:tcPr>
            <w:tcW w:w="0" w:type="dxa"/>
            <w:vAlign w:val="bottom"/>
          </w:tcPr>
          <w:p>
            <w:pPr>
              <w:spacing w:after="0"/>
              <w:rPr>
                <w:sz w:val="1"/>
                <w:szCs w:val="1"/>
                <w:color w:val="auto"/>
              </w:rPr>
            </w:pPr>
          </w:p>
        </w:tc>
      </w:tr>
      <w:tr>
        <w:trPr>
          <w:trHeight w:val="160"/>
        </w:trPr>
        <w:tc>
          <w:tcPr>
            <w:tcW w:w="1760" w:type="dxa"/>
            <w:vAlign w:val="bottom"/>
          </w:tcPr>
          <w:p>
            <w:pPr>
              <w:spacing w:after="0"/>
              <w:rPr>
                <w:sz w:val="20"/>
                <w:szCs w:val="20"/>
                <w:color w:val="auto"/>
              </w:rPr>
            </w:pPr>
            <w:r>
              <w:rPr>
                <w:rFonts w:ascii="Arial" w:cs="Arial" w:eastAsia="Arial" w:hAnsi="Arial"/>
                <w:sz w:val="12"/>
                <w:szCs w:val="12"/>
                <w:color w:val="auto"/>
              </w:rPr>
              <w:t>Others</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7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2,955</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2,955</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1,143</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4,098</w:t>
            </w: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line="132" w:lineRule="exact"/>
              <w:rPr>
                <w:sz w:val="20"/>
                <w:szCs w:val="20"/>
                <w:color w:val="auto"/>
              </w:rPr>
            </w:pPr>
            <w:r>
              <w:rPr>
                <w:rFonts w:ascii="Arial" w:cs="Arial" w:eastAsia="Arial" w:hAnsi="Arial"/>
                <w:sz w:val="12"/>
                <w:szCs w:val="12"/>
                <w:b w:val="1"/>
                <w:bCs w:val="1"/>
                <w:color w:val="auto"/>
              </w:rPr>
              <w:t>Balances as of December 31,</w:t>
            </w: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760" w:type="dxa"/>
            <w:vAlign w:val="bottom"/>
            <w:vMerge w:val="continue"/>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1,318,993</w:t>
            </w:r>
          </w:p>
        </w:tc>
        <w:tc>
          <w:tcPr>
            <w:tcW w:w="60" w:type="dxa"/>
            <w:vAlign w:val="bottom"/>
            <w:vMerge w:val="restart"/>
          </w:tcPr>
          <w:p>
            <w:pPr>
              <w:spacing w:after="0"/>
              <w:rPr>
                <w:sz w:val="9"/>
                <w:szCs w:val="9"/>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(204,326)</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(3,707)</w:t>
            </w:r>
          </w:p>
        </w:tc>
        <w:tc>
          <w:tcPr>
            <w:tcW w:w="500" w:type="dxa"/>
            <w:vAlign w:val="bottom"/>
            <w:gridSpan w:val="2"/>
            <w:vMerge w:val="restart"/>
          </w:tcPr>
          <w:p>
            <w:pPr>
              <w:jc w:val="right"/>
              <w:spacing w:after="0"/>
              <w:rPr>
                <w:sz w:val="20"/>
                <w:szCs w:val="20"/>
                <w:color w:val="auto"/>
              </w:rPr>
            </w:pPr>
            <w:r>
              <w:rPr>
                <w:rFonts w:ascii="Arial" w:cs="Arial" w:eastAsia="Arial" w:hAnsi="Arial"/>
                <w:sz w:val="12"/>
                <w:szCs w:val="12"/>
                <w:color w:val="auto"/>
              </w:rPr>
              <w:t>228,239</w:t>
            </w:r>
          </w:p>
        </w:tc>
        <w:tc>
          <w:tcPr>
            <w:tcW w:w="4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2"/>
                <w:szCs w:val="12"/>
                <w:color w:val="auto"/>
              </w:rPr>
              <w:t>26,252,578</w:t>
            </w:r>
          </w:p>
        </w:tc>
        <w:tc>
          <w:tcPr>
            <w:tcW w:w="80" w:type="dxa"/>
            <w:vAlign w:val="bottom"/>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2"/>
                <w:szCs w:val="12"/>
                <w:color w:val="auto"/>
              </w:rPr>
              <w:t>158,161</w:t>
            </w:r>
          </w:p>
        </w:tc>
        <w:tc>
          <w:tcPr>
            <w:tcW w:w="40" w:type="dxa"/>
            <w:vAlign w:val="bottom"/>
          </w:tcPr>
          <w:p>
            <w:pPr>
              <w:spacing w:after="0"/>
              <w:rPr>
                <w:sz w:val="9"/>
                <w:szCs w:val="9"/>
                <w:color w:val="auto"/>
              </w:rPr>
            </w:pP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2"/>
                <w:szCs w:val="12"/>
                <w:color w:val="auto"/>
              </w:rPr>
              <w:t>(397,422)</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(11,403)</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rPr>
              <w:t>379,344</w:t>
            </w:r>
          </w:p>
        </w:tc>
        <w:tc>
          <w:tcPr>
            <w:tcW w:w="40" w:type="dxa"/>
            <w:vAlign w:val="bottom"/>
          </w:tcPr>
          <w:p>
            <w:pPr>
              <w:spacing w:after="0"/>
              <w:rPr>
                <w:sz w:val="9"/>
                <w:szCs w:val="9"/>
                <w:color w:val="auto"/>
              </w:rPr>
            </w:pP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2"/>
                <w:szCs w:val="12"/>
                <w:color w:val="auto"/>
              </w:rPr>
              <w:t>167,103</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4,572,444</w:t>
            </w:r>
          </w:p>
        </w:tc>
        <w:tc>
          <w:tcPr>
            <w:tcW w:w="40" w:type="dxa"/>
            <w:vAlign w:val="bottom"/>
          </w:tcPr>
          <w:p>
            <w:pPr>
              <w:spacing w:after="0"/>
              <w:rPr>
                <w:sz w:val="9"/>
                <w:szCs w:val="9"/>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2"/>
                <w:szCs w:val="12"/>
                <w:color w:val="auto"/>
              </w:rPr>
              <w:t>32,460,004</w:t>
            </w: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2"/>
                <w:szCs w:val="12"/>
                <w:color w:val="auto"/>
              </w:rPr>
              <w:t>647,061</w:t>
            </w: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33,107,065</w:t>
            </w:r>
          </w:p>
        </w:tc>
        <w:tc>
          <w:tcPr>
            <w:tcW w:w="0" w:type="dxa"/>
            <w:vAlign w:val="bottom"/>
          </w:tcPr>
          <w:p>
            <w:pPr>
              <w:spacing w:after="0"/>
              <w:rPr>
                <w:sz w:val="1"/>
                <w:szCs w:val="1"/>
                <w:color w:val="auto"/>
              </w:rPr>
            </w:pPr>
          </w:p>
        </w:tc>
      </w:tr>
      <w:tr>
        <w:trPr>
          <w:trHeight w:val="136"/>
        </w:trPr>
        <w:tc>
          <w:tcPr>
            <w:tcW w:w="1760" w:type="dxa"/>
            <w:vAlign w:val="bottom"/>
          </w:tcPr>
          <w:p>
            <w:pPr>
              <w:spacing w:after="0" w:line="136" w:lineRule="exact"/>
              <w:rPr>
                <w:sz w:val="20"/>
                <w:szCs w:val="20"/>
                <w:color w:val="auto"/>
              </w:rPr>
            </w:pPr>
            <w:r>
              <w:rPr>
                <w:rFonts w:ascii="Arial" w:cs="Arial" w:eastAsia="Arial" w:hAnsi="Arial"/>
                <w:sz w:val="12"/>
                <w:szCs w:val="12"/>
                <w:b w:val="1"/>
                <w:bCs w:val="1"/>
                <w:color w:val="auto"/>
              </w:rPr>
              <w:t>2023</w:t>
            </w:r>
          </w:p>
        </w:tc>
        <w:tc>
          <w:tcPr>
            <w:tcW w:w="6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gridSpan w:val="2"/>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2"/>
        </w:trPr>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4"/>
          </w:tcPr>
          <w:p>
            <w:pPr>
              <w:jc w:val="right"/>
              <w:ind w:right="638"/>
              <w:spacing w:after="0"/>
              <w:rPr>
                <w:sz w:val="20"/>
                <w:szCs w:val="20"/>
                <w:color w:val="auto"/>
              </w:rPr>
            </w:pPr>
            <w:r>
              <w:rPr>
                <w:rFonts w:ascii="Arial" w:cs="Arial" w:eastAsia="Arial" w:hAnsi="Arial"/>
                <w:sz w:val="12"/>
                <w:szCs w:val="12"/>
                <w:color w:val="auto"/>
              </w:rPr>
              <w:t>-14-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CONSOLIDATED STATEMENT OF CHANGES IN EQUITY (continued)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740" w:type="dxa"/>
            <w:vAlign w:val="bottom"/>
          </w:tcPr>
          <w:p>
            <w:pPr>
              <w:spacing w:after="0"/>
              <w:rPr>
                <w:sz w:val="12"/>
                <w:szCs w:val="12"/>
                <w:color w:val="auto"/>
              </w:rPr>
            </w:pPr>
          </w:p>
        </w:tc>
        <w:tc>
          <w:tcPr>
            <w:tcW w:w="3200" w:type="dxa"/>
            <w:vAlign w:val="bottom"/>
            <w:tcBorders>
              <w:bottom w:val="single" w:sz="8" w:color="auto"/>
            </w:tcBorders>
            <w:gridSpan w:val="11"/>
          </w:tcPr>
          <w:p>
            <w:pPr>
              <w:ind w:left="80"/>
              <w:spacing w:after="0"/>
              <w:rPr>
                <w:sz w:val="20"/>
                <w:szCs w:val="20"/>
                <w:color w:val="auto"/>
              </w:rPr>
            </w:pPr>
            <w:r>
              <w:rPr>
                <w:rFonts w:ascii="Arial" w:cs="Arial" w:eastAsia="Arial" w:hAnsi="Arial"/>
                <w:sz w:val="12"/>
                <w:szCs w:val="12"/>
                <w:b w:val="1"/>
                <w:bCs w:val="1"/>
                <w:color w:val="auto"/>
              </w:rPr>
              <w:t>Attributable to Credicorp's equity holders.</w:t>
            </w: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4" w:lineRule="exact"/>
              <w:rPr>
                <w:sz w:val="20"/>
                <w:szCs w:val="20"/>
                <w:color w:val="auto"/>
              </w:rPr>
            </w:pPr>
            <w:r>
              <w:rPr>
                <w:rFonts w:ascii="Arial" w:cs="Arial" w:eastAsia="Arial" w:hAnsi="Arial"/>
                <w:sz w:val="12"/>
                <w:szCs w:val="12"/>
                <w:b w:val="1"/>
                <w:bCs w:val="1"/>
                <w:color w:val="auto"/>
              </w:rPr>
              <w:t>Other</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reserves</w:t>
            </w: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4" w:lineRule="exact"/>
              <w:rPr>
                <w:sz w:val="20"/>
                <w:szCs w:val="20"/>
                <w:color w:val="auto"/>
              </w:rPr>
            </w:pPr>
            <w:r>
              <w:rPr>
                <w:rFonts w:ascii="Arial" w:cs="Arial" w:eastAsia="Arial" w:hAnsi="Arial"/>
                <w:sz w:val="12"/>
                <w:szCs w:val="12"/>
                <w:b w:val="1"/>
                <w:bCs w:val="1"/>
                <w:color w:val="auto"/>
              </w:rPr>
              <w:t>Instruments</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that will not</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be</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gridSpan w:val="12"/>
          </w:tcPr>
          <w:p>
            <w:pPr>
              <w:spacing w:after="0"/>
              <w:rPr>
                <w:sz w:val="20"/>
                <w:szCs w:val="20"/>
                <w:color w:val="auto"/>
              </w:rPr>
            </w:pPr>
            <w:r>
              <w:rPr>
                <w:rFonts w:ascii="Arial" w:cs="Arial" w:eastAsia="Arial" w:hAnsi="Arial"/>
                <w:sz w:val="12"/>
                <w:szCs w:val="12"/>
                <w:b w:val="1"/>
                <w:bCs w:val="1"/>
                <w:color w:val="auto"/>
              </w:rPr>
              <w:t>reclassified Instruments that will be reclassified to the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5"/>
          </w:tcPr>
          <w:p>
            <w:pPr>
              <w:spacing w:after="0"/>
              <w:rPr>
                <w:sz w:val="20"/>
                <w:szCs w:val="20"/>
                <w:color w:val="auto"/>
              </w:rPr>
            </w:pPr>
            <w:r>
              <w:rPr>
                <w:rFonts w:ascii="Arial" w:cs="Arial" w:eastAsia="Arial" w:hAnsi="Arial"/>
                <w:sz w:val="12"/>
                <w:szCs w:val="12"/>
                <w:b w:val="1"/>
                <w:bCs w:val="1"/>
                <w:color w:val="auto"/>
              </w:rPr>
              <w:t>Treasury 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to income</w:t>
            </w:r>
          </w:p>
        </w:tc>
        <w:tc>
          <w:tcPr>
            <w:tcW w:w="2040" w:type="dxa"/>
            <w:vAlign w:val="bottom"/>
            <w:gridSpan w:val="8"/>
          </w:tcPr>
          <w:p>
            <w:pPr>
              <w:spacing w:after="0"/>
              <w:rPr>
                <w:sz w:val="20"/>
                <w:szCs w:val="20"/>
                <w:color w:val="auto"/>
              </w:rPr>
            </w:pPr>
            <w:r>
              <w:rPr>
                <w:rFonts w:ascii="Arial" w:cs="Arial" w:eastAsia="Arial" w:hAnsi="Arial"/>
                <w:sz w:val="12"/>
                <w:szCs w:val="12"/>
                <w:b w:val="1"/>
                <w:bCs w:val="1"/>
                <w:color w:val="auto"/>
              </w:rPr>
              <w:t>consolidated statement of income</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Investments</w:t>
            </w: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2"/>
                <w:szCs w:val="12"/>
                <w:b w:val="1"/>
                <w:bCs w:val="1"/>
                <w:color w:val="auto"/>
              </w:rPr>
              <w:t>Cash</w:t>
            </w: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2"/>
                <w:szCs w:val="12"/>
                <w:b w:val="1"/>
                <w:bCs w:val="1"/>
                <w:color w:val="auto"/>
              </w:rPr>
              <w:t>Foreign</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Shares</w:t>
            </w:r>
          </w:p>
        </w:tc>
        <w:tc>
          <w:tcPr>
            <w:tcW w:w="6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Share-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Investments</w:t>
            </w:r>
          </w:p>
        </w:tc>
        <w:tc>
          <w:tcPr>
            <w:tcW w:w="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flow</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currency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Capital</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of the</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based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Capital</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in equity</w:t>
            </w:r>
          </w:p>
        </w:tc>
        <w:tc>
          <w:tcPr>
            <w:tcW w:w="6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in debt</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hedge</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Insurance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translation</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controlling</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0"/>
        </w:trPr>
        <w:tc>
          <w:tcPr>
            <w:tcW w:w="17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stock</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Group</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payment</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surplus</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Reserves</w:t>
            </w:r>
          </w:p>
        </w:tc>
        <w:tc>
          <w:tcPr>
            <w:tcW w:w="740" w:type="dxa"/>
            <w:vAlign w:val="bottom"/>
          </w:tcPr>
          <w:p>
            <w:pPr>
              <w:spacing w:after="0"/>
              <w:rPr>
                <w:sz w:val="20"/>
                <w:szCs w:val="20"/>
                <w:color w:val="auto"/>
              </w:rPr>
            </w:pPr>
            <w:r>
              <w:rPr>
                <w:rFonts w:ascii="Arial" w:cs="Arial" w:eastAsia="Arial" w:hAnsi="Arial"/>
                <w:sz w:val="12"/>
                <w:szCs w:val="12"/>
                <w:b w:val="1"/>
                <w:bCs w:val="1"/>
                <w:color w:val="auto"/>
              </w:rPr>
              <w:t>instruments</w:t>
            </w:r>
          </w:p>
        </w:tc>
        <w:tc>
          <w:tcPr>
            <w:tcW w:w="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instruments</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reserve</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reserves</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reserve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earnings</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Total</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interest</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64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0"/>
                <w:szCs w:val="20"/>
                <w:color w:val="auto"/>
              </w:rPr>
            </w:pPr>
            <w:r>
              <w:rPr>
                <w:rFonts w:ascii="Arial" w:cs="Arial" w:eastAsia="Arial" w:hAnsi="Arial"/>
                <w:sz w:val="12"/>
                <w:szCs w:val="12"/>
                <w:b w:val="1"/>
                <w:bCs w:val="1"/>
                <w:color w:val="auto"/>
              </w:rPr>
              <w:t>Balances as of January 1,</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b w:val="1"/>
                <w:bCs w:val="1"/>
                <w:color w:val="auto"/>
              </w:rPr>
              <w:t>2024</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1,318,993</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(204,326)</w:t>
            </w: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(3,707)</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228,239</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26,252,578</w:t>
            </w:r>
          </w:p>
        </w:tc>
        <w:tc>
          <w:tcPr>
            <w:tcW w:w="740" w:type="dxa"/>
            <w:vAlign w:val="bottom"/>
          </w:tcPr>
          <w:p>
            <w:pPr>
              <w:jc w:val="right"/>
              <w:spacing w:after="0"/>
              <w:rPr>
                <w:sz w:val="20"/>
                <w:szCs w:val="20"/>
                <w:color w:val="auto"/>
              </w:rPr>
            </w:pPr>
            <w:r>
              <w:rPr>
                <w:rFonts w:ascii="Arial" w:cs="Arial" w:eastAsia="Arial" w:hAnsi="Arial"/>
                <w:sz w:val="12"/>
                <w:szCs w:val="12"/>
                <w:color w:val="auto"/>
              </w:rPr>
              <w:t>158,161</w:t>
            </w:r>
          </w:p>
        </w:tc>
        <w:tc>
          <w:tcPr>
            <w:tcW w:w="880" w:type="dxa"/>
            <w:vAlign w:val="bottom"/>
            <w:gridSpan w:val="3"/>
          </w:tcPr>
          <w:p>
            <w:pPr>
              <w:jc w:val="right"/>
              <w:ind w:right="80"/>
              <w:spacing w:after="0"/>
              <w:rPr>
                <w:sz w:val="20"/>
                <w:szCs w:val="20"/>
                <w:color w:val="auto"/>
              </w:rPr>
            </w:pPr>
            <w:r>
              <w:rPr>
                <w:rFonts w:ascii="Arial" w:cs="Arial" w:eastAsia="Arial" w:hAnsi="Arial"/>
                <w:sz w:val="12"/>
                <w:szCs w:val="12"/>
                <w:color w:val="auto"/>
              </w:rPr>
              <w:t>(397,422)</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(11,403)</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379,344</w:t>
            </w:r>
          </w:p>
        </w:tc>
        <w:tc>
          <w:tcPr>
            <w:tcW w:w="4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2"/>
                <w:szCs w:val="12"/>
                <w:color w:val="auto"/>
              </w:rPr>
              <w:t>167,103</w:t>
            </w:r>
          </w:p>
        </w:tc>
        <w:tc>
          <w:tcPr>
            <w:tcW w:w="640" w:type="dxa"/>
            <w:vAlign w:val="bottom"/>
          </w:tcPr>
          <w:p>
            <w:pPr>
              <w:jc w:val="right"/>
              <w:spacing w:after="0"/>
              <w:rPr>
                <w:sz w:val="20"/>
                <w:szCs w:val="20"/>
                <w:color w:val="auto"/>
              </w:rPr>
            </w:pPr>
            <w:r>
              <w:rPr>
                <w:rFonts w:ascii="Arial" w:cs="Arial" w:eastAsia="Arial" w:hAnsi="Arial"/>
                <w:sz w:val="12"/>
                <w:szCs w:val="12"/>
                <w:color w:val="auto"/>
              </w:rPr>
              <w:t>4,572,444</w:t>
            </w:r>
          </w:p>
        </w:tc>
        <w:tc>
          <w:tcPr>
            <w:tcW w:w="4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32,460,004</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647,061</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33,107,065</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Changes in equity in 2024 -</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Net profit for the year</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5,501,254</w:t>
            </w:r>
          </w:p>
        </w:tc>
        <w:tc>
          <w:tcPr>
            <w:tcW w:w="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5,501,254</w:t>
            </w:r>
          </w:p>
        </w:tc>
        <w:tc>
          <w:tcPr>
            <w:tcW w:w="40" w:type="dxa"/>
            <w:vAlign w:val="bottom"/>
          </w:tcPr>
          <w:p>
            <w:pPr>
              <w:spacing w:after="0"/>
              <w:rPr>
                <w:sz w:val="12"/>
                <w:szCs w:val="12"/>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121,998</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5,623,252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Note 16(d)</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24,116</w:t>
            </w:r>
          </w:p>
        </w:tc>
        <w:tc>
          <w:tcPr>
            <w:tcW w:w="880" w:type="dxa"/>
            <w:vAlign w:val="bottom"/>
            <w:gridSpan w:val="3"/>
          </w:tcPr>
          <w:p>
            <w:pPr>
              <w:jc w:val="right"/>
              <w:ind w:right="80"/>
              <w:spacing w:after="0"/>
              <w:rPr>
                <w:sz w:val="20"/>
                <w:szCs w:val="20"/>
                <w:color w:val="auto"/>
              </w:rPr>
            </w:pPr>
            <w:r>
              <w:rPr>
                <w:rFonts w:ascii="Arial" w:cs="Arial" w:eastAsia="Arial" w:hAnsi="Arial"/>
                <w:sz w:val="12"/>
                <w:szCs w:val="12"/>
                <w:color w:val="auto"/>
              </w:rPr>
              <w:t>206,271</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9,770</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(69,383)</w:t>
            </w:r>
          </w:p>
        </w:tc>
        <w:tc>
          <w:tcPr>
            <w:tcW w:w="40" w:type="dxa"/>
            <w:vAlign w:val="bottom"/>
          </w:tcPr>
          <w:p>
            <w:pPr>
              <w:spacing w:after="0"/>
              <w:rPr>
                <w:sz w:val="12"/>
                <w:szCs w:val="12"/>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2"/>
                <w:szCs w:val="12"/>
                <w:color w:val="auto"/>
              </w:rPr>
              <w:t>(114,143)</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56,631</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3,952</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60,583</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Transfer of fair value reserve to</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40" w:type="dxa"/>
            <w:vAlign w:val="bottom"/>
          </w:tcPr>
          <w:p>
            <w:pPr>
              <w:spacing w:after="0"/>
              <w:rPr>
                <w:sz w:val="20"/>
                <w:szCs w:val="20"/>
                <w:color w:val="auto"/>
              </w:rPr>
            </w:pPr>
            <w:r>
              <w:rPr>
                <w:rFonts w:ascii="Arial" w:cs="Arial" w:eastAsia="Arial" w:hAnsi="Arial"/>
                <w:sz w:val="12"/>
                <w:szCs w:val="12"/>
                <w:color w:val="auto"/>
              </w:rPr>
              <w:t>retained earnings, note 16(d)</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(137,787)</w:t>
            </w:r>
          </w:p>
        </w:tc>
        <w:tc>
          <w:tcPr>
            <w:tcW w:w="6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(137,787)</w:t>
            </w:r>
          </w:p>
        </w:tc>
        <w:tc>
          <w:tcPr>
            <w:tcW w:w="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(137,787)</w:t>
            </w:r>
          </w:p>
        </w:tc>
        <w:tc>
          <w:tcPr>
            <w:tcW w:w="0" w:type="dxa"/>
            <w:vAlign w:val="bottom"/>
          </w:tcPr>
          <w:p>
            <w:pPr>
              <w:spacing w:after="0"/>
              <w:rPr>
                <w:sz w:val="1"/>
                <w:szCs w:val="1"/>
                <w:color w:val="auto"/>
              </w:rPr>
            </w:pPr>
          </w:p>
        </w:tc>
      </w:tr>
      <w:tr>
        <w:trPr>
          <w:trHeight w:val="124"/>
        </w:trPr>
        <w:tc>
          <w:tcPr>
            <w:tcW w:w="1740" w:type="dxa"/>
            <w:vAlign w:val="bottom"/>
          </w:tcPr>
          <w:p>
            <w:pPr>
              <w:spacing w:after="0" w:line="124" w:lineRule="exact"/>
              <w:rPr>
                <w:sz w:val="20"/>
                <w:szCs w:val="20"/>
                <w:color w:val="auto"/>
              </w:rPr>
            </w:pPr>
            <w:r>
              <w:rPr>
                <w:rFonts w:ascii="Arial" w:cs="Arial" w:eastAsia="Arial" w:hAnsi="Arial"/>
                <w:sz w:val="12"/>
                <w:szCs w:val="12"/>
                <w:color w:val="auto"/>
              </w:rPr>
              <w:t>Total comprehensive income</w:t>
            </w: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5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5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(113,671)</w:t>
            </w:r>
          </w:p>
        </w:tc>
        <w:tc>
          <w:tcPr>
            <w:tcW w:w="60" w:type="dxa"/>
            <w:vAlign w:val="bottom"/>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206,271</w:t>
            </w:r>
          </w:p>
        </w:tc>
        <w:tc>
          <w:tcPr>
            <w:tcW w:w="80" w:type="dxa"/>
            <w:vAlign w:val="bottom"/>
          </w:tcPr>
          <w:p>
            <w:pPr>
              <w:spacing w:after="0"/>
              <w:rPr>
                <w:sz w:val="10"/>
                <w:szCs w:val="10"/>
                <w:color w:val="auto"/>
              </w:rPr>
            </w:pPr>
          </w:p>
        </w:tc>
        <w:tc>
          <w:tcPr>
            <w:tcW w:w="440" w:type="dxa"/>
            <w:vAlign w:val="bottom"/>
            <w:tcBorders>
              <w:top w:val="single" w:sz="8" w:color="auto"/>
            </w:tcBorders>
          </w:tcPr>
          <w:p>
            <w:pPr>
              <w:ind w:left="140"/>
              <w:spacing w:after="0" w:line="124" w:lineRule="exact"/>
              <w:rPr>
                <w:sz w:val="20"/>
                <w:szCs w:val="20"/>
                <w:color w:val="auto"/>
              </w:rPr>
            </w:pPr>
            <w:r>
              <w:rPr>
                <w:rFonts w:ascii="Arial" w:cs="Arial" w:eastAsia="Arial" w:hAnsi="Arial"/>
                <w:sz w:val="12"/>
                <w:szCs w:val="12"/>
                <w:color w:val="auto"/>
                <w:w w:val="93"/>
              </w:rPr>
              <w:t>9,770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(69,383)</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(114,143)</w:t>
            </w:r>
          </w:p>
        </w:tc>
        <w:tc>
          <w:tcPr>
            <w:tcW w:w="6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5,501,254</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5,420,098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125,950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5,546,048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Transfer of fair value reserve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equity instruments designated</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at FVOCI due to sale of Alicorp</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shares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137,787</w:t>
            </w:r>
          </w:p>
        </w:tc>
        <w:tc>
          <w:tcPr>
            <w:tcW w:w="4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137,787</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137,787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Transfer of retained earnings to</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reserves, Note 16(c)</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1,778,787</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(1,778,787)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Dividend distribution, Note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16(e)</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(2,788,657)</w:t>
            </w:r>
          </w:p>
        </w:tc>
        <w:tc>
          <w:tcPr>
            <w:tcW w:w="40" w:type="dxa"/>
            <w:vAlign w:val="bottom"/>
          </w:tcPr>
          <w:p>
            <w:pPr>
              <w:spacing w:after="0"/>
              <w:rPr>
                <w:sz w:val="12"/>
                <w:szCs w:val="12"/>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(2,788,657)</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(2,788,657)</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Distribution of extraordinary</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dividends, Note 16(d)</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(875,991)</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(875,991)</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(875,991)</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Dividends paid to non-</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controlling interest of</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subsidiaries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(106,922)</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(106,922)</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Minority purchase Mibanco</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Colombia</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42,964</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42,964</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(36,781)</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6,183</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Purchase of treasury 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Note 16(b)</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(2,434)</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(108,460)</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(110,894)</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(110,894)</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Share-based payment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transactions</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1,588</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56,528</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(954)</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57,162</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57,162</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Dividends not collected</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5,281</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5,281</w:t>
            </w:r>
          </w:p>
        </w:tc>
        <w:tc>
          <w:tcPr>
            <w:tcW w:w="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5,281</w:t>
            </w:r>
          </w:p>
        </w:tc>
        <w:tc>
          <w:tcPr>
            <w:tcW w:w="0" w:type="dxa"/>
            <w:vAlign w:val="bottom"/>
          </w:tcPr>
          <w:p>
            <w:pPr>
              <w:spacing w:after="0"/>
              <w:rPr>
                <w:sz w:val="1"/>
                <w:szCs w:val="1"/>
                <w:color w:val="auto"/>
              </w:rPr>
            </w:pPr>
          </w:p>
        </w:tc>
      </w:tr>
      <w:tr>
        <w:trPr>
          <w:trHeight w:val="160"/>
        </w:trPr>
        <w:tc>
          <w:tcPr>
            <w:tcW w:w="1740" w:type="dxa"/>
            <w:vAlign w:val="bottom"/>
          </w:tcPr>
          <w:p>
            <w:pPr>
              <w:spacing w:after="0"/>
              <w:rPr>
                <w:sz w:val="20"/>
                <w:szCs w:val="20"/>
                <w:color w:val="auto"/>
              </w:rPr>
            </w:pPr>
            <w:r>
              <w:rPr>
                <w:rFonts w:ascii="Arial" w:cs="Arial" w:eastAsia="Arial" w:hAnsi="Arial"/>
                <w:sz w:val="12"/>
                <w:szCs w:val="12"/>
                <w:color w:val="auto"/>
              </w:rPr>
              <w:t>Others</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(1,303)</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(1,303)</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1,475</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line="132" w:lineRule="exact"/>
              <w:rPr>
                <w:sz w:val="20"/>
                <w:szCs w:val="20"/>
                <w:color w:val="auto"/>
              </w:rPr>
            </w:pPr>
            <w:r>
              <w:rPr>
                <w:rFonts w:ascii="Arial" w:cs="Arial" w:eastAsia="Arial" w:hAnsi="Arial"/>
                <w:sz w:val="12"/>
                <w:szCs w:val="12"/>
                <w:b w:val="1"/>
                <w:bCs w:val="1"/>
                <w:color w:val="auto"/>
              </w:rPr>
              <w:t>Balances as of December 31,</w:t>
            </w: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740" w:type="dxa"/>
            <w:vAlign w:val="bottom"/>
            <w:vMerge w:val="continue"/>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1,318,993</w:t>
            </w:r>
          </w:p>
        </w:tc>
        <w:tc>
          <w:tcPr>
            <w:tcW w:w="60" w:type="dxa"/>
            <w:vAlign w:val="bottom"/>
            <w:vMerge w:val="restart"/>
          </w:tcPr>
          <w:p>
            <w:pPr>
              <w:spacing w:after="0"/>
              <w:rPr>
                <w:sz w:val="9"/>
                <w:szCs w:val="9"/>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(204,326)</w:t>
            </w: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2"/>
                <w:szCs w:val="12"/>
                <w:color w:val="auto"/>
              </w:rPr>
              <w:t>(4,553)</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176,307</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27,202,665</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44,490</w:t>
            </w: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2"/>
                <w:szCs w:val="12"/>
                <w:color w:val="auto"/>
              </w:rPr>
              <w:t>(191,151)</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(1,633)</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rPr>
              <w:t>309,961</w:t>
            </w:r>
          </w:p>
        </w:tc>
        <w:tc>
          <w:tcPr>
            <w:tcW w:w="40" w:type="dxa"/>
            <w:vAlign w:val="bottom"/>
          </w:tcPr>
          <w:p>
            <w:pPr>
              <w:spacing w:after="0"/>
              <w:rPr>
                <w:sz w:val="9"/>
                <w:szCs w:val="9"/>
                <w:color w:val="auto"/>
              </w:rPr>
            </w:pP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2"/>
                <w:szCs w:val="12"/>
                <w:color w:val="auto"/>
              </w:rPr>
              <w:t>52,960</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5,642,738</w:t>
            </w:r>
          </w:p>
        </w:tc>
        <w:tc>
          <w:tcPr>
            <w:tcW w:w="40" w:type="dxa"/>
            <w:vAlign w:val="bottom"/>
          </w:tcPr>
          <w:p>
            <w:pPr>
              <w:spacing w:after="0"/>
              <w:rPr>
                <w:sz w:val="9"/>
                <w:szCs w:val="9"/>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2"/>
                <w:szCs w:val="12"/>
                <w:color w:val="auto"/>
              </w:rPr>
              <w:t>34,346,451</w:t>
            </w: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2"/>
                <w:szCs w:val="12"/>
                <w:color w:val="auto"/>
              </w:rPr>
              <w:t>630,783</w:t>
            </w: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2"/>
                <w:szCs w:val="12"/>
                <w:color w:val="auto"/>
              </w:rPr>
              <w:t>34,977,234</w:t>
            </w:r>
          </w:p>
        </w:tc>
        <w:tc>
          <w:tcPr>
            <w:tcW w:w="0" w:type="dxa"/>
            <w:vAlign w:val="bottom"/>
          </w:tcPr>
          <w:p>
            <w:pPr>
              <w:spacing w:after="0"/>
              <w:rPr>
                <w:sz w:val="1"/>
                <w:szCs w:val="1"/>
                <w:color w:val="auto"/>
              </w:rPr>
            </w:pPr>
          </w:p>
        </w:tc>
      </w:tr>
      <w:tr>
        <w:trPr>
          <w:trHeight w:val="136"/>
        </w:trPr>
        <w:tc>
          <w:tcPr>
            <w:tcW w:w="1740" w:type="dxa"/>
            <w:vAlign w:val="bottom"/>
          </w:tcPr>
          <w:p>
            <w:pPr>
              <w:spacing w:after="0" w:line="136" w:lineRule="exact"/>
              <w:rPr>
                <w:sz w:val="20"/>
                <w:szCs w:val="20"/>
                <w:color w:val="auto"/>
              </w:rPr>
            </w:pPr>
            <w:r>
              <w:rPr>
                <w:rFonts w:ascii="Arial" w:cs="Arial" w:eastAsia="Arial" w:hAnsi="Arial"/>
                <w:sz w:val="12"/>
                <w:szCs w:val="12"/>
                <w:b w:val="1"/>
                <w:bCs w:val="1"/>
                <w:color w:val="auto"/>
              </w:rPr>
              <w:t>2024</w:t>
            </w:r>
          </w:p>
        </w:tc>
        <w:tc>
          <w:tcPr>
            <w:tcW w:w="6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20"/>
                <w:szCs w:val="20"/>
                <w:color w:val="auto"/>
              </w:rPr>
            </w:pPr>
            <w:r>
              <w:rPr>
                <w:rFonts w:ascii="Arial" w:cs="Arial" w:eastAsia="Arial" w:hAnsi="Arial"/>
                <w:sz w:val="16"/>
                <w:szCs w:val="16"/>
                <w:b w:val="1"/>
                <w:bCs w:val="1"/>
                <w:color w:val="auto"/>
              </w:rPr>
              <w:t>CREDICORP LTD. AND SUBSIDIARIES</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12"/>
        </w:trPr>
        <w:tc>
          <w:tcPr>
            <w:tcW w:w="5980" w:type="dxa"/>
            <w:vAlign w:val="bottom"/>
          </w:tcPr>
          <w:p>
            <w:pPr>
              <w:spacing w:after="0"/>
              <w:rPr>
                <w:sz w:val="20"/>
                <w:szCs w:val="20"/>
                <w:color w:val="auto"/>
              </w:rPr>
            </w:pPr>
            <w:r>
              <w:rPr>
                <w:rFonts w:ascii="Arial" w:cs="Arial" w:eastAsia="Arial" w:hAnsi="Arial"/>
                <w:sz w:val="16"/>
                <w:szCs w:val="16"/>
                <w:color w:val="auto"/>
              </w:rPr>
              <w:t>CONSOLIDATED STATEMENT OF CASH FLOWS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5980" w:type="dxa"/>
            <w:vAlign w:val="bottom"/>
          </w:tcPr>
          <w:p>
            <w:pPr>
              <w:spacing w:after="0"/>
              <w:rPr>
                <w:sz w:val="20"/>
                <w:szCs w:val="20"/>
                <w:color w:val="auto"/>
              </w:rPr>
            </w:pPr>
            <w:r>
              <w:rPr>
                <w:rFonts w:ascii="Arial" w:cs="Arial" w:eastAsia="Arial" w:hAnsi="Arial"/>
                <w:sz w:val="16"/>
                <w:szCs w:val="16"/>
                <w:color w:val="auto"/>
              </w:rPr>
              <w:t>FOR THE YEARS ENDED DECEMBER 31, 2024, 2023 AND 2022</w:t>
            </w: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35"/>
        </w:trPr>
        <w:tc>
          <w:tcPr>
            <w:tcW w:w="5980" w:type="dxa"/>
            <w:vAlign w:val="bottom"/>
          </w:tcPr>
          <w:p>
            <w:pPr>
              <w:spacing w:after="0"/>
              <w:rPr>
                <w:sz w:val="24"/>
                <w:szCs w:val="24"/>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95"/>
              </w:rPr>
              <w:t>Note</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r>
      <w:tr>
        <w:trPr>
          <w:trHeight w:val="206"/>
        </w:trPr>
        <w:tc>
          <w:tcPr>
            <w:tcW w:w="5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r>
      <w:tr>
        <w:trPr>
          <w:trHeight w:val="296"/>
        </w:trPr>
        <w:tc>
          <w:tcPr>
            <w:tcW w:w="5980" w:type="dxa"/>
            <w:vAlign w:val="bottom"/>
          </w:tcPr>
          <w:p>
            <w:pPr>
              <w:spacing w:after="0"/>
              <w:rPr>
                <w:sz w:val="20"/>
                <w:szCs w:val="20"/>
                <w:color w:val="auto"/>
              </w:rPr>
            </w:pPr>
            <w:r>
              <w:rPr>
                <w:rFonts w:ascii="Arial" w:cs="Arial" w:eastAsia="Arial" w:hAnsi="Arial"/>
                <w:sz w:val="16"/>
                <w:szCs w:val="16"/>
                <w:b w:val="1"/>
                <w:bCs w:val="1"/>
                <w:color w:val="auto"/>
              </w:rPr>
              <w:t>CASH AND CASH EQUIVALENTS FROM OPERATING  ACTIVITIES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5980" w:type="dxa"/>
            <w:vAlign w:val="bottom"/>
          </w:tcPr>
          <w:p>
            <w:pPr>
              <w:spacing w:after="0"/>
              <w:rPr>
                <w:sz w:val="20"/>
                <w:szCs w:val="20"/>
                <w:color w:val="auto"/>
              </w:rPr>
            </w:pPr>
            <w:r>
              <w:rPr>
                <w:rFonts w:ascii="Arial" w:cs="Arial" w:eastAsia="Arial" w:hAnsi="Arial"/>
                <w:sz w:val="16"/>
                <w:szCs w:val="16"/>
                <w:color w:val="auto"/>
              </w:rPr>
              <w:t>Net profit for the year</w:t>
            </w:r>
          </w:p>
        </w:tc>
        <w:tc>
          <w:tcPr>
            <w:tcW w:w="1320" w:type="dxa"/>
            <w:vAlign w:val="bottom"/>
          </w:tcPr>
          <w:p>
            <w:pPr>
              <w:spacing w:after="0"/>
              <w:rPr>
                <w:sz w:val="17"/>
                <w:szCs w:val="17"/>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6"/>
                <w:szCs w:val="16"/>
                <w:color w:val="auto"/>
              </w:rPr>
              <w:t>5,623,252</w:t>
            </w: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4,959,878</w:t>
            </w:r>
          </w:p>
        </w:tc>
        <w:tc>
          <w:tcPr>
            <w:tcW w:w="1120" w:type="dxa"/>
            <w:vAlign w:val="bottom"/>
          </w:tcPr>
          <w:p>
            <w:pPr>
              <w:jc w:val="right"/>
              <w:spacing w:after="0"/>
              <w:rPr>
                <w:sz w:val="20"/>
                <w:szCs w:val="20"/>
                <w:color w:val="auto"/>
              </w:rPr>
            </w:pPr>
            <w:r>
              <w:rPr>
                <w:rFonts w:ascii="Arial" w:cs="Arial" w:eastAsia="Arial" w:hAnsi="Arial"/>
                <w:sz w:val="16"/>
                <w:szCs w:val="16"/>
                <w:color w:val="auto"/>
              </w:rPr>
              <w:t>4,760,110</w:t>
            </w:r>
          </w:p>
        </w:tc>
        <w:tc>
          <w:tcPr>
            <w:tcW w:w="120" w:type="dxa"/>
            <w:vAlign w:val="bottom"/>
          </w:tcPr>
          <w:p>
            <w:pPr>
              <w:spacing w:after="0"/>
              <w:rPr>
                <w:sz w:val="17"/>
                <w:szCs w:val="17"/>
                <w:color w:val="auto"/>
              </w:rPr>
            </w:pPr>
          </w:p>
        </w:tc>
      </w:tr>
      <w:tr>
        <w:trPr>
          <w:trHeight w:val="320"/>
        </w:trPr>
        <w:tc>
          <w:tcPr>
            <w:tcW w:w="5980" w:type="dxa"/>
            <w:vAlign w:val="bottom"/>
          </w:tcPr>
          <w:p>
            <w:pPr>
              <w:spacing w:after="0"/>
              <w:rPr>
                <w:sz w:val="20"/>
                <w:szCs w:val="20"/>
                <w:color w:val="auto"/>
              </w:rPr>
            </w:pPr>
            <w:r>
              <w:rPr>
                <w:rFonts w:ascii="Arial" w:cs="Arial" w:eastAsia="Arial" w:hAnsi="Arial"/>
                <w:sz w:val="16"/>
                <w:szCs w:val="16"/>
                <w:b w:val="1"/>
                <w:bCs w:val="1"/>
                <w:color w:val="auto"/>
                <w:w w:val="99"/>
              </w:rPr>
              <w:t>Adjustment to reconcile net profit to net cash arising from operating activities: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Provision for credit losses on loan portfolio</w:t>
            </w:r>
          </w:p>
        </w:tc>
        <w:tc>
          <w:tcPr>
            <w:tcW w:w="1320" w:type="dxa"/>
            <w:vAlign w:val="bottom"/>
          </w:tcPr>
          <w:p>
            <w:pPr>
              <w:jc w:val="center"/>
              <w:ind w:right="102"/>
              <w:spacing w:after="0" w:line="175" w:lineRule="exact"/>
              <w:rPr>
                <w:sz w:val="20"/>
                <w:szCs w:val="20"/>
                <w:color w:val="auto"/>
              </w:rPr>
            </w:pPr>
            <w:r>
              <w:rPr>
                <w:rFonts w:ascii="Arial" w:cs="Arial" w:eastAsia="Arial" w:hAnsi="Arial"/>
                <w:sz w:val="16"/>
                <w:szCs w:val="16"/>
                <w:color w:val="auto"/>
                <w:w w:val="94"/>
              </w:rPr>
              <w:t>7(c)</w:t>
            </w:r>
          </w:p>
        </w:tc>
        <w:tc>
          <w:tcPr>
            <w:tcW w:w="12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3,943,301</w:t>
            </w: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3,957,143</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2,158,555</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Depreciation and amortization</w:t>
            </w:r>
          </w:p>
        </w:tc>
        <w:tc>
          <w:tcPr>
            <w:tcW w:w="1320" w:type="dxa"/>
            <w:vAlign w:val="bottom"/>
          </w:tcPr>
          <w:p>
            <w:pPr>
              <w:jc w:val="center"/>
              <w:ind w:right="102"/>
              <w:spacing w:after="0" w:line="175" w:lineRule="exact"/>
              <w:rPr>
                <w:sz w:val="20"/>
                <w:szCs w:val="20"/>
                <w:color w:val="auto"/>
              </w:rPr>
            </w:pPr>
            <w:r>
              <w:rPr>
                <w:rFonts w:ascii="Arial" w:cs="Arial" w:eastAsia="Arial" w:hAnsi="Arial"/>
                <w:sz w:val="16"/>
                <w:szCs w:val="16"/>
                <w:color w:val="auto"/>
                <w:w w:val="95"/>
              </w:rPr>
              <w:t>9 and 10(a)</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570,830</w:t>
            </w:r>
          </w:p>
        </w:tc>
        <w:tc>
          <w:tcPr>
            <w:tcW w:w="140" w:type="dxa"/>
            <w:vAlign w:val="bottom"/>
          </w:tcPr>
          <w:p>
            <w:pPr>
              <w:spacing w:after="0"/>
              <w:rPr>
                <w:sz w:val="15"/>
                <w:szCs w:val="15"/>
                <w:color w:val="auto"/>
              </w:rPr>
            </w:pPr>
          </w:p>
        </w:tc>
        <w:tc>
          <w:tcPr>
            <w:tcW w:w="12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511,174</w:t>
            </w:r>
          </w:p>
        </w:tc>
        <w:tc>
          <w:tcPr>
            <w:tcW w:w="20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485,207</w:t>
            </w:r>
          </w:p>
        </w:tc>
        <w:tc>
          <w:tcPr>
            <w:tcW w:w="120" w:type="dxa"/>
            <w:vAlign w:val="bottom"/>
          </w:tcPr>
          <w:p>
            <w:pPr>
              <w:spacing w:after="0"/>
              <w:rPr>
                <w:sz w:val="15"/>
                <w:szCs w:val="15"/>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Depreciation of right-of-use assets</w:t>
            </w:r>
          </w:p>
        </w:tc>
        <w:tc>
          <w:tcPr>
            <w:tcW w:w="1320" w:type="dxa"/>
            <w:vAlign w:val="bottom"/>
          </w:tcPr>
          <w:p>
            <w:pPr>
              <w:jc w:val="center"/>
              <w:ind w:right="102"/>
              <w:spacing w:after="0" w:line="175" w:lineRule="exact"/>
              <w:rPr>
                <w:sz w:val="20"/>
                <w:szCs w:val="20"/>
                <w:color w:val="auto"/>
              </w:rPr>
            </w:pPr>
            <w:r>
              <w:rPr>
                <w:rFonts w:ascii="Arial" w:cs="Arial" w:eastAsia="Arial" w:hAnsi="Arial"/>
                <w:sz w:val="16"/>
                <w:szCs w:val="16"/>
                <w:color w:val="auto"/>
                <w:w w:val="90"/>
              </w:rPr>
              <w:t>11(a)</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142,640</w:t>
            </w:r>
          </w:p>
        </w:tc>
        <w:tc>
          <w:tcPr>
            <w:tcW w:w="14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147,833</w:t>
            </w: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151,282</w:t>
            </w:r>
          </w:p>
        </w:tc>
        <w:tc>
          <w:tcPr>
            <w:tcW w:w="120" w:type="dxa"/>
            <w:vAlign w:val="bottom"/>
          </w:tcPr>
          <w:p>
            <w:pPr>
              <w:spacing w:after="0"/>
              <w:rPr>
                <w:sz w:val="15"/>
                <w:szCs w:val="15"/>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Depreciation of investment properties</w:t>
            </w:r>
          </w:p>
        </w:tc>
        <w:tc>
          <w:tcPr>
            <w:tcW w:w="1320" w:type="dxa"/>
            <w:vAlign w:val="bottom"/>
          </w:tcPr>
          <w:p>
            <w:pPr>
              <w:jc w:val="center"/>
              <w:ind w:right="82"/>
              <w:spacing w:after="0" w:line="175" w:lineRule="exact"/>
              <w:rPr>
                <w:sz w:val="20"/>
                <w:szCs w:val="20"/>
                <w:color w:val="auto"/>
              </w:rPr>
            </w:pPr>
            <w:r>
              <w:rPr>
                <w:rFonts w:ascii="Arial" w:cs="Arial" w:eastAsia="Arial" w:hAnsi="Arial"/>
                <w:sz w:val="16"/>
                <w:szCs w:val="16"/>
                <w:color w:val="auto"/>
                <w:w w:val="96"/>
              </w:rPr>
              <w:t>12(h)</w:t>
            </w:r>
          </w:p>
        </w:tc>
        <w:tc>
          <w:tcPr>
            <w:tcW w:w="12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9,098</w:t>
            </w: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8,115</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7,107</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Provision for sundry risks</w:t>
            </w:r>
          </w:p>
        </w:tc>
        <w:tc>
          <w:tcPr>
            <w:tcW w:w="1320" w:type="dxa"/>
            <w:vAlign w:val="bottom"/>
          </w:tcPr>
          <w:p>
            <w:pPr>
              <w:jc w:val="center"/>
              <w:ind w:right="102"/>
              <w:spacing w:after="0" w:line="175" w:lineRule="exact"/>
              <w:rPr>
                <w:sz w:val="20"/>
                <w:szCs w:val="20"/>
                <w:color w:val="auto"/>
              </w:rPr>
            </w:pPr>
            <w:r>
              <w:rPr>
                <w:rFonts w:ascii="Arial" w:cs="Arial" w:eastAsia="Arial" w:hAnsi="Arial"/>
                <w:sz w:val="16"/>
                <w:szCs w:val="16"/>
                <w:color w:val="auto"/>
              </w:rPr>
              <w:t>25</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315,214</w:t>
            </w:r>
          </w:p>
        </w:tc>
        <w:tc>
          <w:tcPr>
            <w:tcW w:w="14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95,873</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43,846</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Deferred (income) tax expense</w:t>
            </w:r>
          </w:p>
        </w:tc>
        <w:tc>
          <w:tcPr>
            <w:tcW w:w="1320" w:type="dxa"/>
            <w:vAlign w:val="bottom"/>
          </w:tcPr>
          <w:p>
            <w:pPr>
              <w:jc w:val="center"/>
              <w:ind w:right="82"/>
              <w:spacing w:after="0" w:line="175" w:lineRule="exact"/>
              <w:rPr>
                <w:sz w:val="20"/>
                <w:szCs w:val="20"/>
                <w:color w:val="auto"/>
              </w:rPr>
            </w:pPr>
            <w:r>
              <w:rPr>
                <w:rFonts w:ascii="Arial" w:cs="Arial" w:eastAsia="Arial" w:hAnsi="Arial"/>
                <w:sz w:val="16"/>
                <w:szCs w:val="16"/>
                <w:color w:val="auto"/>
                <w:w w:val="96"/>
              </w:rPr>
              <w:t>17(b)</w:t>
            </w: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(54,943)</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(76,088)</w:t>
            </w: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113,063</w:t>
            </w:r>
          </w:p>
        </w:tc>
        <w:tc>
          <w:tcPr>
            <w:tcW w:w="120" w:type="dxa"/>
            <w:vAlign w:val="bottom"/>
          </w:tcPr>
          <w:p>
            <w:pPr>
              <w:spacing w:after="0"/>
              <w:rPr>
                <w:sz w:val="15"/>
                <w:szCs w:val="15"/>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Net gain on securities</w:t>
            </w:r>
          </w:p>
        </w:tc>
        <w:tc>
          <w:tcPr>
            <w:tcW w:w="1320" w:type="dxa"/>
            <w:vAlign w:val="bottom"/>
          </w:tcPr>
          <w:p>
            <w:pPr>
              <w:jc w:val="center"/>
              <w:ind w:right="102"/>
              <w:spacing w:after="0" w:line="175" w:lineRule="exact"/>
              <w:rPr>
                <w:sz w:val="20"/>
                <w:szCs w:val="20"/>
                <w:color w:val="auto"/>
              </w:rPr>
            </w:pPr>
            <w:r>
              <w:rPr>
                <w:rFonts w:ascii="Arial" w:cs="Arial" w:eastAsia="Arial" w:hAnsi="Arial"/>
                <w:sz w:val="16"/>
                <w:szCs w:val="16"/>
                <w:color w:val="auto"/>
              </w:rPr>
              <w:t>21</w:t>
            </w: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(362,295)</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(425,144)</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(5,468)</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Impairment loss on goodwill</w:t>
            </w:r>
          </w:p>
        </w:tc>
        <w:tc>
          <w:tcPr>
            <w:tcW w:w="1320" w:type="dxa"/>
            <w:vAlign w:val="bottom"/>
          </w:tcPr>
          <w:p>
            <w:pPr>
              <w:jc w:val="center"/>
              <w:ind w:right="82"/>
              <w:spacing w:after="0" w:line="175" w:lineRule="exact"/>
              <w:rPr>
                <w:sz w:val="20"/>
                <w:szCs w:val="20"/>
                <w:color w:val="auto"/>
              </w:rPr>
            </w:pPr>
            <w:r>
              <w:rPr>
                <w:rFonts w:ascii="Arial" w:cs="Arial" w:eastAsia="Arial" w:hAnsi="Arial"/>
                <w:sz w:val="16"/>
                <w:szCs w:val="16"/>
                <w:color w:val="auto"/>
                <w:w w:val="96"/>
              </w:rPr>
              <w:t>10(b)</w:t>
            </w:r>
          </w:p>
        </w:tc>
        <w:tc>
          <w:tcPr>
            <w:tcW w:w="12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27,346</w:t>
            </w: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71,959</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Net gain of trading derivatives</w:t>
            </w:r>
          </w:p>
        </w:tc>
        <w:tc>
          <w:tcPr>
            <w:tcW w:w="1320" w:type="dxa"/>
            <w:vAlign w:val="bottom"/>
          </w:tcPr>
          <w:p>
            <w:pPr>
              <w:spacing w:after="0"/>
              <w:rPr>
                <w:sz w:val="15"/>
                <w:szCs w:val="15"/>
                <w:color w:val="auto"/>
              </w:rPr>
            </w:pP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(156,195)</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(53,665)</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(65,187)</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Net Income from sale of property, furniture and equipment</w:t>
            </w:r>
          </w:p>
        </w:tc>
        <w:tc>
          <w:tcPr>
            <w:tcW w:w="1320" w:type="dxa"/>
            <w:vAlign w:val="bottom"/>
          </w:tcPr>
          <w:p>
            <w:pPr>
              <w:jc w:val="center"/>
              <w:ind w:right="102"/>
              <w:spacing w:after="0" w:line="175" w:lineRule="exact"/>
              <w:rPr>
                <w:sz w:val="20"/>
                <w:szCs w:val="20"/>
                <w:color w:val="auto"/>
              </w:rPr>
            </w:pPr>
            <w:r>
              <w:rPr>
                <w:rFonts w:ascii="Arial" w:cs="Arial" w:eastAsia="Arial" w:hAnsi="Arial"/>
                <w:sz w:val="16"/>
                <w:szCs w:val="16"/>
                <w:color w:val="auto"/>
              </w:rPr>
              <w:t>25</w:t>
            </w: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(68,037)</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(1,654)</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(14,979)</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(Gain) loss net from sale of seized and recovered assets</w:t>
            </w:r>
          </w:p>
        </w:tc>
        <w:tc>
          <w:tcPr>
            <w:tcW w:w="1320" w:type="dxa"/>
            <w:vAlign w:val="bottom"/>
          </w:tcPr>
          <w:p>
            <w:pPr>
              <w:spacing w:after="0"/>
              <w:rPr>
                <w:sz w:val="15"/>
                <w:szCs w:val="15"/>
                <w:color w:val="auto"/>
              </w:rPr>
            </w:pP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(27,172)</w:t>
            </w: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1,867</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(11,355)</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Expense for share-based payment transactions</w:t>
            </w:r>
          </w:p>
        </w:tc>
        <w:tc>
          <w:tcPr>
            <w:tcW w:w="1320" w:type="dxa"/>
            <w:vAlign w:val="bottom"/>
          </w:tcPr>
          <w:p>
            <w:pPr>
              <w:jc w:val="center"/>
              <w:ind w:right="102"/>
              <w:spacing w:after="0" w:line="175" w:lineRule="exact"/>
              <w:rPr>
                <w:sz w:val="20"/>
                <w:szCs w:val="20"/>
                <w:color w:val="auto"/>
              </w:rPr>
            </w:pPr>
            <w:r>
              <w:rPr>
                <w:rFonts w:ascii="Arial" w:cs="Arial" w:eastAsia="Arial" w:hAnsi="Arial"/>
                <w:sz w:val="16"/>
                <w:szCs w:val="16"/>
                <w:color w:val="auto"/>
              </w:rPr>
              <w:t>23</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104,848</w:t>
            </w:r>
          </w:p>
        </w:tc>
        <w:tc>
          <w:tcPr>
            <w:tcW w:w="14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83,328</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81,679</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Net gain from sale of written-off portfolio</w:t>
            </w:r>
          </w:p>
        </w:tc>
        <w:tc>
          <w:tcPr>
            <w:tcW w:w="1320" w:type="dxa"/>
            <w:vAlign w:val="bottom"/>
          </w:tcPr>
          <w:p>
            <w:pPr>
              <w:jc w:val="center"/>
              <w:ind w:right="102"/>
              <w:spacing w:after="0" w:line="175" w:lineRule="exact"/>
              <w:rPr>
                <w:sz w:val="20"/>
                <w:szCs w:val="20"/>
                <w:color w:val="auto"/>
              </w:rPr>
            </w:pPr>
            <w:r>
              <w:rPr>
                <w:rFonts w:ascii="Arial" w:cs="Arial" w:eastAsia="Arial" w:hAnsi="Arial"/>
                <w:sz w:val="16"/>
                <w:szCs w:val="16"/>
                <w:color w:val="auto"/>
              </w:rPr>
              <w:t>25</w:t>
            </w: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(21,295)</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(83,515)</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(18,712)</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Intangible losses due to withdrawals and dismissed projects</w:t>
            </w:r>
          </w:p>
        </w:tc>
        <w:tc>
          <w:tcPr>
            <w:tcW w:w="1320" w:type="dxa"/>
            <w:vAlign w:val="bottom"/>
          </w:tcPr>
          <w:p>
            <w:pPr>
              <w:jc w:val="center"/>
              <w:ind w:right="102"/>
              <w:spacing w:after="0" w:line="175" w:lineRule="exact"/>
              <w:rPr>
                <w:sz w:val="20"/>
                <w:szCs w:val="20"/>
                <w:color w:val="auto"/>
              </w:rPr>
            </w:pPr>
            <w:r>
              <w:rPr>
                <w:rFonts w:ascii="Arial" w:cs="Arial" w:eastAsia="Arial" w:hAnsi="Arial"/>
                <w:sz w:val="16"/>
                <w:szCs w:val="16"/>
                <w:color w:val="auto"/>
              </w:rPr>
              <w:t>25</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131,142</w:t>
            </w:r>
          </w:p>
        </w:tc>
        <w:tc>
          <w:tcPr>
            <w:tcW w:w="14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96,978</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25,140</w:t>
            </w:r>
          </w:p>
        </w:tc>
      </w:tr>
      <w:tr>
        <w:trPr>
          <w:trHeight w:val="173"/>
        </w:trPr>
        <w:tc>
          <w:tcPr>
            <w:tcW w:w="5980" w:type="dxa"/>
            <w:vAlign w:val="bottom"/>
          </w:tcPr>
          <w:p>
            <w:pPr>
              <w:spacing w:after="0" w:line="173" w:lineRule="exact"/>
              <w:rPr>
                <w:sz w:val="20"/>
                <w:szCs w:val="20"/>
                <w:color w:val="auto"/>
              </w:rPr>
            </w:pPr>
            <w:r>
              <w:rPr>
                <w:rFonts w:ascii="Arial" w:cs="Arial" w:eastAsia="Arial" w:hAnsi="Arial"/>
                <w:sz w:val="16"/>
                <w:szCs w:val="16"/>
                <w:color w:val="auto"/>
              </w:rPr>
              <w:t>Others</w:t>
            </w:r>
          </w:p>
        </w:tc>
        <w:tc>
          <w:tcPr>
            <w:tcW w:w="1320" w:type="dxa"/>
            <w:vAlign w:val="bottom"/>
          </w:tcPr>
          <w:p>
            <w:pPr>
              <w:spacing w:after="0"/>
              <w:rPr>
                <w:sz w:val="15"/>
                <w:szCs w:val="15"/>
                <w:color w:val="auto"/>
              </w:rPr>
            </w:pPr>
          </w:p>
        </w:tc>
        <w:tc>
          <w:tcPr>
            <w:tcW w:w="11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145,492</w:t>
            </w:r>
          </w:p>
        </w:tc>
        <w:tc>
          <w:tcPr>
            <w:tcW w:w="140" w:type="dxa"/>
            <w:vAlign w:val="bottom"/>
          </w:tcPr>
          <w:p>
            <w:pPr>
              <w:spacing w:after="0"/>
              <w:rPr>
                <w:sz w:val="15"/>
                <w:szCs w:val="15"/>
                <w:color w:val="auto"/>
              </w:rPr>
            </w:pPr>
          </w:p>
        </w:tc>
        <w:tc>
          <w:tcPr>
            <w:tcW w:w="1440" w:type="dxa"/>
            <w:vAlign w:val="bottom"/>
            <w:gridSpan w:val="3"/>
          </w:tcPr>
          <w:p>
            <w:pPr>
              <w:jc w:val="right"/>
              <w:ind w:right="200"/>
              <w:spacing w:after="0" w:line="173" w:lineRule="exact"/>
              <w:rPr>
                <w:sz w:val="20"/>
                <w:szCs w:val="20"/>
                <w:color w:val="auto"/>
              </w:rPr>
            </w:pPr>
            <w:r>
              <w:rPr>
                <w:rFonts w:ascii="Arial" w:cs="Arial" w:eastAsia="Arial" w:hAnsi="Arial"/>
                <w:sz w:val="16"/>
                <w:szCs w:val="16"/>
                <w:color w:val="auto"/>
              </w:rPr>
              <w:t>3,005</w:t>
            </w:r>
          </w:p>
        </w:tc>
        <w:tc>
          <w:tcPr>
            <w:tcW w:w="1240" w:type="dxa"/>
            <w:vAlign w:val="bottom"/>
            <w:gridSpan w:val="2"/>
          </w:tcPr>
          <w:p>
            <w:pPr>
              <w:jc w:val="right"/>
              <w:ind w:right="120"/>
              <w:spacing w:after="0" w:line="173" w:lineRule="exact"/>
              <w:rPr>
                <w:sz w:val="20"/>
                <w:szCs w:val="20"/>
                <w:color w:val="auto"/>
              </w:rPr>
            </w:pPr>
            <w:r>
              <w:rPr>
                <w:rFonts w:ascii="Arial" w:cs="Arial" w:eastAsia="Arial" w:hAnsi="Arial"/>
                <w:sz w:val="16"/>
                <w:szCs w:val="16"/>
                <w:color w:val="auto"/>
              </w:rPr>
              <w:t>28,840</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b w:val="1"/>
                <w:bCs w:val="1"/>
                <w:color w:val="auto"/>
              </w:rPr>
              <w:t>Net changes in assets and liabilities</w:t>
            </w: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5980" w:type="dxa"/>
            <w:vAlign w:val="bottom"/>
          </w:tcPr>
          <w:p>
            <w:pPr>
              <w:spacing w:after="0" w:line="177" w:lineRule="exact"/>
              <w:rPr>
                <w:sz w:val="20"/>
                <w:szCs w:val="20"/>
                <w:color w:val="auto"/>
              </w:rPr>
            </w:pPr>
            <w:r>
              <w:rPr>
                <w:rFonts w:ascii="Arial" w:cs="Arial" w:eastAsia="Arial" w:hAnsi="Arial"/>
                <w:sz w:val="16"/>
                <w:szCs w:val="16"/>
                <w:b w:val="1"/>
                <w:bCs w:val="1"/>
                <w:color w:val="auto"/>
              </w:rPr>
              <w:t>Net (increase) decrease in assets:</w:t>
            </w: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1320" w:type="dxa"/>
            <w:vAlign w:val="bottom"/>
          </w:tcPr>
          <w:p>
            <w:pPr>
              <w:spacing w:after="0"/>
              <w:rPr>
                <w:sz w:val="15"/>
                <w:szCs w:val="15"/>
                <w:color w:val="auto"/>
              </w:rPr>
            </w:pP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(4,461,273)</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(1,105,306)</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(5,385,064)</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Investments at fair value through profit or loss</w:t>
            </w:r>
          </w:p>
        </w:tc>
        <w:tc>
          <w:tcPr>
            <w:tcW w:w="1320" w:type="dxa"/>
            <w:vAlign w:val="bottom"/>
          </w:tcPr>
          <w:p>
            <w:pPr>
              <w:spacing w:after="0"/>
              <w:rPr>
                <w:sz w:val="15"/>
                <w:szCs w:val="15"/>
                <w:color w:val="auto"/>
              </w:rPr>
            </w:pP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412,376</w:t>
            </w:r>
          </w:p>
        </w:tc>
        <w:tc>
          <w:tcPr>
            <w:tcW w:w="140" w:type="dxa"/>
            <w:vAlign w:val="bottom"/>
          </w:tcPr>
          <w:p>
            <w:pPr>
              <w:spacing w:after="0"/>
              <w:rPr>
                <w:sz w:val="15"/>
                <w:szCs w:val="15"/>
                <w:color w:val="auto"/>
              </w:rPr>
            </w:pP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(456,626)</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1,575,498</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Investments at fair value through other comprehensive income</w:t>
            </w:r>
          </w:p>
        </w:tc>
        <w:tc>
          <w:tcPr>
            <w:tcW w:w="1320" w:type="dxa"/>
            <w:vAlign w:val="bottom"/>
          </w:tcPr>
          <w:p>
            <w:pPr>
              <w:spacing w:after="0"/>
              <w:rPr>
                <w:sz w:val="15"/>
                <w:szCs w:val="15"/>
                <w:color w:val="auto"/>
              </w:rPr>
            </w:pP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(2,555,702)</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(5,164,701)</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(460,914)</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Cash collateral, reverse repurchase agreements and securities borrowings</w:t>
            </w:r>
          </w:p>
        </w:tc>
        <w:tc>
          <w:tcPr>
            <w:tcW w:w="1320" w:type="dxa"/>
            <w:vAlign w:val="bottom"/>
          </w:tcPr>
          <w:p>
            <w:pPr>
              <w:spacing w:after="0"/>
              <w:rPr>
                <w:sz w:val="15"/>
                <w:szCs w:val="15"/>
                <w:color w:val="auto"/>
              </w:rPr>
            </w:pP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383,427</w:t>
            </w:r>
          </w:p>
        </w:tc>
        <w:tc>
          <w:tcPr>
            <w:tcW w:w="140" w:type="dxa"/>
            <w:vAlign w:val="bottom"/>
          </w:tcPr>
          <w:p>
            <w:pPr>
              <w:spacing w:after="0"/>
              <w:rPr>
                <w:sz w:val="15"/>
                <w:szCs w:val="15"/>
                <w:color w:val="auto"/>
              </w:rPr>
            </w:pP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(330,448)</w:t>
            </w: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622,589</w:t>
            </w:r>
          </w:p>
        </w:tc>
        <w:tc>
          <w:tcPr>
            <w:tcW w:w="120" w:type="dxa"/>
            <w:vAlign w:val="bottom"/>
          </w:tcPr>
          <w:p>
            <w:pPr>
              <w:spacing w:after="0"/>
              <w:rPr>
                <w:sz w:val="15"/>
                <w:szCs w:val="15"/>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Sale of written off portfolio</w:t>
            </w:r>
          </w:p>
        </w:tc>
        <w:tc>
          <w:tcPr>
            <w:tcW w:w="1320" w:type="dxa"/>
            <w:vAlign w:val="bottom"/>
          </w:tcPr>
          <w:p>
            <w:pPr>
              <w:spacing w:after="0"/>
              <w:rPr>
                <w:sz w:val="15"/>
                <w:szCs w:val="15"/>
                <w:color w:val="auto"/>
              </w:rPr>
            </w:pPr>
          </w:p>
        </w:tc>
        <w:tc>
          <w:tcPr>
            <w:tcW w:w="12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55,230</w:t>
            </w: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239,599</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24,543</w:t>
            </w:r>
          </w:p>
        </w:tc>
      </w:tr>
      <w:tr>
        <w:trPr>
          <w:trHeight w:val="205"/>
        </w:trPr>
        <w:tc>
          <w:tcPr>
            <w:tcW w:w="5980" w:type="dxa"/>
            <w:vAlign w:val="bottom"/>
          </w:tcPr>
          <w:p>
            <w:pPr>
              <w:spacing w:after="0"/>
              <w:rPr>
                <w:sz w:val="20"/>
                <w:szCs w:val="20"/>
                <w:color w:val="auto"/>
              </w:rPr>
            </w:pPr>
            <w:r>
              <w:rPr>
                <w:rFonts w:ascii="Arial" w:cs="Arial" w:eastAsia="Arial" w:hAnsi="Arial"/>
                <w:sz w:val="16"/>
                <w:szCs w:val="16"/>
                <w:color w:val="auto"/>
              </w:rPr>
              <w:t>Other assets</w:t>
            </w:r>
          </w:p>
        </w:tc>
        <w:tc>
          <w:tcPr>
            <w:tcW w:w="132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(1,111,692)</w:t>
            </w: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520,331</w:t>
            </w:r>
          </w:p>
        </w:tc>
        <w:tc>
          <w:tcPr>
            <w:tcW w:w="1120" w:type="dxa"/>
            <w:vAlign w:val="bottom"/>
          </w:tcPr>
          <w:p>
            <w:pPr>
              <w:jc w:val="right"/>
              <w:spacing w:after="0"/>
              <w:rPr>
                <w:sz w:val="20"/>
                <w:szCs w:val="20"/>
                <w:color w:val="auto"/>
              </w:rPr>
            </w:pPr>
            <w:r>
              <w:rPr>
                <w:rFonts w:ascii="Arial" w:cs="Arial" w:eastAsia="Arial" w:hAnsi="Arial"/>
                <w:sz w:val="16"/>
                <w:szCs w:val="16"/>
                <w:color w:val="auto"/>
              </w:rPr>
              <w:t>413,307</w:t>
            </w:r>
          </w:p>
        </w:tc>
        <w:tc>
          <w:tcPr>
            <w:tcW w:w="120" w:type="dxa"/>
            <w:vAlign w:val="bottom"/>
          </w:tcPr>
          <w:p>
            <w:pPr>
              <w:spacing w:after="0"/>
              <w:rPr>
                <w:sz w:val="17"/>
                <w:szCs w:val="17"/>
                <w:color w:val="auto"/>
              </w:rPr>
            </w:pPr>
          </w:p>
        </w:tc>
      </w:tr>
      <w:tr>
        <w:trPr>
          <w:trHeight w:val="320"/>
        </w:trPr>
        <w:tc>
          <w:tcPr>
            <w:tcW w:w="5980" w:type="dxa"/>
            <w:vAlign w:val="bottom"/>
          </w:tcPr>
          <w:p>
            <w:pPr>
              <w:spacing w:after="0"/>
              <w:rPr>
                <w:sz w:val="20"/>
                <w:szCs w:val="20"/>
                <w:color w:val="auto"/>
              </w:rPr>
            </w:pPr>
            <w:r>
              <w:rPr>
                <w:rFonts w:ascii="Arial" w:cs="Arial" w:eastAsia="Arial" w:hAnsi="Arial"/>
                <w:sz w:val="16"/>
                <w:szCs w:val="16"/>
                <w:b w:val="1"/>
                <w:bCs w:val="1"/>
                <w:color w:val="auto"/>
              </w:rPr>
              <w:t>Net increase (decrease) in liabilities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Deposits and obligations</w:t>
            </w:r>
          </w:p>
        </w:tc>
        <w:tc>
          <w:tcPr>
            <w:tcW w:w="1320" w:type="dxa"/>
            <w:vAlign w:val="bottom"/>
          </w:tcPr>
          <w:p>
            <w:pPr>
              <w:spacing w:after="0"/>
              <w:rPr>
                <w:sz w:val="15"/>
                <w:szCs w:val="15"/>
                <w:color w:val="auto"/>
              </w:rPr>
            </w:pP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13,286,449</w:t>
            </w:r>
          </w:p>
        </w:tc>
        <w:tc>
          <w:tcPr>
            <w:tcW w:w="14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2,271,524</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(46,199)</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Due to Banks and correspondents</w:t>
            </w:r>
          </w:p>
        </w:tc>
        <w:tc>
          <w:tcPr>
            <w:tcW w:w="1320" w:type="dxa"/>
            <w:vAlign w:val="bottom"/>
          </w:tcPr>
          <w:p>
            <w:pPr>
              <w:spacing w:after="0"/>
              <w:rPr>
                <w:sz w:val="15"/>
                <w:szCs w:val="15"/>
                <w:color w:val="auto"/>
              </w:rPr>
            </w:pP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(1,600,761)</w:t>
            </w: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3,455,502</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1,804,784</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Payables from repurchase agreements and securities lending</w:t>
            </w:r>
          </w:p>
        </w:tc>
        <w:tc>
          <w:tcPr>
            <w:tcW w:w="1320" w:type="dxa"/>
            <w:vAlign w:val="bottom"/>
          </w:tcPr>
          <w:p>
            <w:pPr>
              <w:spacing w:after="0"/>
              <w:rPr>
                <w:sz w:val="15"/>
                <w:szCs w:val="15"/>
                <w:color w:val="auto"/>
              </w:rPr>
            </w:pP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(1,111,676)</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(2,790,671)</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(9,034,940)</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Bonds and notes issued</w:t>
            </w:r>
          </w:p>
        </w:tc>
        <w:tc>
          <w:tcPr>
            <w:tcW w:w="1320" w:type="dxa"/>
            <w:vAlign w:val="bottom"/>
          </w:tcPr>
          <w:p>
            <w:pPr>
              <w:spacing w:after="0"/>
              <w:rPr>
                <w:sz w:val="15"/>
                <w:szCs w:val="15"/>
                <w:color w:val="auto"/>
              </w:rPr>
            </w:pP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348,532</w:t>
            </w:r>
          </w:p>
        </w:tc>
        <w:tc>
          <w:tcPr>
            <w:tcW w:w="140" w:type="dxa"/>
            <w:vAlign w:val="bottom"/>
          </w:tcPr>
          <w:p>
            <w:pPr>
              <w:spacing w:after="0"/>
              <w:rPr>
                <w:sz w:val="15"/>
                <w:szCs w:val="15"/>
                <w:color w:val="auto"/>
              </w:rPr>
            </w:pP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(2,213,122)</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(298,572)</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Short-term and low-value lease payments</w:t>
            </w:r>
          </w:p>
        </w:tc>
        <w:tc>
          <w:tcPr>
            <w:tcW w:w="1320" w:type="dxa"/>
            <w:vAlign w:val="bottom"/>
          </w:tcPr>
          <w:p>
            <w:pPr>
              <w:spacing w:after="0"/>
              <w:rPr>
                <w:sz w:val="15"/>
                <w:szCs w:val="15"/>
                <w:color w:val="auto"/>
              </w:rPr>
            </w:pPr>
          </w:p>
        </w:tc>
        <w:tc>
          <w:tcPr>
            <w:tcW w:w="1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(118,156)</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(108,357)</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(106,356)</w:t>
            </w:r>
          </w:p>
        </w:tc>
      </w:tr>
      <w:tr>
        <w:trPr>
          <w:trHeight w:val="175"/>
        </w:trPr>
        <w:tc>
          <w:tcPr>
            <w:tcW w:w="5980" w:type="dxa"/>
            <w:vAlign w:val="bottom"/>
          </w:tcPr>
          <w:p>
            <w:pPr>
              <w:spacing w:after="0" w:line="175" w:lineRule="exact"/>
              <w:rPr>
                <w:sz w:val="20"/>
                <w:szCs w:val="20"/>
                <w:color w:val="auto"/>
              </w:rPr>
            </w:pPr>
            <w:r>
              <w:rPr>
                <w:rFonts w:ascii="Arial" w:cs="Arial" w:eastAsia="Arial" w:hAnsi="Arial"/>
                <w:sz w:val="16"/>
                <w:szCs w:val="16"/>
                <w:color w:val="auto"/>
              </w:rPr>
              <w:t>Other liabilities</w:t>
            </w:r>
          </w:p>
        </w:tc>
        <w:tc>
          <w:tcPr>
            <w:tcW w:w="1320" w:type="dxa"/>
            <w:vAlign w:val="bottom"/>
          </w:tcPr>
          <w:p>
            <w:pPr>
              <w:spacing w:after="0"/>
              <w:rPr>
                <w:sz w:val="15"/>
                <w:szCs w:val="15"/>
                <w:color w:val="auto"/>
              </w:rPr>
            </w:pPr>
          </w:p>
        </w:tc>
        <w:tc>
          <w:tcPr>
            <w:tcW w:w="12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2,375,248</w:t>
            </w: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2,604,047</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3,107,346</w:t>
            </w:r>
          </w:p>
        </w:tc>
      </w:tr>
      <w:tr>
        <w:trPr>
          <w:trHeight w:val="190"/>
        </w:trPr>
        <w:tc>
          <w:tcPr>
            <w:tcW w:w="5980" w:type="dxa"/>
            <w:vAlign w:val="bottom"/>
          </w:tcPr>
          <w:p>
            <w:pPr>
              <w:spacing w:after="0"/>
              <w:rPr>
                <w:sz w:val="20"/>
                <w:szCs w:val="20"/>
                <w:color w:val="auto"/>
              </w:rPr>
            </w:pPr>
            <w:r>
              <w:rPr>
                <w:rFonts w:ascii="Arial" w:cs="Arial" w:eastAsia="Arial" w:hAnsi="Arial"/>
                <w:sz w:val="16"/>
                <w:szCs w:val="16"/>
                <w:color w:val="auto"/>
              </w:rPr>
              <w:t>Income tax paid</w:t>
            </w:r>
          </w:p>
        </w:tc>
        <w:tc>
          <w:tcPr>
            <w:tcW w:w="1320" w:type="dxa"/>
            <w:vAlign w:val="bottom"/>
          </w:tcPr>
          <w:p>
            <w:pPr>
              <w:spacing w:after="0"/>
              <w:rPr>
                <w:sz w:val="16"/>
                <w:szCs w:val="16"/>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(1,703,135)</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(2,139,140)</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(1,106,572)</w:t>
            </w:r>
          </w:p>
        </w:tc>
      </w:tr>
      <w:tr>
        <w:trPr>
          <w:trHeight w:val="167"/>
        </w:trPr>
        <w:tc>
          <w:tcPr>
            <w:tcW w:w="5980" w:type="dxa"/>
            <w:vAlign w:val="bottom"/>
          </w:tcPr>
          <w:p>
            <w:pPr>
              <w:spacing w:after="0" w:line="167" w:lineRule="exact"/>
              <w:rPr>
                <w:sz w:val="20"/>
                <w:szCs w:val="20"/>
                <w:color w:val="auto"/>
              </w:rPr>
            </w:pPr>
            <w:r>
              <w:rPr>
                <w:rFonts w:ascii="Arial" w:cs="Arial" w:eastAsia="Arial" w:hAnsi="Arial"/>
                <w:sz w:val="16"/>
                <w:szCs w:val="16"/>
                <w:b w:val="1"/>
                <w:bCs w:val="1"/>
                <w:color w:val="auto"/>
              </w:rPr>
              <w:t>Net cash flow from operating activities</w:t>
            </w: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14,522,093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4,079,719</w:t>
            </w:r>
          </w:p>
        </w:tc>
        <w:tc>
          <w:tcPr>
            <w:tcW w:w="2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(1,151,422)</w:t>
            </w:r>
          </w:p>
        </w:tc>
        <w:tc>
          <w:tcPr>
            <w:tcW w:w="120" w:type="dxa"/>
            <w:vAlign w:val="bottom"/>
          </w:tcPr>
          <w:p>
            <w:pPr>
              <w:spacing w:after="0"/>
              <w:rPr>
                <w:sz w:val="14"/>
                <w:szCs w:val="14"/>
                <w:color w:val="auto"/>
              </w:rPr>
            </w:pPr>
          </w:p>
        </w:tc>
      </w:tr>
      <w:tr>
        <w:trPr>
          <w:trHeight w:val="463"/>
        </w:trPr>
        <w:tc>
          <w:tcPr>
            <w:tcW w:w="5980" w:type="dxa"/>
            <w:vAlign w:val="bottom"/>
          </w:tcPr>
          <w:p>
            <w:pPr>
              <w:ind w:left="5520"/>
              <w:spacing w:after="0"/>
              <w:rPr>
                <w:sz w:val="20"/>
                <w:szCs w:val="20"/>
                <w:color w:val="auto"/>
              </w:rPr>
            </w:pPr>
            <w:r>
              <w:rPr>
                <w:rFonts w:ascii="Arial" w:cs="Arial" w:eastAsia="Arial" w:hAnsi="Arial"/>
                <w:sz w:val="12"/>
                <w:szCs w:val="12"/>
                <w:color w:val="auto"/>
              </w:rPr>
              <w:t>-16-</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
        </w:trPr>
        <w:tc>
          <w:tcPr>
            <w:tcW w:w="5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80" w:type="dxa"/>
            <w:vAlign w:val="bottom"/>
          </w:tcPr>
          <w:p>
            <w:pPr>
              <w:spacing w:after="0"/>
              <w:rPr>
                <w:sz w:val="20"/>
                <w:szCs w:val="20"/>
                <w:color w:val="auto"/>
              </w:rPr>
            </w:pPr>
            <w:r>
              <w:rPr>
                <w:rFonts w:ascii="Arial" w:cs="Arial" w:eastAsia="Arial" w:hAnsi="Arial"/>
                <w:sz w:val="16"/>
                <w:szCs w:val="16"/>
                <w:color w:val="auto"/>
              </w:rPr>
              <w:t>CONSOLIDATED STATEMENT OF CASH FLOWS (CONTINUED)</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608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6"/>
                <w:szCs w:val="16"/>
                <w:b w:val="1"/>
                <w:bCs w:val="1"/>
                <w:color w:val="auto"/>
              </w:rPr>
              <w:t>Note</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NET CASH FLOWS FROM INVESTING ACTIVITIES</w:t>
            </w:r>
          </w:p>
        </w:tc>
        <w:tc>
          <w:tcPr>
            <w:tcW w:w="1220" w:type="dxa"/>
            <w:vAlign w:val="bottom"/>
          </w:tcPr>
          <w:p>
            <w:pPr>
              <w:spacing w:after="0"/>
              <w:rPr>
                <w:sz w:val="17"/>
                <w:szCs w:val="17"/>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0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Revenue from sale of property, furniture and equipment</w:t>
            </w:r>
          </w:p>
        </w:tc>
        <w:tc>
          <w:tcPr>
            <w:tcW w:w="1220" w:type="dxa"/>
            <w:vAlign w:val="bottom"/>
          </w:tcPr>
          <w:p>
            <w:pPr>
              <w:spacing w:after="0"/>
              <w:rPr>
                <w:sz w:val="15"/>
                <w:szCs w:val="15"/>
                <w:color w:val="auto"/>
              </w:rPr>
            </w:pPr>
          </w:p>
        </w:tc>
        <w:tc>
          <w:tcPr>
            <w:tcW w:w="1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98,223</w:t>
            </w:r>
          </w:p>
        </w:tc>
        <w:tc>
          <w:tcPr>
            <w:tcW w:w="12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53,152</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5,373</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Revenue from sale of investment property</w:t>
            </w:r>
          </w:p>
        </w:tc>
        <w:tc>
          <w:tcPr>
            <w:tcW w:w="1220" w:type="dxa"/>
            <w:vAlign w:val="bottom"/>
          </w:tcPr>
          <w:p>
            <w:pPr>
              <w:spacing w:after="0"/>
              <w:rPr>
                <w:sz w:val="15"/>
                <w:szCs w:val="15"/>
                <w:color w:val="auto"/>
              </w:rPr>
            </w:pPr>
          </w:p>
        </w:tc>
        <w:tc>
          <w:tcPr>
            <w:tcW w:w="1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47,100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Revenue from sales and reimbursement of investment to amortized cost</w:t>
            </w:r>
          </w:p>
        </w:tc>
        <w:tc>
          <w:tcPr>
            <w:tcW w:w="1220" w:type="dxa"/>
            <w:vAlign w:val="bottom"/>
          </w:tcPr>
          <w:p>
            <w:pPr>
              <w:spacing w:after="0"/>
              <w:rPr>
                <w:sz w:val="15"/>
                <w:szCs w:val="15"/>
                <w:color w:val="auto"/>
              </w:rPr>
            </w:pPr>
          </w:p>
        </w:tc>
        <w:tc>
          <w:tcPr>
            <w:tcW w:w="1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1,740,670</w:t>
            </w:r>
          </w:p>
        </w:tc>
        <w:tc>
          <w:tcPr>
            <w:tcW w:w="12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1,245,434</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1,006,325</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Purchase of property, furniture and equipment</w:t>
            </w:r>
          </w:p>
        </w:tc>
        <w:tc>
          <w:tcPr>
            <w:tcW w:w="1220" w:type="dxa"/>
            <w:vAlign w:val="bottom"/>
          </w:tcPr>
          <w:p>
            <w:pPr>
              <w:jc w:val="center"/>
              <w:ind w:right="202"/>
              <w:spacing w:after="0" w:line="175" w:lineRule="exact"/>
              <w:rPr>
                <w:sz w:val="20"/>
                <w:szCs w:val="20"/>
                <w:color w:val="auto"/>
              </w:rPr>
            </w:pPr>
            <w:r>
              <w:rPr>
                <w:rFonts w:ascii="Arial" w:cs="Arial" w:eastAsia="Arial" w:hAnsi="Arial"/>
                <w:sz w:val="16"/>
                <w:szCs w:val="16"/>
                <w:color w:val="auto"/>
              </w:rPr>
              <w:t>9</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(310,144)</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(322,371)</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(192,700)</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Purchase of investment property</w:t>
            </w:r>
          </w:p>
        </w:tc>
        <w:tc>
          <w:tcPr>
            <w:tcW w:w="122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6"/>
              </w:rPr>
              <w:t>12(h)</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(70,399)</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(37,667)</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(87,132)</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Purchase of intangible assets</w:t>
            </w:r>
          </w:p>
        </w:tc>
        <w:tc>
          <w:tcPr>
            <w:tcW w:w="122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6"/>
              </w:rPr>
              <w:t>10(a)</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(801,290)</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(828,803)</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(703,670)</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Purchase of investment at amortized cost</w:t>
            </w:r>
          </w:p>
        </w:tc>
        <w:tc>
          <w:tcPr>
            <w:tcW w:w="1220" w:type="dxa"/>
            <w:vAlign w:val="bottom"/>
          </w:tcPr>
          <w:p>
            <w:pPr>
              <w:spacing w:after="0"/>
              <w:rPr>
                <w:sz w:val="15"/>
                <w:szCs w:val="15"/>
                <w:color w:val="auto"/>
              </w:rPr>
            </w:pP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(176,601)</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(1,359,245)</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(1,122,802)</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6"/>
                <w:szCs w:val="16"/>
                <w:color w:val="auto"/>
              </w:rPr>
              <w:t>Acquisition of subsidiaries, net of cash received</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(5,564)</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6080" w:type="dxa"/>
            <w:vAlign w:val="bottom"/>
          </w:tcPr>
          <w:p>
            <w:pPr>
              <w:spacing w:after="0" w:line="167" w:lineRule="exact"/>
              <w:rPr>
                <w:sz w:val="20"/>
                <w:szCs w:val="20"/>
                <w:color w:val="auto"/>
              </w:rPr>
            </w:pPr>
            <w:r>
              <w:rPr>
                <w:rFonts w:ascii="Arial" w:cs="Arial" w:eastAsia="Arial" w:hAnsi="Arial"/>
                <w:sz w:val="16"/>
                <w:szCs w:val="16"/>
                <w:b w:val="1"/>
                <w:bCs w:val="1"/>
                <w:color w:val="auto"/>
              </w:rPr>
              <w:t>Net cash flows from investing activities</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527,559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(1,255,064)</w:t>
            </w:r>
          </w:p>
        </w:tc>
        <w:tc>
          <w:tcPr>
            <w:tcW w:w="2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(1,094,965)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6080" w:type="dxa"/>
            <w:vAlign w:val="bottom"/>
          </w:tcPr>
          <w:p>
            <w:pPr>
              <w:spacing w:after="0"/>
              <w:rPr>
                <w:sz w:val="20"/>
                <w:szCs w:val="20"/>
                <w:color w:val="auto"/>
              </w:rPr>
            </w:pPr>
            <w:r>
              <w:rPr>
                <w:rFonts w:ascii="Arial" w:cs="Arial" w:eastAsia="Arial" w:hAnsi="Arial"/>
                <w:sz w:val="16"/>
                <w:szCs w:val="16"/>
                <w:b w:val="1"/>
                <w:bCs w:val="1"/>
                <w:color w:val="auto"/>
              </w:rPr>
              <w:t>NET CASH FLOWS FROM FINANCING ACTIVITIES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Dividends paid</w:t>
            </w:r>
          </w:p>
        </w:tc>
        <w:tc>
          <w:tcPr>
            <w:tcW w:w="122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6"/>
              </w:rPr>
              <w:t>16(e)</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(3,664,648)</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(1,994,037)</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(1,196,422)</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Dividends paid to non-controlling interest of subsidiaries</w:t>
            </w:r>
          </w:p>
        </w:tc>
        <w:tc>
          <w:tcPr>
            <w:tcW w:w="1220" w:type="dxa"/>
            <w:vAlign w:val="bottom"/>
          </w:tcPr>
          <w:p>
            <w:pPr>
              <w:spacing w:after="0"/>
              <w:rPr>
                <w:sz w:val="15"/>
                <w:szCs w:val="15"/>
                <w:color w:val="auto"/>
              </w:rPr>
            </w:pP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(106,777)</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(62,051)</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(48,577)</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Principal payments of leasing contracts</w:t>
            </w:r>
          </w:p>
        </w:tc>
        <w:tc>
          <w:tcPr>
            <w:tcW w:w="1220" w:type="dxa"/>
            <w:vAlign w:val="bottom"/>
          </w:tcPr>
          <w:p>
            <w:pPr>
              <w:spacing w:after="0"/>
              <w:rPr>
                <w:sz w:val="15"/>
                <w:szCs w:val="15"/>
                <w:color w:val="auto"/>
              </w:rPr>
            </w:pP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(152,693)</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(157,386)</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(156,529)</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Interest payments of leasing contracts</w:t>
            </w:r>
          </w:p>
        </w:tc>
        <w:tc>
          <w:tcPr>
            <w:tcW w:w="1220" w:type="dxa"/>
            <w:vAlign w:val="bottom"/>
          </w:tcPr>
          <w:p>
            <w:pPr>
              <w:spacing w:after="0"/>
              <w:rPr>
                <w:sz w:val="15"/>
                <w:szCs w:val="15"/>
                <w:color w:val="auto"/>
              </w:rPr>
            </w:pP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(22,828)</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(25,574)</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(25,054)</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Purchase of treasury stock</w:t>
            </w:r>
          </w:p>
        </w:tc>
        <w:tc>
          <w:tcPr>
            <w:tcW w:w="1220" w:type="dxa"/>
            <w:vAlign w:val="bottom"/>
          </w:tcPr>
          <w:p>
            <w:pPr>
              <w:jc w:val="center"/>
              <w:ind w:right="182"/>
              <w:spacing w:after="0" w:line="175" w:lineRule="exact"/>
              <w:rPr>
                <w:sz w:val="20"/>
                <w:szCs w:val="20"/>
                <w:color w:val="auto"/>
              </w:rPr>
            </w:pPr>
            <w:r>
              <w:rPr>
                <w:rFonts w:ascii="Arial" w:cs="Arial" w:eastAsia="Arial" w:hAnsi="Arial"/>
                <w:sz w:val="16"/>
                <w:szCs w:val="16"/>
                <w:color w:val="auto"/>
                <w:w w:val="96"/>
              </w:rPr>
              <w:t>16(b)</w:t>
            </w: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(110,894)</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(85,575)</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(83,605)</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Sale of treasury stock</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9,949</w:t>
            </w: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Acquisition of non-controlling interest</w:t>
            </w:r>
          </w:p>
        </w:tc>
        <w:tc>
          <w:tcPr>
            <w:tcW w:w="1220" w:type="dxa"/>
            <w:vAlign w:val="bottom"/>
          </w:tcPr>
          <w:p>
            <w:pPr>
              <w:spacing w:after="0"/>
              <w:rPr>
                <w:sz w:val="15"/>
                <w:szCs w:val="15"/>
                <w:color w:val="auto"/>
              </w:rPr>
            </w:pPr>
          </w:p>
        </w:tc>
        <w:tc>
          <w:tcPr>
            <w:tcW w:w="128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(36,781)</w:t>
            </w:r>
          </w:p>
        </w:tc>
        <w:tc>
          <w:tcPr>
            <w:tcW w:w="144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(1,773)</w:t>
            </w:r>
          </w:p>
        </w:tc>
        <w:tc>
          <w:tcPr>
            <w:tcW w:w="12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(5,877)</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6"/>
                <w:szCs w:val="16"/>
                <w:color w:val="auto"/>
              </w:rPr>
              <w:t>Subordinated bonds</w:t>
            </w:r>
          </w:p>
        </w:tc>
        <w:tc>
          <w:tcPr>
            <w:tcW w:w="122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2,284,200</w:t>
            </w:r>
          </w:p>
        </w:tc>
        <w:tc>
          <w:tcPr>
            <w:tcW w:w="120" w:type="dxa"/>
            <w:vAlign w:val="bottom"/>
          </w:tcPr>
          <w:p>
            <w:pPr>
              <w:spacing w:after="0"/>
              <w:rPr>
                <w:sz w:val="16"/>
                <w:szCs w:val="16"/>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62,044</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(94,700)</w:t>
            </w:r>
          </w:p>
        </w:tc>
        <w:tc>
          <w:tcPr>
            <w:tcW w:w="0" w:type="dxa"/>
            <w:vAlign w:val="bottom"/>
          </w:tcPr>
          <w:p>
            <w:pPr>
              <w:spacing w:after="0"/>
              <w:rPr>
                <w:sz w:val="1"/>
                <w:szCs w:val="1"/>
                <w:color w:val="auto"/>
              </w:rPr>
            </w:pPr>
          </w:p>
        </w:tc>
      </w:tr>
      <w:tr>
        <w:trPr>
          <w:trHeight w:val="167"/>
        </w:trPr>
        <w:tc>
          <w:tcPr>
            <w:tcW w:w="6080" w:type="dxa"/>
            <w:vAlign w:val="bottom"/>
          </w:tcPr>
          <w:p>
            <w:pPr>
              <w:spacing w:after="0" w:line="167" w:lineRule="exact"/>
              <w:rPr>
                <w:sz w:val="20"/>
                <w:szCs w:val="20"/>
                <w:color w:val="auto"/>
              </w:rPr>
            </w:pPr>
            <w:r>
              <w:rPr>
                <w:rFonts w:ascii="Arial" w:cs="Arial" w:eastAsia="Arial" w:hAnsi="Arial"/>
                <w:sz w:val="16"/>
                <w:szCs w:val="16"/>
                <w:b w:val="1"/>
                <w:bCs w:val="1"/>
                <w:color w:val="auto"/>
              </w:rPr>
              <w:t>Net cash flows from financing activities</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(1,810,421)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(2,264,352)</w:t>
            </w:r>
          </w:p>
        </w:tc>
        <w:tc>
          <w:tcPr>
            <w:tcW w:w="200" w:type="dxa"/>
            <w:vAlign w:val="bottom"/>
          </w:tcPr>
          <w:p>
            <w:pPr>
              <w:spacing w:after="0"/>
              <w:rPr>
                <w:sz w:val="14"/>
                <w:szCs w:val="14"/>
                <w:color w:val="auto"/>
              </w:rPr>
            </w:pPr>
          </w:p>
        </w:tc>
        <w:tc>
          <w:tcPr>
            <w:tcW w:w="11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(1,600,815)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6080" w:type="dxa"/>
            <w:vAlign w:val="bottom"/>
          </w:tcPr>
          <w:p>
            <w:pPr>
              <w:spacing w:after="0"/>
              <w:rPr>
                <w:sz w:val="20"/>
                <w:szCs w:val="20"/>
                <w:color w:val="auto"/>
              </w:rPr>
            </w:pPr>
            <w:r>
              <w:rPr>
                <w:rFonts w:ascii="Arial" w:cs="Arial" w:eastAsia="Arial" w:hAnsi="Arial"/>
                <w:sz w:val="16"/>
                <w:szCs w:val="16"/>
                <w:b w:val="1"/>
                <w:bCs w:val="1"/>
                <w:color w:val="auto"/>
              </w:rPr>
              <w:t>Net increase (decrease) of cash and cash equivalents before effect of changes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80" w:type="dxa"/>
            <w:vAlign w:val="bottom"/>
          </w:tcPr>
          <w:p>
            <w:pPr>
              <w:ind w:left="140"/>
              <w:spacing w:after="0"/>
              <w:rPr>
                <w:sz w:val="20"/>
                <w:szCs w:val="20"/>
                <w:color w:val="auto"/>
              </w:rPr>
            </w:pPr>
            <w:r>
              <w:rPr>
                <w:rFonts w:ascii="Arial" w:cs="Arial" w:eastAsia="Arial" w:hAnsi="Arial"/>
                <w:sz w:val="16"/>
                <w:szCs w:val="16"/>
                <w:b w:val="1"/>
                <w:bCs w:val="1"/>
                <w:color w:val="auto"/>
              </w:rPr>
              <w:t>in exchange rate</w:t>
            </w:r>
          </w:p>
        </w:tc>
        <w:tc>
          <w:tcPr>
            <w:tcW w:w="12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13,239,231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color w:val="auto"/>
              </w:rPr>
              <w:t>560,303</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(3,847,202)</w:t>
            </w:r>
          </w:p>
        </w:tc>
        <w:tc>
          <w:tcPr>
            <w:tcW w:w="0" w:type="dxa"/>
            <w:vAlign w:val="bottom"/>
          </w:tcPr>
          <w:p>
            <w:pPr>
              <w:spacing w:after="0"/>
              <w:rPr>
                <w:sz w:val="1"/>
                <w:szCs w:val="1"/>
                <w:color w:val="auto"/>
              </w:rPr>
            </w:pPr>
          </w:p>
        </w:tc>
      </w:tr>
      <w:tr>
        <w:trPr>
          <w:trHeight w:val="150"/>
        </w:trPr>
        <w:tc>
          <w:tcPr>
            <w:tcW w:w="6080" w:type="dxa"/>
            <w:vAlign w:val="bottom"/>
          </w:tcPr>
          <w:p>
            <w:pPr>
              <w:spacing w:after="0" w:line="150" w:lineRule="exact"/>
              <w:rPr>
                <w:sz w:val="20"/>
                <w:szCs w:val="20"/>
                <w:color w:val="auto"/>
              </w:rPr>
            </w:pPr>
            <w:r>
              <w:rPr>
                <w:rFonts w:ascii="Arial" w:cs="Arial" w:eastAsia="Arial" w:hAnsi="Arial"/>
                <w:sz w:val="16"/>
                <w:szCs w:val="16"/>
                <w:color w:val="auto"/>
              </w:rPr>
              <w:t>Effect of changes in exchange rate of cash and cash equivalents</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6"/>
                <w:szCs w:val="16"/>
                <w:color w:val="auto"/>
              </w:rPr>
              <w:t>410,258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6"/>
                <w:szCs w:val="16"/>
                <w:color w:val="auto"/>
              </w:rPr>
              <w:t>(760,651)</w:t>
            </w:r>
          </w:p>
        </w:tc>
        <w:tc>
          <w:tcPr>
            <w:tcW w:w="200" w:type="dxa"/>
            <w:vAlign w:val="bottom"/>
          </w:tcPr>
          <w:p>
            <w:pPr>
              <w:spacing w:after="0"/>
              <w:rPr>
                <w:sz w:val="13"/>
                <w:szCs w:val="13"/>
                <w:color w:val="auto"/>
              </w:rPr>
            </w:pPr>
          </w:p>
        </w:tc>
        <w:tc>
          <w:tcPr>
            <w:tcW w:w="1120" w:type="dxa"/>
            <w:vAlign w:val="bottom"/>
            <w:tcBorders>
              <w:top w:val="single" w:sz="8" w:color="auto"/>
            </w:tcBorders>
          </w:tcPr>
          <w:p>
            <w:pPr>
              <w:jc w:val="right"/>
              <w:spacing w:after="0" w:line="150" w:lineRule="exact"/>
              <w:rPr>
                <w:sz w:val="20"/>
                <w:szCs w:val="20"/>
                <w:color w:val="auto"/>
              </w:rPr>
            </w:pPr>
            <w:r>
              <w:rPr>
                <w:rFonts w:ascii="Arial" w:cs="Arial" w:eastAsia="Arial" w:hAnsi="Arial"/>
                <w:sz w:val="16"/>
                <w:szCs w:val="16"/>
                <w:color w:val="auto"/>
              </w:rPr>
              <w:t>(1,325,381)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6"/>
                <w:szCs w:val="16"/>
                <w:b w:val="1"/>
                <w:bCs w:val="1"/>
                <w:color w:val="auto"/>
              </w:rPr>
              <w:t>Cash and cash equivalents at the beginning of the period</w:t>
            </w:r>
          </w:p>
        </w:tc>
        <w:tc>
          <w:tcPr>
            <w:tcW w:w="12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33,920,614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34,120,962</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39,293,545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080" w:type="dxa"/>
            <w:vAlign w:val="bottom"/>
          </w:tcPr>
          <w:p>
            <w:pPr>
              <w:spacing w:after="0" w:line="167" w:lineRule="exact"/>
              <w:rPr>
                <w:sz w:val="20"/>
                <w:szCs w:val="20"/>
                <w:color w:val="auto"/>
              </w:rPr>
            </w:pPr>
            <w:r>
              <w:rPr>
                <w:rFonts w:ascii="Arial" w:cs="Arial" w:eastAsia="Arial" w:hAnsi="Arial"/>
                <w:sz w:val="16"/>
                <w:szCs w:val="16"/>
                <w:b w:val="1"/>
                <w:bCs w:val="1"/>
                <w:color w:val="auto"/>
              </w:rPr>
              <w:t>Cash and cash equivalents at the end of the period</w:t>
            </w:r>
          </w:p>
        </w:tc>
        <w:tc>
          <w:tcPr>
            <w:tcW w:w="1220" w:type="dxa"/>
            <w:vAlign w:val="bottom"/>
          </w:tcPr>
          <w:p>
            <w:pPr>
              <w:jc w:val="center"/>
              <w:ind w:right="182"/>
              <w:spacing w:after="0" w:line="167" w:lineRule="exact"/>
              <w:rPr>
                <w:sz w:val="20"/>
                <w:szCs w:val="20"/>
                <w:color w:val="auto"/>
              </w:rPr>
            </w:pPr>
            <w:r>
              <w:rPr>
                <w:rFonts w:ascii="Arial" w:cs="Arial" w:eastAsia="Arial" w:hAnsi="Arial"/>
                <w:sz w:val="16"/>
                <w:szCs w:val="16"/>
                <w:color w:val="auto"/>
                <w:w w:val="98"/>
              </w:rPr>
              <w:t>4(a)</w:t>
            </w:r>
          </w:p>
        </w:tc>
        <w:tc>
          <w:tcPr>
            <w:tcW w:w="2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47,570,103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33,920,614</w:t>
            </w:r>
          </w:p>
        </w:tc>
        <w:tc>
          <w:tcPr>
            <w:tcW w:w="2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34,120,962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6080" w:type="dxa"/>
            <w:vAlign w:val="bottom"/>
          </w:tcPr>
          <w:p>
            <w:pPr>
              <w:spacing w:after="0"/>
              <w:rPr>
                <w:sz w:val="20"/>
                <w:szCs w:val="20"/>
                <w:color w:val="auto"/>
              </w:rPr>
            </w:pPr>
            <w:r>
              <w:rPr>
                <w:rFonts w:ascii="Arial" w:cs="Arial" w:eastAsia="Arial" w:hAnsi="Arial"/>
                <w:sz w:val="16"/>
                <w:szCs w:val="16"/>
                <w:b w:val="1"/>
                <w:bCs w:val="1"/>
                <w:color w:val="auto"/>
              </w:rPr>
              <w:t>Additional information</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Interest received</w:t>
            </w:r>
          </w:p>
        </w:tc>
        <w:tc>
          <w:tcPr>
            <w:tcW w:w="1220" w:type="dxa"/>
            <w:vAlign w:val="bottom"/>
          </w:tcPr>
          <w:p>
            <w:pPr>
              <w:spacing w:after="0"/>
              <w:rPr>
                <w:sz w:val="15"/>
                <w:szCs w:val="15"/>
                <w:color w:val="auto"/>
              </w:rPr>
            </w:pP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19,896,077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18,658,791</w:t>
            </w:r>
          </w:p>
        </w:tc>
        <w:tc>
          <w:tcPr>
            <w:tcW w:w="20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14,717,523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6"/>
                <w:szCs w:val="16"/>
                <w:color w:val="auto"/>
              </w:rPr>
              <w:t>Interest paid</w:t>
            </w:r>
          </w:p>
        </w:tc>
        <w:tc>
          <w:tcPr>
            <w:tcW w:w="1220" w:type="dxa"/>
            <w:vAlign w:val="bottom"/>
          </w:tcPr>
          <w:p>
            <w:pPr>
              <w:spacing w:after="0"/>
              <w:rPr>
                <w:sz w:val="17"/>
                <w:szCs w:val="17"/>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6"/>
                <w:szCs w:val="16"/>
                <w:color w:val="auto"/>
              </w:rPr>
              <w:t>(5,852,580)</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(5,080,522)</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(2,847,538)</w:t>
            </w:r>
          </w:p>
        </w:tc>
        <w:tc>
          <w:tcPr>
            <w:tcW w:w="0" w:type="dxa"/>
            <w:vAlign w:val="bottom"/>
          </w:tcPr>
          <w:p>
            <w:pPr>
              <w:spacing w:after="0"/>
              <w:rPr>
                <w:sz w:val="1"/>
                <w:szCs w:val="1"/>
                <w:color w:val="auto"/>
              </w:rPr>
            </w:pPr>
          </w:p>
        </w:tc>
      </w:tr>
      <w:tr>
        <w:trPr>
          <w:trHeight w:val="320"/>
        </w:trPr>
        <w:tc>
          <w:tcPr>
            <w:tcW w:w="6080" w:type="dxa"/>
            <w:vAlign w:val="bottom"/>
          </w:tcPr>
          <w:p>
            <w:pPr>
              <w:spacing w:after="0"/>
              <w:rPr>
                <w:sz w:val="20"/>
                <w:szCs w:val="20"/>
                <w:color w:val="auto"/>
              </w:rPr>
            </w:pPr>
            <w:r>
              <w:rPr>
                <w:rFonts w:ascii="Arial" w:cs="Arial" w:eastAsia="Arial" w:hAnsi="Arial"/>
                <w:sz w:val="16"/>
                <w:szCs w:val="16"/>
                <w:b w:val="1"/>
                <w:bCs w:val="1"/>
                <w:color w:val="auto"/>
              </w:rPr>
              <w:t>Transactions that do not represent cash flow</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Recognition of lease operations</w:t>
            </w:r>
          </w:p>
        </w:tc>
        <w:tc>
          <w:tcPr>
            <w:tcW w:w="1220" w:type="dxa"/>
            <w:vAlign w:val="bottom"/>
          </w:tcPr>
          <w:p>
            <w:pPr>
              <w:spacing w:after="0"/>
              <w:rPr>
                <w:sz w:val="15"/>
                <w:szCs w:val="15"/>
                <w:color w:val="auto"/>
              </w:rPr>
            </w:pPr>
          </w:p>
        </w:tc>
        <w:tc>
          <w:tcPr>
            <w:tcW w:w="1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45,463</w:t>
            </w:r>
          </w:p>
        </w:tc>
        <w:tc>
          <w:tcPr>
            <w:tcW w:w="120" w:type="dxa"/>
            <w:vAlign w:val="bottom"/>
          </w:tcPr>
          <w:p>
            <w:pPr>
              <w:spacing w:after="0"/>
              <w:rPr>
                <w:sz w:val="15"/>
                <w:szCs w:val="15"/>
                <w:color w:val="auto"/>
              </w:rPr>
            </w:pPr>
          </w:p>
        </w:tc>
        <w:tc>
          <w:tcPr>
            <w:tcW w:w="144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103,715</w:t>
            </w: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108,751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line="175" w:lineRule="exact"/>
              <w:rPr>
                <w:sz w:val="20"/>
                <w:szCs w:val="20"/>
                <w:color w:val="auto"/>
              </w:rPr>
            </w:pPr>
            <w:r>
              <w:rPr>
                <w:rFonts w:ascii="Arial" w:cs="Arial" w:eastAsia="Arial" w:hAnsi="Arial"/>
                <w:sz w:val="16"/>
                <w:szCs w:val="16"/>
                <w:color w:val="auto"/>
              </w:rPr>
              <w:t>Reclassification from investments at amortized cost to fair value with changes in</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80" w:type="dxa"/>
            <w:vAlign w:val="bottom"/>
          </w:tcPr>
          <w:p>
            <w:pPr>
              <w:ind w:left="140"/>
              <w:spacing w:after="0" w:line="175" w:lineRule="exact"/>
              <w:rPr>
                <w:sz w:val="20"/>
                <w:szCs w:val="20"/>
                <w:color w:val="auto"/>
              </w:rPr>
            </w:pPr>
            <w:r>
              <w:rPr>
                <w:rFonts w:ascii="Arial" w:cs="Arial" w:eastAsia="Arial" w:hAnsi="Arial"/>
                <w:sz w:val="16"/>
                <w:szCs w:val="16"/>
                <w:color w:val="auto"/>
              </w:rPr>
              <w:t>equity</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3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2,232,663</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6"/>
                <w:szCs w:val="16"/>
                <w:color w:val="auto"/>
              </w:rPr>
              <w:t>Sale option of minor shares of MiBanco Colombia</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(42,964)</w:t>
            </w:r>
          </w:p>
        </w:tc>
        <w:tc>
          <w:tcPr>
            <w:tcW w:w="0" w:type="dxa"/>
            <w:vAlign w:val="bottom"/>
          </w:tcPr>
          <w:p>
            <w:pPr>
              <w:spacing w:after="0"/>
              <w:rPr>
                <w:sz w:val="1"/>
                <w:szCs w:val="1"/>
                <w:color w:val="auto"/>
              </w:rPr>
            </w:pPr>
          </w:p>
        </w:tc>
      </w:tr>
      <w:tr>
        <w:trPr>
          <w:trHeight w:val="457"/>
        </w:trPr>
        <w:tc>
          <w:tcPr>
            <w:tcW w:w="6080" w:type="dxa"/>
            <w:vAlign w:val="bottom"/>
          </w:tcPr>
          <w:p>
            <w:pPr>
              <w:ind w:left="5520"/>
              <w:spacing w:after="0"/>
              <w:rPr>
                <w:sz w:val="20"/>
                <w:szCs w:val="20"/>
                <w:color w:val="auto"/>
              </w:rPr>
            </w:pPr>
            <w:r>
              <w:rPr>
                <w:rFonts w:ascii="Arial" w:cs="Arial" w:eastAsia="Arial" w:hAnsi="Arial"/>
                <w:sz w:val="12"/>
                <w:szCs w:val="12"/>
                <w:color w:val="auto"/>
              </w:rPr>
              <w:t>-17-</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0" w:type="dxa"/>
            <w:vAlign w:val="bottom"/>
            <w:gridSpan w:val="4"/>
          </w:tcPr>
          <w:p>
            <w:pPr>
              <w:spacing w:after="0"/>
              <w:rPr>
                <w:sz w:val="20"/>
                <w:szCs w:val="20"/>
                <w:color w:val="auto"/>
              </w:rPr>
            </w:pPr>
            <w:r>
              <w:rPr>
                <w:rFonts w:ascii="Arial" w:cs="Arial" w:eastAsia="Arial" w:hAnsi="Arial"/>
                <w:sz w:val="16"/>
                <w:szCs w:val="16"/>
                <w:color w:val="auto"/>
              </w:rPr>
              <w:t>CONSOLIDATED STATEMENT OF CASH FLOWS (continued)</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5000" w:type="dxa"/>
            <w:vAlign w:val="bottom"/>
            <w:gridSpan w:val="4"/>
          </w:tcPr>
          <w:p>
            <w:pPr>
              <w:spacing w:after="0"/>
              <w:rPr>
                <w:sz w:val="20"/>
                <w:szCs w:val="20"/>
                <w:color w:val="auto"/>
              </w:rPr>
            </w:pPr>
            <w:r>
              <w:rPr>
                <w:rFonts w:ascii="Arial" w:cs="Arial" w:eastAsia="Arial" w:hAnsi="Arial"/>
                <w:sz w:val="16"/>
                <w:szCs w:val="16"/>
                <w:b w:val="1"/>
                <w:bCs w:val="1"/>
                <w:color w:val="auto"/>
              </w:rPr>
              <w:t>Reconciliation of liabilities arising from financing activities:</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ind w:left="60"/>
              <w:spacing w:after="0"/>
              <w:rPr>
                <w:sz w:val="20"/>
                <w:szCs w:val="20"/>
                <w:color w:val="auto"/>
              </w:rPr>
            </w:pPr>
            <w:r>
              <w:rPr>
                <w:rFonts w:ascii="Arial" w:cs="Arial" w:eastAsia="Arial" w:hAnsi="Arial"/>
                <w:sz w:val="16"/>
                <w:szCs w:val="16"/>
                <w:b w:val="1"/>
                <w:bCs w:val="1"/>
                <w:color w:val="auto"/>
              </w:rPr>
              <w:t>Changes that generate</w:t>
            </w:r>
          </w:p>
        </w:tc>
        <w:tc>
          <w:tcPr>
            <w:tcW w:w="2500" w:type="dxa"/>
            <w:vAlign w:val="bottom"/>
            <w:gridSpan w:val="6"/>
          </w:tcPr>
          <w:p>
            <w:pPr>
              <w:spacing w:after="0"/>
              <w:rPr>
                <w:sz w:val="20"/>
                <w:szCs w:val="20"/>
                <w:color w:val="auto"/>
              </w:rPr>
            </w:pPr>
            <w:r>
              <w:rPr>
                <w:rFonts w:ascii="Arial" w:cs="Arial" w:eastAsia="Arial" w:hAnsi="Arial"/>
                <w:sz w:val="16"/>
                <w:szCs w:val="16"/>
                <w:b w:val="1"/>
                <w:bCs w:val="1"/>
                <w:color w:val="auto"/>
              </w:rPr>
              <w:t>Changes that do not generate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 of January</w:t>
            </w: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flows</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cash flows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8"/>
              </w:rPr>
              <w:t>As of December</w:t>
            </w:r>
          </w:p>
        </w:tc>
        <w:tc>
          <w:tcPr>
            <w:tcW w:w="0" w:type="dxa"/>
            <w:vAlign w:val="bottom"/>
          </w:tcPr>
          <w:p>
            <w:pPr>
              <w:spacing w:after="0"/>
              <w:rPr>
                <w:sz w:val="1"/>
                <w:szCs w:val="1"/>
                <w:color w:val="auto"/>
              </w:rPr>
            </w:pPr>
          </w:p>
        </w:tc>
      </w:tr>
      <w:tr>
        <w:trPr>
          <w:trHeight w:val="150"/>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1, 2024</w:t>
            </w:r>
          </w:p>
        </w:tc>
        <w:tc>
          <w:tcPr>
            <w:tcW w:w="8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Received</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Paid</w:t>
            </w: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difference</w:t>
            </w:r>
          </w:p>
        </w:tc>
        <w:tc>
          <w:tcPr>
            <w:tcW w:w="1320" w:type="dxa"/>
            <w:vAlign w:val="bottom"/>
            <w:gridSpan w:val="3"/>
          </w:tcPr>
          <w:p>
            <w:pPr>
              <w:ind w:left="80"/>
              <w:spacing w:after="0"/>
              <w:rPr>
                <w:sz w:val="20"/>
                <w:szCs w:val="20"/>
                <w:color w:val="auto"/>
              </w:rPr>
            </w:pPr>
            <w:r>
              <w:rPr>
                <w:rFonts w:ascii="Arial" w:cs="Arial" w:eastAsia="Arial" w:hAnsi="Arial"/>
                <w:sz w:val="16"/>
                <w:szCs w:val="16"/>
                <w:b w:val="1"/>
                <w:bCs w:val="1"/>
                <w:color w:val="auto"/>
              </w:rPr>
              <w:t>Others</w:t>
            </w:r>
          </w:p>
        </w:tc>
        <w:tc>
          <w:tcPr>
            <w:tcW w:w="1200" w:type="dxa"/>
            <w:vAlign w:val="bottom"/>
          </w:tcPr>
          <w:p>
            <w:pPr>
              <w:jc w:val="right"/>
              <w:ind w:right="462"/>
              <w:spacing w:after="0"/>
              <w:rPr>
                <w:sz w:val="20"/>
                <w:szCs w:val="20"/>
                <w:color w:val="auto"/>
              </w:rPr>
            </w:pPr>
            <w:r>
              <w:rPr>
                <w:rFonts w:ascii="Arial" w:cs="Arial" w:eastAsia="Arial" w:hAnsi="Arial"/>
                <w:sz w:val="16"/>
                <w:szCs w:val="16"/>
                <w:b w:val="1"/>
                <w:bCs w:val="1"/>
                <w:color w:val="auto"/>
              </w:rPr>
              <w:t>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800" w:type="dxa"/>
            <w:vAlign w:val="bottom"/>
            <w:gridSpan w:val="2"/>
          </w:tcPr>
          <w:p>
            <w:pPr>
              <w:spacing w:after="0"/>
              <w:rPr>
                <w:sz w:val="20"/>
                <w:szCs w:val="20"/>
                <w:color w:val="auto"/>
              </w:rPr>
            </w:pPr>
            <w:r>
              <w:rPr>
                <w:rFonts w:ascii="Arial" w:cs="Arial" w:eastAsia="Arial" w:hAnsi="Arial"/>
                <w:sz w:val="16"/>
                <w:szCs w:val="16"/>
                <w:color w:val="auto"/>
              </w:rPr>
              <w:t>Subordinated bonds</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5,680,120</w:t>
            </w: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2,284,200</w:t>
            </w:r>
          </w:p>
        </w:tc>
        <w:tc>
          <w:tcPr>
            <w:tcW w:w="124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48,509</w:t>
            </w: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3,883</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8,016,712</w:t>
            </w:r>
          </w:p>
        </w:tc>
        <w:tc>
          <w:tcPr>
            <w:tcW w:w="0" w:type="dxa"/>
            <w:vAlign w:val="bottom"/>
          </w:tcPr>
          <w:p>
            <w:pPr>
              <w:spacing w:after="0"/>
              <w:rPr>
                <w:sz w:val="1"/>
                <w:szCs w:val="1"/>
                <w:color w:val="auto"/>
              </w:rPr>
            </w:pPr>
          </w:p>
        </w:tc>
      </w:tr>
      <w:tr>
        <w:trPr>
          <w:trHeight w:val="201"/>
        </w:trPr>
        <w:tc>
          <w:tcPr>
            <w:tcW w:w="3800" w:type="dxa"/>
            <w:vAlign w:val="bottom"/>
            <w:gridSpan w:val="2"/>
          </w:tcPr>
          <w:p>
            <w:pPr>
              <w:spacing w:after="0"/>
              <w:rPr>
                <w:sz w:val="20"/>
                <w:szCs w:val="20"/>
                <w:color w:val="auto"/>
              </w:rPr>
            </w:pPr>
            <w:r>
              <w:rPr>
                <w:rFonts w:ascii="Arial" w:cs="Arial" w:eastAsia="Arial" w:hAnsi="Arial"/>
                <w:sz w:val="16"/>
                <w:szCs w:val="16"/>
                <w:color w:val="auto"/>
              </w:rPr>
              <w:t>Lease liabilities</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512,579</w:t>
            </w:r>
          </w:p>
        </w:tc>
        <w:tc>
          <w:tcPr>
            <w:tcW w:w="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(175,521)</w:t>
            </w:r>
          </w:p>
        </w:tc>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3,986</w:t>
            </w: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63,773</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404,817</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ind w:left="440"/>
              <w:spacing w:after="0" w:line="167" w:lineRule="exact"/>
              <w:rPr>
                <w:sz w:val="20"/>
                <w:szCs w:val="20"/>
                <w:color w:val="auto"/>
              </w:rPr>
            </w:pPr>
            <w:r>
              <w:rPr>
                <w:rFonts w:ascii="Arial" w:cs="Arial" w:eastAsia="Arial" w:hAnsi="Arial"/>
                <w:sz w:val="16"/>
                <w:szCs w:val="16"/>
                <w:color w:val="auto"/>
                <w:w w:val="92"/>
              </w:rPr>
              <w:t>6,192,699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2,284,200</w:t>
            </w:r>
          </w:p>
        </w:tc>
        <w:tc>
          <w:tcPr>
            <w:tcW w:w="1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(175,521)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52,495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67,656</w:t>
            </w:r>
          </w:p>
        </w:tc>
        <w:tc>
          <w:tcPr>
            <w:tcW w:w="14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8,421,529</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ind w:left="60"/>
              <w:spacing w:after="0"/>
              <w:rPr>
                <w:sz w:val="20"/>
                <w:szCs w:val="20"/>
                <w:color w:val="auto"/>
              </w:rPr>
            </w:pPr>
            <w:r>
              <w:rPr>
                <w:rFonts w:ascii="Arial" w:cs="Arial" w:eastAsia="Arial" w:hAnsi="Arial"/>
                <w:sz w:val="16"/>
                <w:szCs w:val="16"/>
                <w:b w:val="1"/>
                <w:bCs w:val="1"/>
                <w:color w:val="auto"/>
              </w:rPr>
              <w:t>Changes that generate</w:t>
            </w:r>
          </w:p>
        </w:tc>
        <w:tc>
          <w:tcPr>
            <w:tcW w:w="2500" w:type="dxa"/>
            <w:vAlign w:val="bottom"/>
            <w:gridSpan w:val="6"/>
          </w:tcPr>
          <w:p>
            <w:pPr>
              <w:spacing w:after="0"/>
              <w:rPr>
                <w:sz w:val="20"/>
                <w:szCs w:val="20"/>
                <w:color w:val="auto"/>
              </w:rPr>
            </w:pPr>
            <w:r>
              <w:rPr>
                <w:rFonts w:ascii="Arial" w:cs="Arial" w:eastAsia="Arial" w:hAnsi="Arial"/>
                <w:sz w:val="16"/>
                <w:szCs w:val="16"/>
                <w:b w:val="1"/>
                <w:bCs w:val="1"/>
                <w:color w:val="auto"/>
              </w:rPr>
              <w:t>Changes that do not generate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 of January</w:t>
            </w: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flows</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cash flows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8"/>
              </w:rPr>
              <w:t>As of December</w:t>
            </w:r>
          </w:p>
        </w:tc>
        <w:tc>
          <w:tcPr>
            <w:tcW w:w="0" w:type="dxa"/>
            <w:vAlign w:val="bottom"/>
          </w:tcPr>
          <w:p>
            <w:pPr>
              <w:spacing w:after="0"/>
              <w:rPr>
                <w:sz w:val="1"/>
                <w:szCs w:val="1"/>
                <w:color w:val="auto"/>
              </w:rPr>
            </w:pPr>
          </w:p>
        </w:tc>
      </w:tr>
      <w:tr>
        <w:trPr>
          <w:trHeight w:val="150"/>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1, 2023</w:t>
            </w:r>
          </w:p>
        </w:tc>
        <w:tc>
          <w:tcPr>
            <w:tcW w:w="8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Received</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Paid</w:t>
            </w: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difference</w:t>
            </w:r>
          </w:p>
        </w:tc>
        <w:tc>
          <w:tcPr>
            <w:tcW w:w="1320" w:type="dxa"/>
            <w:vAlign w:val="bottom"/>
            <w:gridSpan w:val="3"/>
          </w:tcPr>
          <w:p>
            <w:pPr>
              <w:ind w:left="80"/>
              <w:spacing w:after="0"/>
              <w:rPr>
                <w:sz w:val="20"/>
                <w:szCs w:val="20"/>
                <w:color w:val="auto"/>
              </w:rPr>
            </w:pPr>
            <w:r>
              <w:rPr>
                <w:rFonts w:ascii="Arial" w:cs="Arial" w:eastAsia="Arial" w:hAnsi="Arial"/>
                <w:sz w:val="16"/>
                <w:szCs w:val="16"/>
                <w:b w:val="1"/>
                <w:bCs w:val="1"/>
                <w:color w:val="auto"/>
              </w:rPr>
              <w:t>Others</w:t>
            </w:r>
          </w:p>
        </w:tc>
        <w:tc>
          <w:tcPr>
            <w:tcW w:w="1200" w:type="dxa"/>
            <w:vAlign w:val="bottom"/>
          </w:tcPr>
          <w:p>
            <w:pPr>
              <w:jc w:val="right"/>
              <w:ind w:right="462"/>
              <w:spacing w:after="0"/>
              <w:rPr>
                <w:sz w:val="20"/>
                <w:szCs w:val="20"/>
                <w:color w:val="auto"/>
              </w:rPr>
            </w:pPr>
            <w:r>
              <w:rPr>
                <w:rFonts w:ascii="Arial" w:cs="Arial" w:eastAsia="Arial" w:hAnsi="Arial"/>
                <w:sz w:val="16"/>
                <w:szCs w:val="16"/>
                <w:b w:val="1"/>
                <w:bCs w:val="1"/>
                <w:color w:val="auto"/>
              </w:rPr>
              <w:t>31, 2023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1"/>
        </w:trPr>
        <w:tc>
          <w:tcPr>
            <w:tcW w:w="3800" w:type="dxa"/>
            <w:vAlign w:val="bottom"/>
            <w:gridSpan w:val="2"/>
          </w:tcPr>
          <w:p>
            <w:pPr>
              <w:spacing w:after="0"/>
              <w:rPr>
                <w:sz w:val="20"/>
                <w:szCs w:val="20"/>
                <w:color w:val="auto"/>
              </w:rPr>
            </w:pPr>
            <w:r>
              <w:rPr>
                <w:rFonts w:ascii="Arial" w:cs="Arial" w:eastAsia="Arial" w:hAnsi="Arial"/>
                <w:sz w:val="16"/>
                <w:szCs w:val="16"/>
                <w:color w:val="auto"/>
              </w:rPr>
              <w:t>Subordinated bonds</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5,738,414</w:t>
            </w: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284,944</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(222,900)</w:t>
            </w:r>
          </w:p>
        </w:tc>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(150,568)</w:t>
            </w: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30,230</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5,680,120</w:t>
            </w:r>
          </w:p>
        </w:tc>
        <w:tc>
          <w:tcPr>
            <w:tcW w:w="0" w:type="dxa"/>
            <w:vAlign w:val="bottom"/>
          </w:tcPr>
          <w:p>
            <w:pPr>
              <w:spacing w:after="0"/>
              <w:rPr>
                <w:sz w:val="1"/>
                <w:szCs w:val="1"/>
                <w:color w:val="auto"/>
              </w:rPr>
            </w:pPr>
          </w:p>
        </w:tc>
      </w:tr>
      <w:tr>
        <w:trPr>
          <w:trHeight w:val="201"/>
        </w:trPr>
        <w:tc>
          <w:tcPr>
            <w:tcW w:w="3800" w:type="dxa"/>
            <w:vAlign w:val="bottom"/>
            <w:gridSpan w:val="2"/>
          </w:tcPr>
          <w:p>
            <w:pPr>
              <w:spacing w:after="0"/>
              <w:rPr>
                <w:sz w:val="20"/>
                <w:szCs w:val="20"/>
                <w:color w:val="auto"/>
              </w:rPr>
            </w:pPr>
            <w:r>
              <w:rPr>
                <w:rFonts w:ascii="Arial" w:cs="Arial" w:eastAsia="Arial" w:hAnsi="Arial"/>
                <w:sz w:val="16"/>
                <w:szCs w:val="16"/>
                <w:color w:val="auto"/>
              </w:rPr>
              <w:t>Lease liabilities</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578,074</w:t>
            </w:r>
          </w:p>
        </w:tc>
        <w:tc>
          <w:tcPr>
            <w:tcW w:w="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(182,960)</w:t>
            </w:r>
          </w:p>
        </w:tc>
        <w:tc>
          <w:tcPr>
            <w:tcW w:w="1180" w:type="dxa"/>
            <w:vAlign w:val="bottom"/>
            <w:gridSpan w:val="3"/>
          </w:tcPr>
          <w:p>
            <w:pPr>
              <w:jc w:val="right"/>
              <w:ind w:right="60"/>
              <w:spacing w:after="0"/>
              <w:rPr>
                <w:sz w:val="20"/>
                <w:szCs w:val="20"/>
                <w:color w:val="auto"/>
              </w:rPr>
            </w:pPr>
            <w:r>
              <w:rPr>
                <w:rFonts w:ascii="Arial" w:cs="Arial" w:eastAsia="Arial" w:hAnsi="Arial"/>
                <w:sz w:val="16"/>
                <w:szCs w:val="16"/>
                <w:color w:val="auto"/>
              </w:rPr>
              <w:t>(8,627)</w:t>
            </w:r>
          </w:p>
        </w:tc>
        <w:tc>
          <w:tcPr>
            <w:tcW w:w="1320" w:type="dxa"/>
            <w:vAlign w:val="bottom"/>
            <w:gridSpan w:val="3"/>
          </w:tcPr>
          <w:p>
            <w:pPr>
              <w:jc w:val="right"/>
              <w:ind w:right="140"/>
              <w:spacing w:after="0"/>
              <w:rPr>
                <w:sz w:val="20"/>
                <w:szCs w:val="20"/>
                <w:color w:val="auto"/>
              </w:rPr>
            </w:pPr>
            <w:r>
              <w:rPr>
                <w:rFonts w:ascii="Arial" w:cs="Arial" w:eastAsia="Arial" w:hAnsi="Arial"/>
                <w:sz w:val="16"/>
                <w:szCs w:val="16"/>
                <w:color w:val="auto"/>
              </w:rPr>
              <w:t>126,092</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512,579</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ind w:left="440"/>
              <w:spacing w:after="0" w:line="167" w:lineRule="exact"/>
              <w:rPr>
                <w:sz w:val="20"/>
                <w:szCs w:val="20"/>
                <w:color w:val="auto"/>
              </w:rPr>
            </w:pPr>
            <w:r>
              <w:rPr>
                <w:rFonts w:ascii="Arial" w:cs="Arial" w:eastAsia="Arial" w:hAnsi="Arial"/>
                <w:sz w:val="16"/>
                <w:szCs w:val="16"/>
                <w:color w:val="auto"/>
                <w:w w:val="92"/>
              </w:rPr>
              <w:t>6,316,488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284,944</w:t>
            </w:r>
          </w:p>
        </w:tc>
        <w:tc>
          <w:tcPr>
            <w:tcW w:w="1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(405,860)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(159,195)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156,322</w:t>
            </w:r>
          </w:p>
        </w:tc>
        <w:tc>
          <w:tcPr>
            <w:tcW w:w="14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6,192,699</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5"/>
          </w:tcPr>
          <w:p>
            <w:pPr>
              <w:ind w:left="60"/>
              <w:spacing w:after="0"/>
              <w:rPr>
                <w:sz w:val="20"/>
                <w:szCs w:val="20"/>
                <w:color w:val="auto"/>
              </w:rPr>
            </w:pPr>
            <w:r>
              <w:rPr>
                <w:rFonts w:ascii="Arial" w:cs="Arial" w:eastAsia="Arial" w:hAnsi="Arial"/>
                <w:sz w:val="16"/>
                <w:szCs w:val="16"/>
                <w:b w:val="1"/>
                <w:bCs w:val="1"/>
                <w:color w:val="auto"/>
              </w:rPr>
              <w:t>Changes that generate</w:t>
            </w:r>
          </w:p>
        </w:tc>
        <w:tc>
          <w:tcPr>
            <w:tcW w:w="2500" w:type="dxa"/>
            <w:vAlign w:val="bottom"/>
            <w:gridSpan w:val="6"/>
          </w:tcPr>
          <w:p>
            <w:pPr>
              <w:spacing w:after="0"/>
              <w:rPr>
                <w:sz w:val="20"/>
                <w:szCs w:val="20"/>
                <w:color w:val="auto"/>
              </w:rPr>
            </w:pPr>
            <w:r>
              <w:rPr>
                <w:rFonts w:ascii="Arial" w:cs="Arial" w:eastAsia="Arial" w:hAnsi="Arial"/>
                <w:sz w:val="16"/>
                <w:szCs w:val="16"/>
                <w:b w:val="1"/>
                <w:bCs w:val="1"/>
                <w:color w:val="auto"/>
              </w:rPr>
              <w:t>Changes that do not generate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 of January</w:t>
            </w: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cash flows</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cash flows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8"/>
              </w:rPr>
              <w:t>As of December</w:t>
            </w:r>
          </w:p>
        </w:tc>
        <w:tc>
          <w:tcPr>
            <w:tcW w:w="0" w:type="dxa"/>
            <w:vAlign w:val="bottom"/>
          </w:tcPr>
          <w:p>
            <w:pPr>
              <w:spacing w:after="0"/>
              <w:rPr>
                <w:sz w:val="1"/>
                <w:szCs w:val="1"/>
                <w:color w:val="auto"/>
              </w:rPr>
            </w:pPr>
          </w:p>
        </w:tc>
      </w:tr>
      <w:tr>
        <w:trPr>
          <w:trHeight w:val="150"/>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1, 2022</w:t>
            </w:r>
          </w:p>
        </w:tc>
        <w:tc>
          <w:tcPr>
            <w:tcW w:w="80" w:type="dxa"/>
            <w:vAlign w:val="bottom"/>
          </w:tcPr>
          <w:p>
            <w:pPr>
              <w:spacing w:after="0"/>
              <w:rPr>
                <w:sz w:val="16"/>
                <w:szCs w:val="16"/>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Received</w:t>
            </w: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Paid</w:t>
            </w: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difference</w:t>
            </w:r>
          </w:p>
        </w:tc>
        <w:tc>
          <w:tcPr>
            <w:tcW w:w="1320" w:type="dxa"/>
            <w:vAlign w:val="bottom"/>
            <w:gridSpan w:val="3"/>
          </w:tcPr>
          <w:p>
            <w:pPr>
              <w:ind w:left="80"/>
              <w:spacing w:after="0"/>
              <w:rPr>
                <w:sz w:val="20"/>
                <w:szCs w:val="20"/>
                <w:color w:val="auto"/>
              </w:rPr>
            </w:pPr>
            <w:r>
              <w:rPr>
                <w:rFonts w:ascii="Arial" w:cs="Arial" w:eastAsia="Arial" w:hAnsi="Arial"/>
                <w:sz w:val="16"/>
                <w:szCs w:val="16"/>
                <w:b w:val="1"/>
                <w:bCs w:val="1"/>
                <w:color w:val="auto"/>
              </w:rPr>
              <w:t>Others</w:t>
            </w:r>
          </w:p>
        </w:tc>
        <w:tc>
          <w:tcPr>
            <w:tcW w:w="1200" w:type="dxa"/>
            <w:vAlign w:val="bottom"/>
          </w:tcPr>
          <w:p>
            <w:pPr>
              <w:jc w:val="right"/>
              <w:ind w:right="462"/>
              <w:spacing w:after="0"/>
              <w:rPr>
                <w:sz w:val="20"/>
                <w:szCs w:val="20"/>
                <w:color w:val="auto"/>
              </w:rPr>
            </w:pPr>
            <w:r>
              <w:rPr>
                <w:rFonts w:ascii="Arial" w:cs="Arial" w:eastAsia="Arial" w:hAnsi="Arial"/>
                <w:sz w:val="16"/>
                <w:szCs w:val="16"/>
                <w:b w:val="1"/>
                <w:bCs w:val="1"/>
                <w:color w:val="auto"/>
              </w:rPr>
              <w:t>31, 2022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11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12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00" w:type="dxa"/>
            <w:vAlign w:val="bottom"/>
            <w:gridSpan w:val="2"/>
          </w:tcPr>
          <w:p>
            <w:pPr>
              <w:spacing w:after="0" w:line="175" w:lineRule="exact"/>
              <w:rPr>
                <w:sz w:val="20"/>
                <w:szCs w:val="20"/>
                <w:color w:val="auto"/>
              </w:rPr>
            </w:pPr>
            <w:r>
              <w:rPr>
                <w:rFonts w:ascii="Arial" w:cs="Arial" w:eastAsia="Arial" w:hAnsi="Arial"/>
                <w:sz w:val="16"/>
                <w:szCs w:val="16"/>
                <w:color w:val="auto"/>
              </w:rPr>
              <w:t>Subordinated bonds</w:t>
            </w:r>
          </w:p>
        </w:tc>
        <w:tc>
          <w:tcPr>
            <w:tcW w:w="12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6,061,301</w:t>
            </w:r>
          </w:p>
        </w:tc>
        <w:tc>
          <w:tcPr>
            <w:tcW w:w="60" w:type="dxa"/>
            <w:vAlign w:val="bottom"/>
          </w:tcPr>
          <w:p>
            <w:pPr>
              <w:spacing w:after="0"/>
              <w:rPr>
                <w:sz w:val="15"/>
                <w:szCs w:val="15"/>
                <w:color w:val="auto"/>
              </w:rPr>
            </w:pPr>
          </w:p>
        </w:tc>
        <w:tc>
          <w:tcPr>
            <w:tcW w:w="126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(94,700)</w:t>
            </w:r>
          </w:p>
        </w:tc>
        <w:tc>
          <w:tcPr>
            <w:tcW w:w="11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(253,293)</w:t>
            </w:r>
          </w:p>
        </w:tc>
        <w:tc>
          <w:tcPr>
            <w:tcW w:w="132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25,106</w:t>
            </w:r>
          </w:p>
        </w:tc>
        <w:tc>
          <w:tcPr>
            <w:tcW w:w="12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5,738,414</w:t>
            </w:r>
          </w:p>
        </w:tc>
        <w:tc>
          <w:tcPr>
            <w:tcW w:w="0" w:type="dxa"/>
            <w:vAlign w:val="bottom"/>
          </w:tcPr>
          <w:p>
            <w:pPr>
              <w:spacing w:after="0"/>
              <w:rPr>
                <w:sz w:val="1"/>
                <w:szCs w:val="1"/>
                <w:color w:val="auto"/>
              </w:rPr>
            </w:pPr>
          </w:p>
        </w:tc>
      </w:tr>
      <w:tr>
        <w:trPr>
          <w:trHeight w:val="201"/>
        </w:trPr>
        <w:tc>
          <w:tcPr>
            <w:tcW w:w="3800" w:type="dxa"/>
            <w:vAlign w:val="bottom"/>
            <w:gridSpan w:val="2"/>
          </w:tcPr>
          <w:p>
            <w:pPr>
              <w:spacing w:after="0"/>
              <w:rPr>
                <w:sz w:val="20"/>
                <w:szCs w:val="20"/>
                <w:color w:val="auto"/>
              </w:rPr>
            </w:pPr>
            <w:r>
              <w:rPr>
                <w:rFonts w:ascii="Arial" w:cs="Arial" w:eastAsia="Arial" w:hAnsi="Arial"/>
                <w:sz w:val="16"/>
                <w:szCs w:val="16"/>
                <w:color w:val="auto"/>
              </w:rPr>
              <w:t>Lease liabilities</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655,294</w:t>
            </w:r>
          </w:p>
        </w:tc>
        <w:tc>
          <w:tcPr>
            <w:tcW w:w="6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(181,583)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(14,782)</w:t>
            </w:r>
          </w:p>
        </w:tc>
        <w:tc>
          <w:tcPr>
            <w:tcW w:w="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119,145</w:t>
            </w: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578,074</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ind w:left="440"/>
              <w:spacing w:after="0" w:line="167" w:lineRule="exact"/>
              <w:rPr>
                <w:sz w:val="20"/>
                <w:szCs w:val="20"/>
                <w:color w:val="auto"/>
              </w:rPr>
            </w:pPr>
            <w:r>
              <w:rPr>
                <w:rFonts w:ascii="Arial" w:cs="Arial" w:eastAsia="Arial" w:hAnsi="Arial"/>
                <w:sz w:val="16"/>
                <w:szCs w:val="16"/>
                <w:color w:val="auto"/>
                <w:w w:val="92"/>
              </w:rPr>
              <w:t>6,716,595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(276,283)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(268,075)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144,251</w:t>
            </w:r>
          </w:p>
        </w:tc>
        <w:tc>
          <w:tcPr>
            <w:tcW w:w="140" w:type="dxa"/>
            <w:vAlign w:val="bottom"/>
          </w:tcPr>
          <w:p>
            <w:pPr>
              <w:spacing w:after="0"/>
              <w:rPr>
                <w:sz w:val="14"/>
                <w:szCs w:val="14"/>
                <w:color w:val="auto"/>
              </w:rPr>
            </w:pPr>
          </w:p>
        </w:tc>
        <w:tc>
          <w:tcPr>
            <w:tcW w:w="122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6,316,488</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1" w:name="page22"/>
    <w:bookmarkEnd w:id="21"/>
    <w:p>
      <w:pPr>
        <w:ind w:left="7"/>
        <w:spacing w:after="0"/>
        <w:rPr>
          <w:sz w:val="20"/>
          <w:szCs w:val="20"/>
          <w:color w:val="auto"/>
        </w:rPr>
      </w:pPr>
      <w:r>
        <w:rPr>
          <w:rFonts w:ascii="Arial" w:cs="Arial" w:eastAsia="Arial" w:hAnsi="Arial"/>
          <w:sz w:val="16"/>
          <w:szCs w:val="16"/>
          <w:b w:val="1"/>
          <w:bCs w:val="1"/>
          <w:color w:val="auto"/>
        </w:rPr>
        <w:t>CREDICORP LTD. AND SUBSIDIARIES</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6"/>
          <w:szCs w:val="16"/>
          <w:color w:val="auto"/>
        </w:rPr>
        <w:t>NOTES TO THE CONSOLIDATED FINANCIAL STATEMENTS</w:t>
      </w:r>
    </w:p>
    <w:p>
      <w:pPr>
        <w:spacing w:after="0" w:line="5" w:lineRule="exact"/>
        <w:rPr>
          <w:sz w:val="20"/>
          <w:szCs w:val="20"/>
          <w:color w:val="auto"/>
        </w:rPr>
      </w:pPr>
    </w:p>
    <w:p>
      <w:pPr>
        <w:ind w:left="7"/>
        <w:spacing w:after="0"/>
        <w:rPr>
          <w:sz w:val="20"/>
          <w:szCs w:val="20"/>
          <w:color w:val="auto"/>
        </w:rPr>
      </w:pPr>
      <w:r>
        <w:rPr>
          <w:rFonts w:ascii="Arial" w:cs="Arial" w:eastAsia="Arial" w:hAnsi="Arial"/>
          <w:sz w:val="16"/>
          <w:szCs w:val="16"/>
          <w:color w:val="auto"/>
        </w:rPr>
        <w:t>AS OF DECEMBER 31, 2024 AND 2023</w:t>
      </w:r>
    </w:p>
    <w:p>
      <w:pPr>
        <w:spacing w:after="0" w:line="150" w:lineRule="exact"/>
        <w:rPr>
          <w:sz w:val="20"/>
          <w:szCs w:val="20"/>
          <w:color w:val="auto"/>
        </w:rPr>
      </w:pPr>
    </w:p>
    <w:p>
      <w:pPr>
        <w:ind w:left="567" w:hanging="567"/>
        <w:spacing w:after="0"/>
        <w:tabs>
          <w:tab w:leader="none" w:pos="56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OPERATIONS</w:t>
      </w:r>
    </w:p>
    <w:p>
      <w:pPr>
        <w:spacing w:after="0" w:line="168" w:lineRule="exact"/>
        <w:rPr>
          <w:rFonts w:ascii="Arial" w:cs="Arial" w:eastAsia="Arial" w:hAnsi="Arial"/>
          <w:sz w:val="16"/>
          <w:szCs w:val="16"/>
          <w:b w:val="1"/>
          <w:bCs w:val="1"/>
          <w:color w:val="auto"/>
        </w:rPr>
      </w:pPr>
    </w:p>
    <w:p>
      <w:pPr>
        <w:ind w:left="567"/>
        <w:spacing w:after="0" w:line="238" w:lineRule="auto"/>
        <w:rPr>
          <w:rFonts w:ascii="Arial" w:cs="Arial" w:eastAsia="Arial" w:hAnsi="Arial"/>
          <w:sz w:val="16"/>
          <w:szCs w:val="16"/>
          <w:b w:val="1"/>
          <w:bCs w:val="1"/>
          <w:color w:val="auto"/>
        </w:rPr>
      </w:pPr>
      <w:r>
        <w:rPr>
          <w:rFonts w:ascii="Arial" w:cs="Arial" w:eastAsia="Arial" w:hAnsi="Arial"/>
          <w:sz w:val="16"/>
          <w:szCs w:val="16"/>
          <w:color w:val="auto"/>
        </w:rPr>
        <w:t>Credicorp Ltd. (hereinafter “Credicorp” or the “Group”) is a limited liability company incorporated in Bermuda in 1995 to act as a holding company and according to Bermuda's economic substance regulation, Credicorp Ltd. as an independent legal entity, is considered a “Pure Equity Holding Entity” (PEHE). Credicorp's activity is to maintain equity interests and receive passive income such as dividends, capital gains and other income from investments in securities.</w:t>
      </w:r>
    </w:p>
    <w:p>
      <w:pPr>
        <w:spacing w:after="0" w:line="145" w:lineRule="exact"/>
        <w:rPr>
          <w:rFonts w:ascii="Arial" w:cs="Arial" w:eastAsia="Arial" w:hAnsi="Arial"/>
          <w:sz w:val="16"/>
          <w:szCs w:val="16"/>
          <w:b w:val="1"/>
          <w:bCs w:val="1"/>
          <w:color w:val="auto"/>
        </w:rPr>
      </w:pPr>
    </w:p>
    <w:p>
      <w:pPr>
        <w:ind w:left="567" w:right="20"/>
        <w:spacing w:after="0" w:line="233" w:lineRule="auto"/>
        <w:rPr>
          <w:rFonts w:ascii="Arial" w:cs="Arial" w:eastAsia="Arial" w:hAnsi="Arial"/>
          <w:sz w:val="16"/>
          <w:szCs w:val="16"/>
          <w:b w:val="1"/>
          <w:bCs w:val="1"/>
          <w:color w:val="auto"/>
        </w:rPr>
      </w:pPr>
      <w:r>
        <w:rPr>
          <w:rFonts w:ascii="Arial" w:cs="Arial" w:eastAsia="Arial" w:hAnsi="Arial"/>
          <w:sz w:val="16"/>
          <w:szCs w:val="16"/>
          <w:color w:val="auto"/>
        </w:rPr>
        <w:t>In order to keep Credicorp's structure and organization fully aligned with the new legislation on economic substance approved by the Government of Bermuda on January 11, 2019, as of October 29, 2020, the decisions of the Credicorp Board of Directors will be limited to issues related to Credicorp's strategy, objectives and goals, main action plans and policies, risk control and management, annual budgets, business plans and control of their implementation, supervision of the main expenses, investments, acquisitions and disposals, among other “passive” decisions related to Credicorp. The authority to make decisions applicable to Credicorp's subsidiaries, such as the adoption of relevant strategic or management decisions, the assumption of expenses for the benefit of its affiliates, the coordination of group activities, and the granting of credit facilities in favor of its affiliates, it has been transferred to Grupo Crédito S.A., a subsidiary of Credicorp.</w:t>
      </w:r>
    </w:p>
    <w:p>
      <w:pPr>
        <w:spacing w:after="0" w:line="150" w:lineRule="exact"/>
        <w:rPr>
          <w:rFonts w:ascii="Arial" w:cs="Arial" w:eastAsia="Arial" w:hAnsi="Arial"/>
          <w:sz w:val="16"/>
          <w:szCs w:val="16"/>
          <w:b w:val="1"/>
          <w:bCs w:val="1"/>
          <w:color w:val="auto"/>
        </w:rPr>
      </w:pPr>
    </w:p>
    <w:p>
      <w:pPr>
        <w:jc w:val="both"/>
        <w:ind w:left="567" w:right="20"/>
        <w:spacing w:after="0" w:line="241" w:lineRule="auto"/>
        <w:rPr>
          <w:rFonts w:ascii="Arial" w:cs="Arial" w:eastAsia="Arial" w:hAnsi="Arial"/>
          <w:sz w:val="16"/>
          <w:szCs w:val="16"/>
          <w:b w:val="1"/>
          <w:bCs w:val="1"/>
          <w:color w:val="auto"/>
        </w:rPr>
      </w:pPr>
      <w:r>
        <w:rPr>
          <w:rFonts w:ascii="Arial" w:cs="Arial" w:eastAsia="Arial" w:hAnsi="Arial"/>
          <w:sz w:val="16"/>
          <w:szCs w:val="16"/>
          <w:color w:val="auto"/>
        </w:rPr>
        <w:t>Credicorp, through its banking and non-banking subsidiaries and its associate Pacífico S.A. Entidad Prestadora de Salud (hereinafter Pacífico EPS), offers a wide range of financial, insurance and health services and products, mainly throughout Peru and in other countries (see Note 3 (b)). Its main subsidiary is Banco de Crédito del Perú (hereinafter “BCP” or the “Bank”), a multiple bank incorporated in Perú.</w:t>
      </w:r>
    </w:p>
    <w:p>
      <w:pPr>
        <w:spacing w:after="0" w:line="145" w:lineRule="exact"/>
        <w:rPr>
          <w:rFonts w:ascii="Arial" w:cs="Arial" w:eastAsia="Arial" w:hAnsi="Arial"/>
          <w:sz w:val="16"/>
          <w:szCs w:val="16"/>
          <w:b w:val="1"/>
          <w:bCs w:val="1"/>
          <w:color w:val="auto"/>
        </w:rPr>
      </w:pPr>
    </w:p>
    <w:p>
      <w:pPr>
        <w:ind w:left="567" w:right="48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Credicorp's legal address is Clarendon House 2 Church Street Hamilton, Bermuda; likewise, the main offices from where Credicorp's businesses are managed are located at Calle Centenario N ° 156, La Molina, Lima, Perú.</w:t>
      </w:r>
    </w:p>
    <w:p>
      <w:pPr>
        <w:spacing w:after="0" w:line="134" w:lineRule="exact"/>
        <w:rPr>
          <w:rFonts w:ascii="Arial" w:cs="Arial" w:eastAsia="Arial" w:hAnsi="Arial"/>
          <w:sz w:val="16"/>
          <w:szCs w:val="16"/>
          <w:b w:val="1"/>
          <w:bCs w:val="1"/>
          <w:color w:val="auto"/>
        </w:rPr>
      </w:pPr>
    </w:p>
    <w:p>
      <w:pPr>
        <w:ind w:left="567" w:right="20"/>
        <w:spacing w:after="0" w:line="236" w:lineRule="auto"/>
        <w:rPr>
          <w:rFonts w:ascii="Arial" w:cs="Arial" w:eastAsia="Arial" w:hAnsi="Arial"/>
          <w:sz w:val="16"/>
          <w:szCs w:val="16"/>
          <w:b w:val="1"/>
          <w:bCs w:val="1"/>
          <w:color w:val="auto"/>
        </w:rPr>
      </w:pPr>
      <w:r>
        <w:rPr>
          <w:rFonts w:ascii="Arial" w:cs="Arial" w:eastAsia="Arial" w:hAnsi="Arial"/>
          <w:sz w:val="16"/>
          <w:szCs w:val="16"/>
          <w:color w:val="auto"/>
        </w:rPr>
        <w:t>The consolidated financial statements as of December 31, 2023, and for the year ended on that date were approved and authorized for issuance by the Board of Directors and Management on February 29, 2024, and presented for the Annual General Shareholders Meeting on March 27, 2024. The consolidated financial statements as of December 31, 2024, and for the year ended on that date, were approved by the Management on February 27,2025, and will be presented for final approval in the Annual General Meeting of Shareholders, which will be held within the deadlines established by law; in Management's opinion, these will be approved without modifications.</w:t>
      </w:r>
    </w:p>
    <w:p>
      <w:pPr>
        <w:spacing w:after="0" w:line="145" w:lineRule="exact"/>
        <w:rPr>
          <w:rFonts w:ascii="Arial" w:cs="Arial" w:eastAsia="Arial" w:hAnsi="Arial"/>
          <w:sz w:val="16"/>
          <w:szCs w:val="16"/>
          <w:b w:val="1"/>
          <w:bCs w:val="1"/>
          <w:color w:val="auto"/>
        </w:rPr>
      </w:pPr>
    </w:p>
    <w:p>
      <w:pPr>
        <w:ind w:left="567" w:right="12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Due to the adoption of IFRS 17 Insurance Contracts on January 1, 2023, the Group has restated its consolidated financial statements as of December 31, 2022 and for the year ended on that date, which have been approved on February 29, 2024.</w:t>
      </w:r>
    </w:p>
    <w:p>
      <w:pPr>
        <w:spacing w:after="0" w:line="134" w:lineRule="exact"/>
        <w:rPr>
          <w:rFonts w:ascii="Arial" w:cs="Arial" w:eastAsia="Arial" w:hAnsi="Arial"/>
          <w:sz w:val="16"/>
          <w:szCs w:val="16"/>
          <w:b w:val="1"/>
          <w:bCs w:val="1"/>
          <w:color w:val="auto"/>
        </w:rPr>
      </w:pPr>
    </w:p>
    <w:p>
      <w:pPr>
        <w:ind w:left="567"/>
        <w:spacing w:after="0"/>
        <w:rPr>
          <w:rFonts w:ascii="Arial" w:cs="Arial" w:eastAsia="Arial" w:hAnsi="Arial"/>
          <w:sz w:val="16"/>
          <w:szCs w:val="16"/>
          <w:b w:val="1"/>
          <w:bCs w:val="1"/>
          <w:color w:val="auto"/>
        </w:rPr>
      </w:pPr>
      <w:r>
        <w:rPr>
          <w:rFonts w:ascii="Arial" w:cs="Arial" w:eastAsia="Arial" w:hAnsi="Arial"/>
          <w:sz w:val="16"/>
          <w:szCs w:val="16"/>
          <w:color w:val="auto"/>
        </w:rPr>
        <w:t>Credicorp is listed on the Lima and New York Stock Exchanges.</w:t>
      </w:r>
    </w:p>
    <w:p>
      <w:pPr>
        <w:spacing w:after="0" w:line="313"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22" w:name="page23"/>
    <w:bookmarkEnd w:id="22"/>
    <w:p>
      <w:pPr>
        <w:ind w:left="567" w:hanging="567"/>
        <w:spacing w:after="0"/>
        <w:tabs>
          <w:tab w:leader="none" w:pos="567"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TRANSACTIONS</w:t>
      </w:r>
    </w:p>
    <w:p>
      <w:pPr>
        <w:spacing w:after="0" w:line="167" w:lineRule="exact"/>
        <w:rPr>
          <w:rFonts w:ascii="Arial" w:cs="Arial" w:eastAsia="Arial" w:hAnsi="Arial"/>
          <w:sz w:val="16"/>
          <w:szCs w:val="16"/>
          <w:b w:val="1"/>
          <w:bCs w:val="1"/>
          <w:color w:val="auto"/>
        </w:rPr>
      </w:pPr>
    </w:p>
    <w:p>
      <w:pPr>
        <w:ind w:left="567"/>
        <w:spacing w:after="0"/>
        <w:rPr>
          <w:rFonts w:ascii="Arial" w:cs="Arial" w:eastAsia="Arial" w:hAnsi="Arial"/>
          <w:sz w:val="16"/>
          <w:szCs w:val="16"/>
          <w:b w:val="1"/>
          <w:bCs w:val="1"/>
          <w:color w:val="auto"/>
        </w:rPr>
      </w:pPr>
      <w:r>
        <w:rPr>
          <w:rFonts w:ascii="Arial" w:cs="Arial" w:eastAsia="Arial" w:hAnsi="Arial"/>
          <w:sz w:val="16"/>
          <w:szCs w:val="16"/>
          <w:color w:val="auto"/>
        </w:rPr>
        <w:t>Main acquisitions, incorporations and mergers -</w:t>
      </w:r>
    </w:p>
    <w:p>
      <w:pPr>
        <w:spacing w:after="0" w:line="166" w:lineRule="exact"/>
        <w:rPr>
          <w:rFonts w:ascii="Arial" w:cs="Arial" w:eastAsia="Arial" w:hAnsi="Arial"/>
          <w:sz w:val="16"/>
          <w:szCs w:val="16"/>
          <w:b w:val="1"/>
          <w:bCs w:val="1"/>
          <w:color w:val="auto"/>
        </w:rPr>
      </w:pPr>
    </w:p>
    <w:p>
      <w:pPr>
        <w:ind w:left="567"/>
        <w:spacing w:after="0"/>
        <w:rPr>
          <w:rFonts w:ascii="Arial" w:cs="Arial" w:eastAsia="Arial" w:hAnsi="Arial"/>
          <w:sz w:val="16"/>
          <w:szCs w:val="16"/>
          <w:b w:val="1"/>
          <w:bCs w:val="1"/>
          <w:color w:val="auto"/>
        </w:rPr>
      </w:pPr>
      <w:r>
        <w:rPr>
          <w:rFonts w:ascii="Arial" w:cs="Arial" w:eastAsia="Arial" w:hAnsi="Arial"/>
          <w:sz w:val="16"/>
          <w:szCs w:val="16"/>
          <w:color w:val="auto"/>
        </w:rPr>
        <w:t>Acquisition of the remaining 50.0 percent stake in Pacífico EPS and the joint venture with and Empresas Banmédica:</w:t>
      </w:r>
    </w:p>
    <w:p>
      <w:pPr>
        <w:spacing w:after="0" w:line="166" w:lineRule="exact"/>
        <w:rPr>
          <w:rFonts w:ascii="Arial" w:cs="Arial" w:eastAsia="Arial" w:hAnsi="Arial"/>
          <w:sz w:val="16"/>
          <w:szCs w:val="16"/>
          <w:b w:val="1"/>
          <w:bCs w:val="1"/>
          <w:color w:val="auto"/>
        </w:rPr>
      </w:pPr>
    </w:p>
    <w:p>
      <w:pPr>
        <w:ind w:left="567" w:right="140"/>
        <w:spacing w:after="0" w:line="241" w:lineRule="auto"/>
        <w:rPr>
          <w:rFonts w:ascii="Arial" w:cs="Arial" w:eastAsia="Arial" w:hAnsi="Arial"/>
          <w:sz w:val="16"/>
          <w:szCs w:val="16"/>
          <w:b w:val="1"/>
          <w:bCs w:val="1"/>
          <w:color w:val="auto"/>
        </w:rPr>
      </w:pPr>
      <w:r>
        <w:rPr>
          <w:rFonts w:ascii="Arial" w:cs="Arial" w:eastAsia="Arial" w:hAnsi="Arial"/>
          <w:sz w:val="16"/>
          <w:szCs w:val="16"/>
          <w:color w:val="auto"/>
        </w:rPr>
        <w:t>On November 01, 2024 Credicorp has entered into an agreement to acquire the 50.0 percent interest from Empresas Banmedica (“Banmedicá” hereafter) in the partnership and participation agreement entered into in December 2014 between Pacifico Compañía de Seguros y Reaseguros S.A. (“Pacifico Seguros”) and Banmédica.</w:t>
      </w:r>
    </w:p>
    <w:p>
      <w:pPr>
        <w:spacing w:after="0" w:line="145" w:lineRule="exact"/>
        <w:rPr>
          <w:rFonts w:ascii="Arial" w:cs="Arial" w:eastAsia="Arial" w:hAnsi="Arial"/>
          <w:sz w:val="16"/>
          <w:szCs w:val="16"/>
          <w:b w:val="1"/>
          <w:bCs w:val="1"/>
          <w:color w:val="auto"/>
        </w:rPr>
      </w:pPr>
    </w:p>
    <w:p>
      <w:pPr>
        <w:ind w:left="567"/>
        <w:spacing w:after="0"/>
        <w:rPr>
          <w:rFonts w:ascii="Arial" w:cs="Arial" w:eastAsia="Arial" w:hAnsi="Arial"/>
          <w:sz w:val="16"/>
          <w:szCs w:val="16"/>
          <w:b w:val="1"/>
          <w:bCs w:val="1"/>
          <w:color w:val="auto"/>
        </w:rPr>
      </w:pPr>
      <w:r>
        <w:rPr>
          <w:rFonts w:ascii="Arial" w:cs="Arial" w:eastAsia="Arial" w:hAnsi="Arial"/>
          <w:sz w:val="16"/>
          <w:szCs w:val="16"/>
          <w:color w:val="auto"/>
        </w:rPr>
        <w:t>The closing is subject to regulatory approvals and other customary closing conditions.</w:t>
      </w:r>
    </w:p>
    <w:p>
      <w:pPr>
        <w:spacing w:after="0" w:line="166" w:lineRule="exact"/>
        <w:rPr>
          <w:rFonts w:ascii="Arial" w:cs="Arial" w:eastAsia="Arial" w:hAnsi="Arial"/>
          <w:sz w:val="16"/>
          <w:szCs w:val="16"/>
          <w:b w:val="1"/>
          <w:bCs w:val="1"/>
          <w:color w:val="auto"/>
        </w:rPr>
      </w:pPr>
    </w:p>
    <w:p>
      <w:pPr>
        <w:ind w:left="567" w:right="120"/>
        <w:spacing w:after="0" w:line="238" w:lineRule="auto"/>
        <w:rPr>
          <w:rFonts w:ascii="Arial" w:cs="Arial" w:eastAsia="Arial" w:hAnsi="Arial"/>
          <w:sz w:val="16"/>
          <w:szCs w:val="16"/>
          <w:b w:val="1"/>
          <w:bCs w:val="1"/>
          <w:color w:val="auto"/>
        </w:rPr>
      </w:pPr>
      <w:r>
        <w:rPr>
          <w:rFonts w:ascii="Arial" w:cs="Arial" w:eastAsia="Arial" w:hAnsi="Arial"/>
          <w:sz w:val="16"/>
          <w:szCs w:val="16"/>
          <w:color w:val="auto"/>
        </w:rPr>
        <w:t>Pursuant to this acquisition, upon obtaining all required approvals and closing conditions, Banmédica will transfer its 50.0 percent interest in the private health insurance business in Peru (Joint Venture Agreement) to Pacifico Seguros. In addition, Banmédica will transfer its 50.0 percent interest in Pacifico S.A. Entidad Prestadora de Salud (“Pacifico EPS”), which manages the corporate employee health insurance and medical services businesses in Peru, to Credicorp's subsidiary, Grupo Crédito S.A.</w:t>
      </w:r>
    </w:p>
    <w:p>
      <w:pPr>
        <w:spacing w:after="0" w:line="143" w:lineRule="exact"/>
        <w:rPr>
          <w:sz w:val="20"/>
          <w:szCs w:val="20"/>
          <w:color w:val="auto"/>
        </w:rPr>
      </w:pPr>
    </w:p>
    <w:p>
      <w:pPr>
        <w:ind w:left="567" w:hanging="567"/>
        <w:spacing w:after="0"/>
        <w:tabs>
          <w:tab w:leader="none" w:pos="567"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MATERIAL ACCOUNTING POLICIES</w:t>
      </w:r>
    </w:p>
    <w:p>
      <w:pPr>
        <w:spacing w:after="0" w:line="168" w:lineRule="exact"/>
        <w:rPr>
          <w:rFonts w:ascii="Arial" w:cs="Arial" w:eastAsia="Arial" w:hAnsi="Arial"/>
          <w:sz w:val="16"/>
          <w:szCs w:val="16"/>
          <w:b w:val="1"/>
          <w:bCs w:val="1"/>
          <w:color w:val="auto"/>
        </w:rPr>
      </w:pPr>
    </w:p>
    <w:p>
      <w:pPr>
        <w:ind w:left="567"/>
        <w:spacing w:after="0"/>
        <w:rPr>
          <w:rFonts w:ascii="Arial" w:cs="Arial" w:eastAsia="Arial" w:hAnsi="Arial"/>
          <w:sz w:val="16"/>
          <w:szCs w:val="16"/>
          <w:b w:val="1"/>
          <w:bCs w:val="1"/>
          <w:color w:val="auto"/>
        </w:rPr>
      </w:pPr>
      <w:r>
        <w:rPr>
          <w:rFonts w:ascii="Arial" w:cs="Arial" w:eastAsia="Arial" w:hAnsi="Arial"/>
          <w:sz w:val="16"/>
          <w:szCs w:val="16"/>
          <w:color w:val="auto"/>
        </w:rPr>
        <w:t>The material accounting policies used in the preparation of Credicorp's consolidated financial statements are detailed below:</w:t>
      </w:r>
    </w:p>
    <w:p>
      <w:pPr>
        <w:spacing w:after="0" w:line="166" w:lineRule="exact"/>
        <w:rPr>
          <w:rFonts w:ascii="Arial" w:cs="Arial" w:eastAsia="Arial" w:hAnsi="Arial"/>
          <w:sz w:val="16"/>
          <w:szCs w:val="16"/>
          <w:b w:val="1"/>
          <w:bCs w:val="1"/>
          <w:color w:val="auto"/>
        </w:rPr>
      </w:pPr>
    </w:p>
    <w:p>
      <w:pPr>
        <w:ind w:left="847" w:hanging="286"/>
        <w:spacing w:after="0"/>
        <w:tabs>
          <w:tab w:leader="none" w:pos="847"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Basis of presentation, use of estimates and changes in accounting policies –</w:t>
      </w:r>
    </w:p>
    <w:p>
      <w:pPr>
        <w:spacing w:after="0" w:line="166" w:lineRule="exact"/>
        <w:rPr>
          <w:rFonts w:ascii="Arial" w:cs="Arial" w:eastAsia="Arial" w:hAnsi="Arial"/>
          <w:sz w:val="16"/>
          <w:szCs w:val="16"/>
          <w:color w:val="auto"/>
        </w:rPr>
      </w:pPr>
    </w:p>
    <w:p>
      <w:pPr>
        <w:ind w:left="847" w:right="860"/>
        <w:spacing w:after="0" w:line="255" w:lineRule="auto"/>
        <w:rPr>
          <w:rFonts w:ascii="Arial" w:cs="Arial" w:eastAsia="Arial" w:hAnsi="Arial"/>
          <w:sz w:val="16"/>
          <w:szCs w:val="16"/>
          <w:color w:val="auto"/>
        </w:rPr>
      </w:pPr>
      <w:r>
        <w:rPr>
          <w:rFonts w:ascii="Arial" w:cs="Arial" w:eastAsia="Arial" w:hAnsi="Arial"/>
          <w:sz w:val="16"/>
          <w:szCs w:val="16"/>
          <w:color w:val="auto"/>
        </w:rPr>
        <w:t>The accompanying consolidated financial statements have been prepared in accordance with IFRS Accounting Standards as issued by the International Accounting Standards Board (IASB).</w:t>
      </w:r>
    </w:p>
    <w:p>
      <w:pPr>
        <w:spacing w:after="0" w:line="134" w:lineRule="exact"/>
        <w:rPr>
          <w:rFonts w:ascii="Arial" w:cs="Arial" w:eastAsia="Arial" w:hAnsi="Arial"/>
          <w:sz w:val="16"/>
          <w:szCs w:val="16"/>
          <w:color w:val="auto"/>
        </w:rPr>
      </w:pPr>
    </w:p>
    <w:p>
      <w:pPr>
        <w:ind w:left="847"/>
        <w:spacing w:after="0" w:line="293" w:lineRule="auto"/>
        <w:rPr>
          <w:rFonts w:ascii="Arial" w:cs="Arial" w:eastAsia="Arial" w:hAnsi="Arial"/>
          <w:sz w:val="16"/>
          <w:szCs w:val="16"/>
          <w:color w:val="auto"/>
        </w:rPr>
      </w:pPr>
      <w:r>
        <w:rPr>
          <w:rFonts w:ascii="Arial" w:cs="Arial" w:eastAsia="Arial" w:hAnsi="Arial"/>
          <w:sz w:val="14"/>
          <w:szCs w:val="14"/>
          <w:color w:val="auto"/>
        </w:rPr>
        <w:t>The consolidated financial statements as of December 31, 2024, and 2023, have been prepared following the historical cost criteria, except for investments at fair value through profit or loss, investments at fair value through other comprehensive income, financial assets designated at fair value through profit or loss, derivative financial instruments, and financial liabilities at fair value through profit or loss, which have been measured at fair value.</w:t>
      </w:r>
    </w:p>
    <w:p>
      <w:pPr>
        <w:spacing w:after="0" w:line="110" w:lineRule="exact"/>
        <w:rPr>
          <w:rFonts w:ascii="Arial" w:cs="Arial" w:eastAsia="Arial" w:hAnsi="Arial"/>
          <w:sz w:val="16"/>
          <w:szCs w:val="16"/>
          <w:color w:val="auto"/>
        </w:rPr>
      </w:pPr>
    </w:p>
    <w:p>
      <w:pPr>
        <w:ind w:left="847" w:right="40"/>
        <w:spacing w:after="0" w:line="255" w:lineRule="auto"/>
        <w:rPr>
          <w:rFonts w:ascii="Arial" w:cs="Arial" w:eastAsia="Arial" w:hAnsi="Arial"/>
          <w:sz w:val="16"/>
          <w:szCs w:val="16"/>
          <w:color w:val="auto"/>
        </w:rPr>
      </w:pPr>
      <w:r>
        <w:rPr>
          <w:rFonts w:ascii="Arial" w:cs="Arial" w:eastAsia="Arial" w:hAnsi="Arial"/>
          <w:sz w:val="16"/>
          <w:szCs w:val="16"/>
          <w:color w:val="auto"/>
        </w:rPr>
        <w:t>The consolidated financial statements are presented in soles (S/), which is the functional currency of Credicorp Ltd and subsidiaries, see paragraph (d) below, and values are rounded to thousands of soles, except when otherwise indicated.</w:t>
      </w:r>
    </w:p>
    <w:p>
      <w:pPr>
        <w:spacing w:after="0" w:line="134" w:lineRule="exact"/>
        <w:rPr>
          <w:rFonts w:ascii="Arial" w:cs="Arial" w:eastAsia="Arial" w:hAnsi="Arial"/>
          <w:sz w:val="16"/>
          <w:szCs w:val="16"/>
          <w:color w:val="auto"/>
        </w:rPr>
      </w:pPr>
    </w:p>
    <w:p>
      <w:pPr>
        <w:ind w:left="847" w:right="80"/>
        <w:spacing w:after="0" w:line="241" w:lineRule="auto"/>
        <w:rPr>
          <w:rFonts w:ascii="Arial" w:cs="Arial" w:eastAsia="Arial" w:hAnsi="Arial"/>
          <w:sz w:val="16"/>
          <w:szCs w:val="16"/>
          <w:color w:val="auto"/>
        </w:rPr>
      </w:pPr>
      <w:r>
        <w:rPr>
          <w:rFonts w:ascii="Arial" w:cs="Arial" w:eastAsia="Arial" w:hAnsi="Arial"/>
          <w:sz w:val="16"/>
          <w:szCs w:val="16"/>
          <w:color w:val="auto"/>
        </w:rPr>
        <w:t>The preparation of the consolidated financial statements in accordance with IFRS Accounting Standards requires Management to make estimates and assumptions that affect the reported amounts of assets, liabilities, revenues and expenses and the disclosure of significant events in notes to the consolidated financial statements.</w:t>
      </w:r>
    </w:p>
    <w:p>
      <w:pPr>
        <w:spacing w:after="0" w:line="145" w:lineRule="exact"/>
        <w:rPr>
          <w:rFonts w:ascii="Arial" w:cs="Arial" w:eastAsia="Arial" w:hAnsi="Arial"/>
          <w:sz w:val="16"/>
          <w:szCs w:val="16"/>
          <w:color w:val="auto"/>
        </w:rPr>
      </w:pPr>
    </w:p>
    <w:p>
      <w:pPr>
        <w:ind w:left="847" w:right="60"/>
        <w:spacing w:after="0" w:line="255" w:lineRule="auto"/>
        <w:rPr>
          <w:rFonts w:ascii="Arial" w:cs="Arial" w:eastAsia="Arial" w:hAnsi="Arial"/>
          <w:sz w:val="16"/>
          <w:szCs w:val="16"/>
          <w:color w:val="auto"/>
        </w:rPr>
      </w:pPr>
      <w:r>
        <w:rPr>
          <w:rFonts w:ascii="Arial" w:cs="Arial" w:eastAsia="Arial" w:hAnsi="Arial"/>
          <w:sz w:val="16"/>
          <w:szCs w:val="16"/>
          <w:color w:val="auto"/>
        </w:rPr>
        <w:t>Estimates and judgments are continually evaluated and are based on historical experience and other factors, including the expectation of future events that are believed to be reasonable under current circumstances. Actual results could differ from those estimates.</w:t>
      </w:r>
    </w:p>
    <w:p>
      <w:pPr>
        <w:spacing w:after="0" w:line="134" w:lineRule="exact"/>
        <w:rPr>
          <w:rFonts w:ascii="Arial" w:cs="Arial" w:eastAsia="Arial" w:hAnsi="Arial"/>
          <w:sz w:val="16"/>
          <w:szCs w:val="16"/>
          <w:color w:val="auto"/>
        </w:rPr>
      </w:pPr>
    </w:p>
    <w:p>
      <w:pPr>
        <w:ind w:left="847" w:right="300"/>
        <w:spacing w:after="0" w:line="255" w:lineRule="auto"/>
        <w:rPr>
          <w:rFonts w:ascii="Arial" w:cs="Arial" w:eastAsia="Arial" w:hAnsi="Arial"/>
          <w:sz w:val="16"/>
          <w:szCs w:val="16"/>
          <w:color w:val="auto"/>
        </w:rPr>
      </w:pPr>
      <w:r>
        <w:rPr>
          <w:rFonts w:ascii="Arial" w:cs="Arial" w:eastAsia="Arial" w:hAnsi="Arial"/>
          <w:sz w:val="16"/>
          <w:szCs w:val="16"/>
          <w:color w:val="auto"/>
        </w:rPr>
        <w:t>The most significant estimates included in the accompanying consolidated financial statements are related to the calculation of the allowance of the expected credit loss on loan portfolio and the estimation of the liability for life insurance contracts under the general valuation model.</w:t>
      </w:r>
    </w:p>
    <w:p>
      <w:pPr>
        <w:spacing w:after="0" w:line="28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23" w:name="page24"/>
    <w:bookmarkEnd w:id="23"/>
    <w:p>
      <w:pPr>
        <w:ind w:left="280" w:right="340"/>
        <w:spacing w:after="0" w:line="242" w:lineRule="auto"/>
        <w:rPr>
          <w:sz w:val="20"/>
          <w:szCs w:val="20"/>
          <w:color w:val="auto"/>
        </w:rPr>
      </w:pPr>
      <w:r>
        <w:rPr>
          <w:rFonts w:ascii="Arial" w:cs="Arial" w:eastAsia="Arial" w:hAnsi="Arial"/>
          <w:sz w:val="16"/>
          <w:szCs w:val="16"/>
          <w:color w:val="auto"/>
        </w:rPr>
        <w:t>There are also other estimates, such as: valuation of investments, liabilities for claims incurred, intangibles, goodwill impairment, credit loss for investments at fair value through other comprehensive income and investments at amortized cost, valuation of derivative financial instruments and deferred income tax. The accounting criteria for these estimates are described below.</w:t>
      </w:r>
    </w:p>
    <w:p>
      <w:pPr>
        <w:spacing w:after="0" w:line="145" w:lineRule="exact"/>
        <w:rPr>
          <w:sz w:val="20"/>
          <w:szCs w:val="20"/>
          <w:color w:val="auto"/>
        </w:rPr>
      </w:pPr>
    </w:p>
    <w:p>
      <w:pPr>
        <w:ind w:left="280" w:right="460"/>
        <w:spacing w:after="0" w:line="255" w:lineRule="auto"/>
        <w:rPr>
          <w:sz w:val="20"/>
          <w:szCs w:val="20"/>
          <w:color w:val="auto"/>
        </w:rPr>
      </w:pPr>
      <w:r>
        <w:rPr>
          <w:rFonts w:ascii="Arial" w:cs="Arial" w:eastAsia="Arial" w:hAnsi="Arial"/>
          <w:sz w:val="16"/>
          <w:szCs w:val="16"/>
          <w:color w:val="auto"/>
        </w:rPr>
        <w:t>The Group has adopted the following standards and amendments for the first time for its annual period beginning on or after January 1, 2024, as described below:</w:t>
      </w:r>
    </w:p>
    <w:p>
      <w:pPr>
        <w:spacing w:after="0" w:line="134"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4"/>
          <w:szCs w:val="14"/>
          <w:color w:val="auto"/>
        </w:rPr>
        <w:t>Amendments to IAS 1: Classification of Liabilities as Current or Non-Current</w:t>
      </w:r>
    </w:p>
    <w:p>
      <w:pPr>
        <w:spacing w:after="0" w:line="166" w:lineRule="exact"/>
        <w:rPr>
          <w:sz w:val="20"/>
          <w:szCs w:val="20"/>
          <w:color w:val="auto"/>
        </w:rPr>
      </w:pPr>
    </w:p>
    <w:p>
      <w:pPr>
        <w:ind w:left="600" w:right="420"/>
        <w:spacing w:after="0" w:line="255" w:lineRule="auto"/>
        <w:rPr>
          <w:sz w:val="20"/>
          <w:szCs w:val="20"/>
          <w:color w:val="auto"/>
        </w:rPr>
      </w:pPr>
      <w:r>
        <w:rPr>
          <w:rFonts w:ascii="Arial" w:cs="Arial" w:eastAsia="Arial" w:hAnsi="Arial"/>
          <w:sz w:val="16"/>
          <w:szCs w:val="16"/>
          <w:color w:val="auto"/>
        </w:rPr>
        <w:t>In January 2020 and October 2022, the IASB issued amendments to paragraphs 69 to 76 of IAS 1 to specify the requirements for classifying liabilities as current or non-current. The amendments clarify the following points:</w:t>
      </w:r>
    </w:p>
    <w:p>
      <w:pPr>
        <w:spacing w:after="0" w:line="134" w:lineRule="exact"/>
        <w:rPr>
          <w:sz w:val="20"/>
          <w:szCs w:val="20"/>
          <w:color w:val="auto"/>
        </w:rPr>
      </w:pPr>
    </w:p>
    <w:p>
      <w:pPr>
        <w:ind w:left="840" w:hanging="240"/>
        <w:spacing w:after="0"/>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meaning of the right to defer settlement of a liability.</w:t>
      </w:r>
    </w:p>
    <w:p>
      <w:pPr>
        <w:spacing w:after="0" w:line="5" w:lineRule="exact"/>
        <w:rPr>
          <w:rFonts w:ascii="Arial" w:cs="Arial" w:eastAsia="Arial" w:hAnsi="Arial"/>
          <w:sz w:val="16"/>
          <w:szCs w:val="16"/>
          <w:color w:val="auto"/>
        </w:rPr>
      </w:pPr>
    </w:p>
    <w:p>
      <w:pPr>
        <w:ind w:left="840" w:hanging="240"/>
        <w:spacing w:after="0" w:line="228"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the right to defer settlement of the liability must exist at the end of the period.</w:t>
      </w:r>
    </w:p>
    <w:p>
      <w:pPr>
        <w:ind w:left="840" w:hanging="240"/>
        <w:spacing w:after="0" w:line="228"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classification is not affected by the probability that the entity will exercise its right to defer settlement of the liability.</w:t>
      </w:r>
    </w:p>
    <w:p>
      <w:pPr>
        <w:ind w:left="840" w:right="460" w:hanging="240"/>
        <w:spacing w:after="0" w:line="238"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only if any embedded derivative in a convertible liability represents an equity instrument, the terms of the liability would not affect its classification.</w:t>
      </w:r>
    </w:p>
    <w:p>
      <w:pPr>
        <w:spacing w:after="0" w:line="146" w:lineRule="exact"/>
        <w:rPr>
          <w:sz w:val="20"/>
          <w:szCs w:val="20"/>
          <w:color w:val="auto"/>
        </w:rPr>
      </w:pPr>
    </w:p>
    <w:p>
      <w:pPr>
        <w:ind w:left="600" w:right="280"/>
        <w:spacing w:after="0" w:line="255" w:lineRule="auto"/>
        <w:rPr>
          <w:sz w:val="20"/>
          <w:szCs w:val="20"/>
          <w:color w:val="auto"/>
        </w:rPr>
      </w:pPr>
      <w:r>
        <w:rPr>
          <w:rFonts w:ascii="Arial" w:cs="Arial" w:eastAsia="Arial" w:hAnsi="Arial"/>
          <w:sz w:val="16"/>
          <w:szCs w:val="16"/>
          <w:color w:val="auto"/>
        </w:rPr>
        <w:t>In addition, a disclosure requirement was introduced when a liability derived from a loan agreement is classified as non-current and the entity's right to defer settlement is subject to the fulfillment of future commitments within a period included in a twelve-month period.</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adoption of the modification did not have significant effects on the consolidated financial statements of the Group.</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(ii)  Supplier Financing Agreements - Amendments to IAS 7 and IFRS 7</w:t>
      </w:r>
    </w:p>
    <w:p>
      <w:pPr>
        <w:spacing w:after="0" w:line="166" w:lineRule="exact"/>
        <w:rPr>
          <w:sz w:val="20"/>
          <w:szCs w:val="20"/>
          <w:color w:val="auto"/>
        </w:rPr>
      </w:pPr>
    </w:p>
    <w:p>
      <w:pPr>
        <w:ind w:left="600" w:right="220"/>
        <w:spacing w:after="0" w:line="238" w:lineRule="auto"/>
        <w:rPr>
          <w:sz w:val="20"/>
          <w:szCs w:val="20"/>
          <w:color w:val="auto"/>
        </w:rPr>
      </w:pPr>
      <w:r>
        <w:rPr>
          <w:rFonts w:ascii="Arial" w:cs="Arial" w:eastAsia="Arial" w:hAnsi="Arial"/>
          <w:sz w:val="16"/>
          <w:szCs w:val="16"/>
          <w:color w:val="auto"/>
        </w:rPr>
        <w:t>In May 2023, the IASB issued amendments to IAS 7 Statement of Cash Flows and IFRS 7 Financial Instruments: Disclosures to clarify the characteristics of supplier financing arrangements and require additional information about such arrangements to be disclosed. The objective of the disclosure requirements imposed by the amendments is to help users of financial statements have a better understanding of the effects of supplier financing arrangements on liabilities, cash flows and exposure to liquidity risk of an entity.</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adoption of the modification did not have significant effects on the consolidated financial statements of the Group.</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b) Basis of consolidation –</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 in subsidiaries -</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consolidated financial statements comprise the financial statements of Credicorp and its Subsidiaries for all the years presented.</w:t>
      </w:r>
    </w:p>
    <w:p>
      <w:pPr>
        <w:spacing w:after="0" w:line="166" w:lineRule="exact"/>
        <w:rPr>
          <w:sz w:val="20"/>
          <w:szCs w:val="20"/>
          <w:color w:val="auto"/>
        </w:rPr>
      </w:pPr>
    </w:p>
    <w:p>
      <w:pPr>
        <w:jc w:val="both"/>
        <w:ind w:left="280"/>
        <w:spacing w:after="0" w:line="241" w:lineRule="auto"/>
        <w:rPr>
          <w:sz w:val="20"/>
          <w:szCs w:val="20"/>
          <w:color w:val="auto"/>
        </w:rPr>
      </w:pPr>
      <w:r>
        <w:rPr>
          <w:rFonts w:ascii="Arial" w:cs="Arial" w:eastAsia="Arial" w:hAnsi="Arial"/>
          <w:sz w:val="16"/>
          <w:szCs w:val="16"/>
          <w:color w:val="auto"/>
        </w:rPr>
        <w:t>Under IFRS 10 “Consolidated Financial Statements”, all entities over which the Group has control are subsidiaries. 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spacing w:after="0" w:line="146" w:lineRule="exact"/>
        <w:rPr>
          <w:sz w:val="20"/>
          <w:szCs w:val="20"/>
          <w:color w:val="auto"/>
        </w:rPr>
      </w:pPr>
    </w:p>
    <w:p>
      <w:pPr>
        <w:ind w:left="560" w:hanging="286"/>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Power over the investee (i.e., existing rights that give it the current ability to direct the relevant activities of the investee),</w:t>
      </w:r>
    </w:p>
    <w:p>
      <w:pPr>
        <w:spacing w:after="0" w:line="5" w:lineRule="exact"/>
        <w:rPr>
          <w:rFonts w:ascii="Arial" w:cs="Arial" w:eastAsia="Arial" w:hAnsi="Arial"/>
          <w:sz w:val="16"/>
          <w:szCs w:val="16"/>
          <w:color w:val="auto"/>
        </w:rPr>
      </w:pPr>
    </w:p>
    <w:p>
      <w:pPr>
        <w:ind w:left="560" w:hanging="286"/>
        <w:spacing w:after="0" w:line="228"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Exposure, or rights, to variable returns from its involvement with the investee, and</w:t>
      </w:r>
    </w:p>
    <w:p>
      <w:pPr>
        <w:ind w:left="560" w:hanging="286"/>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ability to use its power over the investee to affect its returns.</w:t>
      </w:r>
    </w:p>
    <w:p>
      <w:pPr>
        <w:spacing w:after="0" w:line="299"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60"/>
          </w:cols>
          <w:pgMar w:left="880" w:top="124" w:right="359" w:bottom="1440" w:gutter="0" w:footer="0" w:header="0"/>
        </w:sectPr>
      </w:pPr>
    </w:p>
    <w:bookmarkStart w:id="24" w:name="page25"/>
    <w:bookmarkEnd w:id="24"/>
    <w:p>
      <w:pPr>
        <w:ind w:left="6" w:right="80"/>
        <w:spacing w:after="0" w:line="242" w:lineRule="auto"/>
        <w:rPr>
          <w:sz w:val="20"/>
          <w:szCs w:val="20"/>
          <w:color w:val="auto"/>
        </w:rPr>
      </w:pPr>
      <w:r>
        <w:rPr>
          <w:rFonts w:ascii="Arial" w:cs="Arial" w:eastAsia="Arial" w:hAnsi="Arial"/>
          <w:sz w:val="16"/>
          <w:szCs w:val="16"/>
          <w:color w:val="auto"/>
        </w:rPr>
        <w:t>Generally, 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spacing w:after="0" w:line="145" w:lineRule="exact"/>
        <w:rPr>
          <w:sz w:val="20"/>
          <w:szCs w:val="20"/>
          <w:color w:val="auto"/>
        </w:rPr>
      </w:pPr>
    </w:p>
    <w:p>
      <w:pPr>
        <w:ind w:left="286" w:hanging="286"/>
        <w:spacing w:after="0"/>
        <w:tabs>
          <w:tab w:leader="none" w:pos="28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contractual arrangement with the other vote holders of the investee.</w:t>
      </w:r>
    </w:p>
    <w:p>
      <w:pPr>
        <w:spacing w:after="0" w:line="5" w:lineRule="exact"/>
        <w:rPr>
          <w:rFonts w:ascii="Arial" w:cs="Arial" w:eastAsia="Arial" w:hAnsi="Arial"/>
          <w:sz w:val="16"/>
          <w:szCs w:val="16"/>
          <w:color w:val="auto"/>
        </w:rPr>
      </w:pPr>
    </w:p>
    <w:p>
      <w:pPr>
        <w:ind w:left="286" w:hanging="286"/>
        <w:spacing w:after="0" w:line="228" w:lineRule="auto"/>
        <w:tabs>
          <w:tab w:leader="none" w:pos="286"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Rights arising from other contractual arrangements.</w:t>
      </w:r>
    </w:p>
    <w:p>
      <w:pPr>
        <w:ind w:left="286" w:hanging="286"/>
        <w:spacing w:after="0"/>
        <w:tabs>
          <w:tab w:leader="none" w:pos="28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Group’s voting rights and potential voting rights.</w:t>
      </w:r>
    </w:p>
    <w:p>
      <w:pPr>
        <w:spacing w:after="0" w:line="152" w:lineRule="exact"/>
        <w:rPr>
          <w:sz w:val="20"/>
          <w:szCs w:val="20"/>
          <w:color w:val="auto"/>
        </w:rPr>
      </w:pPr>
    </w:p>
    <w:p>
      <w:pPr>
        <w:ind w:left="6" w:right="320"/>
        <w:spacing w:after="0" w:line="293" w:lineRule="auto"/>
        <w:rPr>
          <w:sz w:val="20"/>
          <w:szCs w:val="20"/>
          <w:color w:val="auto"/>
        </w:rPr>
      </w:pPr>
      <w:r>
        <w:rPr>
          <w:rFonts w:ascii="Arial" w:cs="Arial" w:eastAsia="Arial" w:hAnsi="Arial"/>
          <w:sz w:val="14"/>
          <w:szCs w:val="14"/>
          <w:color w:val="auto"/>
        </w:rPr>
        <w:t>The Group assesses whether or not it controls an investee if the facts and circumstances indicate that there are changes in any of the elements of control. Consolidation of a subsidiary begins when the Group obtains control over the subsidiary and ceases when the Group loses control of the subsidiary. The consolidated financial statements include assets, liabilities, income and expenses of Credicorp and its subsidiaries.</w:t>
      </w:r>
    </w:p>
    <w:p>
      <w:pPr>
        <w:spacing w:after="0" w:line="111" w:lineRule="exact"/>
        <w:rPr>
          <w:sz w:val="20"/>
          <w:szCs w:val="20"/>
          <w:color w:val="auto"/>
        </w:rPr>
      </w:pPr>
    </w:p>
    <w:p>
      <w:pPr>
        <w:ind w:left="6" w:right="100"/>
        <w:spacing w:after="0" w:line="241" w:lineRule="auto"/>
        <w:rPr>
          <w:sz w:val="20"/>
          <w:szCs w:val="20"/>
          <w:color w:val="auto"/>
        </w:rPr>
      </w:pPr>
      <w:r>
        <w:rPr>
          <w:rFonts w:ascii="Arial" w:cs="Arial" w:eastAsia="Arial" w:hAnsi="Arial"/>
          <w:sz w:val="16"/>
          <w:szCs w:val="16"/>
          <w:color w:val="auto"/>
        </w:rPr>
        <w:t>Profit or loss for the period and each component of the other comprehensive income (OCI) are attributed to the equity holders of the parent of the Group and to the non-controlling interest, even if this results in the non-controlling interest with a negative balance. When necessary, adjustments are made to the financial statements of subsidiaries to bring their accounting policies into line with the Group’s accounting policies.</w:t>
      </w:r>
    </w:p>
    <w:p>
      <w:pPr>
        <w:spacing w:after="0" w:line="146" w:lineRule="exact"/>
        <w:rPr>
          <w:sz w:val="20"/>
          <w:szCs w:val="20"/>
          <w:color w:val="auto"/>
        </w:rPr>
      </w:pPr>
    </w:p>
    <w:p>
      <w:pPr>
        <w:ind w:left="6" w:right="20"/>
        <w:spacing w:after="0" w:line="255" w:lineRule="auto"/>
        <w:rPr>
          <w:sz w:val="20"/>
          <w:szCs w:val="20"/>
          <w:color w:val="auto"/>
        </w:rPr>
      </w:pPr>
      <w:r>
        <w:rPr>
          <w:rFonts w:ascii="Arial" w:cs="Arial" w:eastAsia="Arial" w:hAnsi="Arial"/>
          <w:sz w:val="16"/>
          <w:szCs w:val="16"/>
          <w:color w:val="auto"/>
        </w:rPr>
        <w:t>All intra-group assets and liabilities, equity, income, expenses and cash flows relating to transactions between members of the Group are eliminated in full on consolidation.</w:t>
      </w:r>
    </w:p>
    <w:p>
      <w:pPr>
        <w:spacing w:after="0" w:line="134" w:lineRule="exact"/>
        <w:rPr>
          <w:sz w:val="20"/>
          <w:szCs w:val="20"/>
          <w:color w:val="auto"/>
        </w:rPr>
      </w:pPr>
    </w:p>
    <w:p>
      <w:pPr>
        <w:ind w:left="6" w:right="100"/>
        <w:spacing w:after="0" w:line="255" w:lineRule="auto"/>
        <w:rPr>
          <w:sz w:val="20"/>
          <w:szCs w:val="20"/>
          <w:color w:val="auto"/>
        </w:rPr>
      </w:pPr>
      <w:r>
        <w:rPr>
          <w:rFonts w:ascii="Arial" w:cs="Arial" w:eastAsia="Arial" w:hAnsi="Arial"/>
          <w:sz w:val="16"/>
          <w:szCs w:val="16"/>
          <w:color w:val="auto"/>
        </w:rPr>
        <w:t>Assets in custody or managed by the Group, such as investment funds and private pension funds (AFP funds) and others, are not part of the Group’s consolidated financial statements, Note 3(w).</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Transactions with non-controlling interest -</w:t>
      </w:r>
    </w:p>
    <w:p>
      <w:pPr>
        <w:spacing w:after="0" w:line="166" w:lineRule="exact"/>
        <w:rPr>
          <w:sz w:val="20"/>
          <w:szCs w:val="20"/>
          <w:color w:val="auto"/>
        </w:rPr>
      </w:pPr>
    </w:p>
    <w:p>
      <w:pPr>
        <w:jc w:val="both"/>
        <w:ind w:left="6" w:right="380"/>
        <w:spacing w:after="0" w:line="241" w:lineRule="auto"/>
        <w:rPr>
          <w:sz w:val="20"/>
          <w:szCs w:val="20"/>
          <w:color w:val="auto"/>
        </w:rPr>
      </w:pPr>
      <w:r>
        <w:rPr>
          <w:rFonts w:ascii="Arial" w:cs="Arial" w:eastAsia="Arial" w:hAnsi="Arial"/>
          <w:sz w:val="16"/>
          <w:szCs w:val="16"/>
          <w:color w:val="auto"/>
        </w:rPr>
        <w:t>A change in the ownership interest of a subsidiary, without a loss of control, is accounted for as an equity transaction (equity transaction) and any resulting difference between the price paid and the price for which non-controlling interests are adjusted is recognized directly in the consolidated statement of changes in equity.</w:t>
      </w:r>
    </w:p>
    <w:p>
      <w:pPr>
        <w:spacing w:after="0" w:line="146" w:lineRule="exact"/>
        <w:rPr>
          <w:sz w:val="20"/>
          <w:szCs w:val="20"/>
          <w:color w:val="auto"/>
        </w:rPr>
      </w:pPr>
    </w:p>
    <w:p>
      <w:pPr>
        <w:ind w:left="6" w:right="80"/>
        <w:spacing w:after="0" w:line="255" w:lineRule="auto"/>
        <w:rPr>
          <w:sz w:val="20"/>
          <w:szCs w:val="20"/>
          <w:color w:val="auto"/>
        </w:rPr>
      </w:pPr>
      <w:r>
        <w:rPr>
          <w:rFonts w:ascii="Arial" w:cs="Arial" w:eastAsia="Arial" w:hAnsi="Arial"/>
          <w:sz w:val="16"/>
          <w:szCs w:val="16"/>
          <w:color w:val="auto"/>
        </w:rPr>
        <w:t>The Group does not record any additional goodwill after the purchase of the non-controlling interest, nor does it recognize a gain or loss from the sale of the non-controlling interest.</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Loss of control -</w:t>
      </w:r>
    </w:p>
    <w:p>
      <w:pPr>
        <w:spacing w:after="0" w:line="166" w:lineRule="exact"/>
        <w:rPr>
          <w:sz w:val="20"/>
          <w:szCs w:val="20"/>
          <w:color w:val="auto"/>
        </w:rPr>
      </w:pPr>
    </w:p>
    <w:p>
      <w:pPr>
        <w:ind w:left="6"/>
        <w:spacing w:after="0" w:line="241" w:lineRule="auto"/>
        <w:rPr>
          <w:sz w:val="20"/>
          <w:szCs w:val="20"/>
          <w:color w:val="auto"/>
        </w:rPr>
      </w:pPr>
      <w:r>
        <w:rPr>
          <w:rFonts w:ascii="Arial" w:cs="Arial" w:eastAsia="Arial" w:hAnsi="Arial"/>
          <w:sz w:val="16"/>
          <w:szCs w:val="16"/>
          <w:color w:val="auto"/>
        </w:rPr>
        <w:t>If the Group loses control over a subsidiary, it derecognizes the carrying amount of the related assets (including goodwill) and liabilities, non-controlling interest and other components of equity, while any resultant gain or loss is recognized in profit or loss. Any residual investment retained is recognized at fair value.</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color w:val="auto"/>
        </w:rPr>
        <w:t>Investments in associates -</w:t>
      </w:r>
    </w:p>
    <w:p>
      <w:pPr>
        <w:spacing w:after="0" w:line="166" w:lineRule="exact"/>
        <w:rPr>
          <w:sz w:val="20"/>
          <w:szCs w:val="20"/>
          <w:color w:val="auto"/>
        </w:rPr>
      </w:pPr>
    </w:p>
    <w:p>
      <w:pPr>
        <w:ind w:left="6" w:right="140"/>
        <w:spacing w:after="0" w:line="255" w:lineRule="auto"/>
        <w:rPr>
          <w:sz w:val="20"/>
          <w:szCs w:val="20"/>
          <w:color w:val="auto"/>
        </w:rPr>
      </w:pPr>
      <w:r>
        <w:rPr>
          <w:rFonts w:ascii="Arial" w:cs="Arial" w:eastAsia="Arial" w:hAnsi="Arial"/>
          <w:sz w:val="16"/>
          <w:szCs w:val="16"/>
          <w:color w:val="auto"/>
        </w:rPr>
        <w:t>An associate is an entity over which the Group has significant influence. Significant influence is the power to participate in the financial and operating policy decisions of the entity, but without exercising control over said policies.</w:t>
      </w:r>
    </w:p>
    <w:p>
      <w:pPr>
        <w:spacing w:after="0" w:line="134" w:lineRule="exact"/>
        <w:rPr>
          <w:sz w:val="20"/>
          <w:szCs w:val="20"/>
          <w:color w:val="auto"/>
        </w:rPr>
      </w:pPr>
    </w:p>
    <w:p>
      <w:pPr>
        <w:ind w:left="6" w:right="80"/>
        <w:spacing w:after="0" w:line="241" w:lineRule="auto"/>
        <w:rPr>
          <w:sz w:val="20"/>
          <w:szCs w:val="20"/>
          <w:color w:val="auto"/>
        </w:rPr>
      </w:pPr>
      <w:r>
        <w:rPr>
          <w:rFonts w:ascii="Arial" w:cs="Arial" w:eastAsia="Arial" w:hAnsi="Arial"/>
          <w:sz w:val="16"/>
          <w:szCs w:val="16"/>
          <w:color w:val="auto"/>
        </w:rPr>
        <w:t>The Group’s investments in its associates are recognized initially at cost and are subsequently accounted for using the equity method. They are included in “Other assets” in the consolidated statement of financial position; the returns resulting from the use of the equity method of accounting are included in “Net gain on securities” of the consolidated statement of income.</w:t>
      </w:r>
    </w:p>
    <w:p>
      <w:pPr>
        <w:spacing w:after="0" w:line="293" w:lineRule="exact"/>
        <w:rPr>
          <w:sz w:val="20"/>
          <w:szCs w:val="20"/>
          <w:color w:val="auto"/>
        </w:rPr>
      </w:pPr>
    </w:p>
    <w:p>
      <w:pPr>
        <w:ind w:left="4686"/>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46"/>
          </w:cols>
          <w:pgMar w:left="1154" w:top="124" w:right="399" w:bottom="1440" w:gutter="0" w:footer="0" w:header="0"/>
        </w:sectPr>
      </w:pPr>
    </w:p>
    <w:bookmarkStart w:id="25" w:name="page26"/>
    <w:bookmarkEnd w:id="25"/>
    <w:p>
      <w:pPr>
        <w:jc w:val="both"/>
        <w:ind w:left="7" w:right="200"/>
        <w:spacing w:after="0" w:line="242" w:lineRule="auto"/>
        <w:rPr>
          <w:sz w:val="20"/>
          <w:szCs w:val="20"/>
          <w:color w:val="auto"/>
        </w:rPr>
      </w:pPr>
      <w:r>
        <w:rPr>
          <w:rFonts w:ascii="Arial" w:cs="Arial" w:eastAsia="Arial" w:hAnsi="Arial"/>
          <w:sz w:val="16"/>
          <w:szCs w:val="16"/>
          <w:color w:val="auto"/>
        </w:rPr>
        <w:t>As of December 31, 2024 and 2023, the following entities comprise the Group (the individual or consolidated figures of their financial statements are presented in accordance with IFRS Accounting Standards and before eliminations for consolidation purposes, except for the elimination of Credicorp’s treasury shares and its related dividends):</w:t>
      </w:r>
    </w:p>
    <w:p>
      <w:pPr>
        <w:spacing w:after="0" w:line="111"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4"/>
          </w:tcPr>
          <w:p>
            <w:pPr>
              <w:spacing w:after="0"/>
              <w:rPr>
                <w:sz w:val="20"/>
                <w:szCs w:val="20"/>
                <w:color w:val="auto"/>
              </w:rPr>
            </w:pPr>
            <w:r>
              <w:rPr>
                <w:rFonts w:ascii="Arial" w:cs="Arial" w:eastAsia="Arial" w:hAnsi="Arial"/>
                <w:sz w:val="16"/>
                <w:szCs w:val="16"/>
                <w:b w:val="1"/>
                <w:bCs w:val="1"/>
                <w:color w:val="auto"/>
              </w:rPr>
              <w:t>Percentage of</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Activity and</w:t>
            </w:r>
          </w:p>
        </w:tc>
        <w:tc>
          <w:tcPr>
            <w:tcW w:w="5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w w:val="96"/>
              </w:rPr>
              <w:t>interest</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country of</w:t>
            </w:r>
          </w:p>
        </w:tc>
        <w:tc>
          <w:tcPr>
            <w:tcW w:w="110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(direct and</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Entity</w:t>
            </w: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incorporation</w:t>
            </w:r>
          </w:p>
        </w:tc>
        <w:tc>
          <w:tcPr>
            <w:tcW w:w="1100" w:type="dxa"/>
            <w:vAlign w:val="bottom"/>
            <w:gridSpan w:val="4"/>
          </w:tcPr>
          <w:p>
            <w:pPr>
              <w:spacing w:after="0"/>
              <w:rPr>
                <w:sz w:val="20"/>
                <w:szCs w:val="20"/>
                <w:color w:val="auto"/>
              </w:rPr>
            </w:pPr>
            <w:r>
              <w:rPr>
                <w:rFonts w:ascii="Arial" w:cs="Arial" w:eastAsia="Arial" w:hAnsi="Arial"/>
                <w:sz w:val="16"/>
                <w:szCs w:val="16"/>
                <w:b w:val="1"/>
                <w:bCs w:val="1"/>
                <w:color w:val="auto"/>
              </w:rPr>
              <w:t>indirect)</w:t>
            </w: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Liabilities</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Equity</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6"/>
          </w:tcPr>
          <w:p>
            <w:pPr>
              <w:spacing w:after="0"/>
              <w:rPr>
                <w:sz w:val="20"/>
                <w:szCs w:val="20"/>
                <w:color w:val="auto"/>
              </w:rPr>
            </w:pPr>
            <w:r>
              <w:rPr>
                <w:rFonts w:ascii="Arial" w:cs="Arial" w:eastAsia="Arial" w:hAnsi="Arial"/>
                <w:sz w:val="16"/>
                <w:szCs w:val="16"/>
                <w:b w:val="1"/>
                <w:bCs w:val="1"/>
                <w:color w:val="auto"/>
              </w:rPr>
              <w:t>Net profit (loss)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ind w:left="20"/>
              <w:spacing w:after="0" w:line="178"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88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40"/>
              <w:spacing w:after="0" w:line="178" w:lineRule="exact"/>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700" w:type="dxa"/>
            <w:vAlign w:val="bottom"/>
            <w:tcBorders>
              <w:top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40"/>
              <w:spacing w:after="0" w:line="178" w:lineRule="exact"/>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00" w:type="dxa"/>
            <w:vAlign w:val="bottom"/>
            <w:gridSpan w:val="2"/>
            <w:vMerge w:val="restart"/>
          </w:tcPr>
          <w:p>
            <w:pPr>
              <w:spacing w:after="0"/>
              <w:rPr>
                <w:sz w:val="20"/>
                <w:szCs w:val="20"/>
                <w:color w:val="auto"/>
              </w:rPr>
            </w:pPr>
            <w:r>
              <w:rPr>
                <w:rFonts w:ascii="Arial" w:cs="Arial" w:eastAsia="Arial" w:hAnsi="Arial"/>
                <w:sz w:val="16"/>
                <w:szCs w:val="16"/>
                <w:color w:val="auto"/>
              </w:rPr>
              <w:t>Grupo Crédito</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20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S.A. and</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Subsidiaries (i)</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Holding, Peru</w:t>
            </w:r>
          </w:p>
        </w:tc>
        <w:tc>
          <w:tcPr>
            <w:tcW w:w="5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8"/>
              </w:rPr>
              <w:t>100.00</w:t>
            </w:r>
          </w:p>
        </w:tc>
        <w:tc>
          <w:tcPr>
            <w:tcW w:w="8340" w:type="dxa"/>
            <w:vAlign w:val="bottom"/>
            <w:gridSpan w:val="26"/>
          </w:tcPr>
          <w:p>
            <w:pPr>
              <w:jc w:val="right"/>
              <w:ind w:right="80"/>
              <w:spacing w:after="0" w:line="175" w:lineRule="exact"/>
              <w:rPr>
                <w:sz w:val="20"/>
                <w:szCs w:val="20"/>
                <w:color w:val="auto"/>
              </w:rPr>
            </w:pPr>
            <w:r>
              <w:rPr>
                <w:rFonts w:ascii="Arial" w:cs="Arial" w:eastAsia="Arial" w:hAnsi="Arial"/>
                <w:sz w:val="16"/>
                <w:szCs w:val="16"/>
                <w:color w:val="auto"/>
              </w:rPr>
              <w:t>100.00 231,724,646 213,520,111 197,418,592 181,336,108 34,306,054 32,184,003 5,179,505 4,562,831 4,598,002</w:t>
            </w: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Pacífico</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Compañía de</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Seguros y</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Reaseguros</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S.A and</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Insurance,</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Subsidiaries (ii)</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Peru</w:t>
            </w:r>
          </w:p>
        </w:tc>
        <w:tc>
          <w:tcPr>
            <w:tcW w:w="5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98.86</w:t>
            </w:r>
          </w:p>
        </w:tc>
        <w:tc>
          <w:tcPr>
            <w:tcW w:w="5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98.86</w:t>
            </w: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17,890,138</w:t>
            </w:r>
          </w:p>
        </w:tc>
        <w:tc>
          <w:tcPr>
            <w:tcW w:w="40" w:type="dxa"/>
            <w:vAlign w:val="bottom"/>
          </w:tcPr>
          <w:p>
            <w:pPr>
              <w:spacing w:after="0"/>
              <w:rPr>
                <w:sz w:val="15"/>
                <w:szCs w:val="15"/>
                <w:color w:val="auto"/>
              </w:rPr>
            </w:pPr>
          </w:p>
        </w:tc>
        <w:tc>
          <w:tcPr>
            <w:tcW w:w="94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16,549,171</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14,504,765</w:t>
            </w: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13,443,688</w:t>
            </w:r>
          </w:p>
        </w:tc>
        <w:tc>
          <w:tcPr>
            <w:tcW w:w="20" w:type="dxa"/>
            <w:vAlign w:val="bottom"/>
          </w:tcPr>
          <w:p>
            <w:pPr>
              <w:spacing w:after="0"/>
              <w:rPr>
                <w:sz w:val="15"/>
                <w:szCs w:val="15"/>
                <w:color w:val="auto"/>
              </w:rPr>
            </w:pP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3,385,373</w:t>
            </w: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3,105,483</w:t>
            </w:r>
          </w:p>
        </w:tc>
        <w:tc>
          <w:tcPr>
            <w:tcW w:w="7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765,767</w:t>
            </w:r>
          </w:p>
        </w:tc>
        <w:tc>
          <w:tcPr>
            <w:tcW w:w="40" w:type="dxa"/>
            <w:vAlign w:val="bottom"/>
          </w:tcPr>
          <w:p>
            <w:pPr>
              <w:spacing w:after="0"/>
              <w:rPr>
                <w:sz w:val="15"/>
                <w:szCs w:val="15"/>
                <w:color w:val="auto"/>
              </w:rPr>
            </w:pPr>
          </w:p>
        </w:tc>
        <w:tc>
          <w:tcPr>
            <w:tcW w:w="7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803,384</w:t>
            </w:r>
          </w:p>
        </w:tc>
        <w:tc>
          <w:tcPr>
            <w:tcW w:w="6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460,326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Atlantic Security</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Capital</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Holding</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Markets,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Corporation and</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Cayman</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Subsidiaries (iii)</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Islands</w:t>
            </w:r>
          </w:p>
        </w:tc>
        <w:tc>
          <w:tcPr>
            <w:tcW w:w="5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8"/>
              </w:rPr>
              <w:t>100.00</w:t>
            </w:r>
          </w:p>
        </w:tc>
        <w:tc>
          <w:tcPr>
            <w:tcW w:w="5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w w:val="98"/>
              </w:rPr>
              <w:t>100.00</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6,014,937</w:t>
            </w:r>
          </w:p>
        </w:tc>
        <w:tc>
          <w:tcPr>
            <w:tcW w:w="94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6,870,781</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5,026,510</w:t>
            </w:r>
          </w:p>
        </w:tc>
        <w:tc>
          <w:tcPr>
            <w:tcW w:w="9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5,729,744</w:t>
            </w: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988,427</w:t>
            </w: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1,141,037</w:t>
            </w:r>
          </w:p>
        </w:tc>
        <w:tc>
          <w:tcPr>
            <w:tcW w:w="7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569,689</w:t>
            </w:r>
          </w:p>
        </w:tc>
        <w:tc>
          <w:tcPr>
            <w:tcW w:w="40" w:type="dxa"/>
            <w:vAlign w:val="bottom"/>
          </w:tcPr>
          <w:p>
            <w:pPr>
              <w:spacing w:after="0"/>
              <w:rPr>
                <w:sz w:val="15"/>
                <w:szCs w:val="15"/>
                <w:color w:val="auto"/>
              </w:rPr>
            </w:pPr>
          </w:p>
        </w:tc>
        <w:tc>
          <w:tcPr>
            <w:tcW w:w="7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474,780</w:t>
            </w:r>
          </w:p>
        </w:tc>
        <w:tc>
          <w:tcPr>
            <w:tcW w:w="6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228,474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Capital Markets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Credicorp</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and Asset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Capital Ltd. and</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management,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color w:val="auto"/>
              </w:rPr>
              <w:t>Subsidiaries (iv)</w:t>
            </w: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Bermudas</w:t>
            </w:r>
          </w:p>
        </w:tc>
        <w:tc>
          <w:tcPr>
            <w:tcW w:w="5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8"/>
              </w:rPr>
              <w:t>100.00</w:t>
            </w:r>
          </w:p>
        </w:tc>
        <w:tc>
          <w:tcPr>
            <w:tcW w:w="5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w w:val="98"/>
              </w:rPr>
              <w:t>100.00</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5,235,733</w:t>
            </w:r>
          </w:p>
        </w:tc>
        <w:tc>
          <w:tcPr>
            <w:tcW w:w="94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5,817,259</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4,070,432</w:t>
            </w:r>
          </w:p>
        </w:tc>
        <w:tc>
          <w:tcPr>
            <w:tcW w:w="9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4,655,097</w:t>
            </w: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1,165,301</w:t>
            </w:r>
          </w:p>
        </w:tc>
        <w:tc>
          <w:tcPr>
            <w:tcW w:w="8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1,162,162</w:t>
            </w:r>
          </w:p>
        </w:tc>
        <w:tc>
          <w:tcPr>
            <w:tcW w:w="7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58,501</w:t>
            </w:r>
          </w:p>
        </w:tc>
        <w:tc>
          <w:tcPr>
            <w:tcW w:w="8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(135,495)</w:t>
            </w:r>
          </w:p>
        </w:tc>
        <w:tc>
          <w:tcPr>
            <w:tcW w:w="7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31,089</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Special</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spacing w:after="0" w:line="175" w:lineRule="exact"/>
              <w:rPr>
                <w:sz w:val="20"/>
                <w:szCs w:val="20"/>
                <w:color w:val="auto"/>
              </w:rPr>
            </w:pPr>
            <w:r>
              <w:rPr>
                <w:rFonts w:ascii="Arial" w:cs="Arial" w:eastAsia="Arial" w:hAnsi="Arial"/>
                <w:sz w:val="16"/>
                <w:szCs w:val="16"/>
                <w:color w:val="auto"/>
              </w:rPr>
              <w:t>purpose Entity,</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00" w:type="dxa"/>
            <w:vAlign w:val="bottom"/>
            <w:gridSpan w:val="2"/>
          </w:tcPr>
          <w:p>
            <w:pPr>
              <w:spacing w:after="0"/>
              <w:rPr>
                <w:sz w:val="20"/>
                <w:szCs w:val="20"/>
                <w:color w:val="auto"/>
              </w:rPr>
            </w:pPr>
            <w:r>
              <w:rPr>
                <w:rFonts w:ascii="Arial" w:cs="Arial" w:eastAsia="Arial" w:hAnsi="Arial"/>
                <w:sz w:val="16"/>
                <w:szCs w:val="16"/>
                <w:color w:val="auto"/>
              </w:rPr>
              <w:t>CCR Inc.(v)</w:t>
            </w:r>
          </w:p>
        </w:tc>
        <w:tc>
          <w:tcPr>
            <w:tcW w:w="1140" w:type="dxa"/>
            <w:vAlign w:val="bottom"/>
            <w:gridSpan w:val="2"/>
          </w:tcPr>
          <w:p>
            <w:pPr>
              <w:spacing w:after="0"/>
              <w:rPr>
                <w:sz w:val="20"/>
                <w:szCs w:val="20"/>
                <w:color w:val="auto"/>
              </w:rPr>
            </w:pPr>
            <w:r>
              <w:rPr>
                <w:rFonts w:ascii="Arial" w:cs="Arial" w:eastAsia="Arial" w:hAnsi="Arial"/>
                <w:sz w:val="16"/>
                <w:szCs w:val="16"/>
                <w:color w:val="auto"/>
              </w:rPr>
              <w:t>Bahamas</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100.00</w:t>
            </w: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100.00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260</w:t>
            </w:r>
          </w:p>
        </w:tc>
        <w:tc>
          <w:tcPr>
            <w:tcW w:w="4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347</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940" w:type="dxa"/>
            <w:vAlign w:val="bottom"/>
            <w:gridSpan w:val="3"/>
          </w:tcPr>
          <w:p>
            <w:pPr>
              <w:jc w:val="right"/>
              <w:ind w:right="20"/>
              <w:spacing w:after="0"/>
              <w:rPr>
                <w:sz w:val="20"/>
                <w:szCs w:val="20"/>
                <w:color w:val="auto"/>
              </w:rPr>
            </w:pPr>
            <w:r>
              <w:rPr>
                <w:rFonts w:ascii="Arial" w:cs="Arial" w:eastAsia="Arial" w:hAnsi="Arial"/>
                <w:sz w:val="16"/>
                <w:szCs w:val="16"/>
                <w:color w:val="auto"/>
              </w:rPr>
              <w:t>69</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256</w:t>
            </w:r>
          </w:p>
        </w:tc>
        <w:tc>
          <w:tcPr>
            <w:tcW w:w="780" w:type="dxa"/>
            <w:vAlign w:val="bottom"/>
          </w:tcPr>
          <w:p>
            <w:pPr>
              <w:jc w:val="right"/>
              <w:spacing w:after="0"/>
              <w:rPr>
                <w:sz w:val="20"/>
                <w:szCs w:val="20"/>
                <w:color w:val="auto"/>
              </w:rPr>
            </w:pPr>
            <w:r>
              <w:rPr>
                <w:rFonts w:ascii="Arial" w:cs="Arial" w:eastAsia="Arial" w:hAnsi="Arial"/>
                <w:sz w:val="16"/>
                <w:szCs w:val="16"/>
                <w:color w:val="auto"/>
              </w:rPr>
              <w:t>278</w:t>
            </w:r>
          </w:p>
        </w:tc>
        <w:tc>
          <w:tcPr>
            <w:tcW w:w="6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6"/>
                <w:szCs w:val="16"/>
                <w:color w:val="auto"/>
              </w:rPr>
              <w:t>(22)</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87" w:right="20" w:hanging="287"/>
        <w:spacing w:after="0" w:line="241" w:lineRule="auto"/>
        <w:tabs>
          <w:tab w:leader="none" w:pos="2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Grupo Crédito is a company whose main activities are to carry out management and administration activities of the Credicorp Group's subsidiaries and invest in shares listed on the Peruvian Stock Exchange and unlisted shares of Peruvian companies. We present the individual or consolidated figures of their financial statements are presented in accordance with IFRS Accounting Standards and before eliminations for consolidation purposes:</w:t>
      </w:r>
    </w:p>
    <w:p>
      <w:pPr>
        <w:spacing w:after="0" w:line="123"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4"/>
          </w:tcPr>
          <w:p>
            <w:pPr>
              <w:spacing w:after="0"/>
              <w:rPr>
                <w:sz w:val="20"/>
                <w:szCs w:val="20"/>
                <w:color w:val="auto"/>
              </w:rPr>
            </w:pPr>
            <w:r>
              <w:rPr>
                <w:rFonts w:ascii="Arial" w:cs="Arial" w:eastAsia="Arial" w:hAnsi="Arial"/>
                <w:sz w:val="16"/>
                <w:szCs w:val="16"/>
                <w:b w:val="1"/>
                <w:bCs w:val="1"/>
                <w:color w:val="auto"/>
              </w:rPr>
              <w:t>Percentage of</w:t>
            </w: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Activity and</w:t>
            </w:r>
          </w:p>
        </w:tc>
        <w:tc>
          <w:tcPr>
            <w:tcW w:w="5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w w:val="96"/>
              </w:rPr>
              <w:t>interest</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country of</w:t>
            </w:r>
          </w:p>
        </w:tc>
        <w:tc>
          <w:tcPr>
            <w:tcW w:w="112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(direct and</w:t>
            </w: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Entity</w:t>
            </w: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incorporation</w:t>
            </w:r>
          </w:p>
        </w:tc>
        <w:tc>
          <w:tcPr>
            <w:tcW w:w="1120" w:type="dxa"/>
            <w:vAlign w:val="bottom"/>
            <w:gridSpan w:val="4"/>
          </w:tcPr>
          <w:p>
            <w:pPr>
              <w:spacing w:after="0"/>
              <w:rPr>
                <w:sz w:val="20"/>
                <w:szCs w:val="20"/>
                <w:color w:val="auto"/>
              </w:rPr>
            </w:pPr>
            <w:r>
              <w:rPr>
                <w:rFonts w:ascii="Arial" w:cs="Arial" w:eastAsia="Arial" w:hAnsi="Arial"/>
                <w:sz w:val="16"/>
                <w:szCs w:val="16"/>
                <w:b w:val="1"/>
                <w:bCs w:val="1"/>
                <w:color w:val="auto"/>
              </w:rPr>
              <w:t>indirect)</w:t>
            </w:r>
          </w:p>
        </w:tc>
        <w:tc>
          <w:tcPr>
            <w:tcW w:w="940" w:type="dxa"/>
            <w:vAlign w:val="bottom"/>
            <w:gridSpan w:val="3"/>
          </w:tcPr>
          <w:p>
            <w:pPr>
              <w:ind w:left="4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Liabilities</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ind w:right="222"/>
              <w:spacing w:after="0"/>
              <w:rPr>
                <w:sz w:val="20"/>
                <w:szCs w:val="20"/>
                <w:color w:val="auto"/>
              </w:rPr>
            </w:pPr>
            <w:r>
              <w:rPr>
                <w:rFonts w:ascii="Arial" w:cs="Arial" w:eastAsia="Arial" w:hAnsi="Arial"/>
                <w:sz w:val="16"/>
                <w:szCs w:val="16"/>
                <w:b w:val="1"/>
                <w:bCs w:val="1"/>
                <w:color w:val="auto"/>
                <w:w w:val="93"/>
              </w:rPr>
              <w:t>Equity</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5"/>
          </w:tcPr>
          <w:p>
            <w:pPr>
              <w:spacing w:after="0"/>
              <w:rPr>
                <w:sz w:val="20"/>
                <w:szCs w:val="20"/>
                <w:color w:val="auto"/>
              </w:rPr>
            </w:pPr>
            <w:r>
              <w:rPr>
                <w:rFonts w:ascii="Arial" w:cs="Arial" w:eastAsia="Arial" w:hAnsi="Arial"/>
                <w:sz w:val="16"/>
                <w:szCs w:val="16"/>
                <w:b w:val="1"/>
                <w:bCs w:val="1"/>
                <w:color w:val="auto"/>
              </w:rPr>
              <w:t>Net profit (loss)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20"/>
              <w:spacing w:after="0" w:line="178"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40"/>
              <w:spacing w:after="0" w:line="178"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860" w:type="dxa"/>
            <w:vAlign w:val="bottom"/>
            <w:tcBorders>
              <w:top w:val="single" w:sz="8" w:color="auto"/>
            </w:tcBorders>
            <w:gridSpan w:val="2"/>
          </w:tcPr>
          <w:p>
            <w:pPr>
              <w:ind w:left="80"/>
              <w:spacing w:after="0" w:line="178" w:lineRule="exact"/>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5"/>
                <w:szCs w:val="15"/>
                <w:color w:val="auto"/>
              </w:rPr>
            </w:pPr>
          </w:p>
        </w:tc>
        <w:tc>
          <w:tcPr>
            <w:tcW w:w="7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40"/>
              <w:spacing w:after="0" w:line="178" w:lineRule="exact"/>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40" w:type="dxa"/>
            <w:vAlign w:val="bottom"/>
            <w:gridSpan w:val="2"/>
            <w:vMerge w:val="restart"/>
          </w:tcPr>
          <w:p>
            <w:pPr>
              <w:spacing w:after="0"/>
              <w:rPr>
                <w:sz w:val="20"/>
                <w:szCs w:val="20"/>
                <w:color w:val="auto"/>
              </w:rPr>
            </w:pPr>
            <w:r>
              <w:rPr>
                <w:rFonts w:ascii="Arial" w:cs="Arial" w:eastAsia="Arial" w:hAnsi="Arial"/>
                <w:sz w:val="16"/>
                <w:szCs w:val="16"/>
                <w:color w:val="auto"/>
              </w:rPr>
              <w:t>Banco de</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24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5" w:lineRule="exact"/>
              <w:rPr>
                <w:sz w:val="20"/>
                <w:szCs w:val="20"/>
                <w:color w:val="auto"/>
              </w:rPr>
            </w:pPr>
            <w:r>
              <w:rPr>
                <w:rFonts w:ascii="Arial" w:cs="Arial" w:eastAsia="Arial" w:hAnsi="Arial"/>
                <w:sz w:val="16"/>
                <w:szCs w:val="16"/>
                <w:color w:val="auto"/>
              </w:rPr>
              <w:t>Crédito del Perú</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5" w:lineRule="exact"/>
              <w:rPr>
                <w:sz w:val="20"/>
                <w:szCs w:val="20"/>
                <w:color w:val="auto"/>
              </w:rPr>
            </w:pPr>
            <w:r>
              <w:rPr>
                <w:rFonts w:ascii="Arial" w:cs="Arial" w:eastAsia="Arial" w:hAnsi="Arial"/>
                <w:sz w:val="16"/>
                <w:szCs w:val="16"/>
                <w:color w:val="auto"/>
              </w:rPr>
              <w:t>and Subsidiaries</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5" w:lineRule="exact"/>
              <w:rPr>
                <w:sz w:val="20"/>
                <w:szCs w:val="20"/>
                <w:color w:val="auto"/>
              </w:rPr>
            </w:pPr>
            <w:r>
              <w:rPr>
                <w:rFonts w:ascii="Arial" w:cs="Arial" w:eastAsia="Arial" w:hAnsi="Arial"/>
                <w:sz w:val="16"/>
                <w:szCs w:val="16"/>
                <w:color w:val="auto"/>
              </w:rPr>
              <w:t>(a)</w:t>
            </w:r>
          </w:p>
        </w:tc>
        <w:tc>
          <w:tcPr>
            <w:tcW w:w="1160" w:type="dxa"/>
            <w:vAlign w:val="bottom"/>
            <w:gridSpan w:val="2"/>
          </w:tcPr>
          <w:p>
            <w:pPr>
              <w:spacing w:after="0" w:line="175" w:lineRule="exact"/>
              <w:rPr>
                <w:sz w:val="20"/>
                <w:szCs w:val="20"/>
                <w:color w:val="auto"/>
              </w:rPr>
            </w:pPr>
            <w:r>
              <w:rPr>
                <w:rFonts w:ascii="Arial" w:cs="Arial" w:eastAsia="Arial" w:hAnsi="Arial"/>
                <w:sz w:val="16"/>
                <w:szCs w:val="16"/>
                <w:color w:val="auto"/>
              </w:rPr>
              <w:t>Banking, Peru</w:t>
            </w:r>
          </w:p>
        </w:tc>
        <w:tc>
          <w:tcPr>
            <w:tcW w:w="5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97.74</w:t>
            </w:r>
          </w:p>
        </w:tc>
        <w:tc>
          <w:tcPr>
            <w:tcW w:w="8300" w:type="dxa"/>
            <w:vAlign w:val="bottom"/>
            <w:gridSpan w:val="24"/>
          </w:tcPr>
          <w:p>
            <w:pPr>
              <w:jc w:val="right"/>
              <w:ind w:right="20"/>
              <w:spacing w:after="0" w:line="175" w:lineRule="exact"/>
              <w:rPr>
                <w:sz w:val="20"/>
                <w:szCs w:val="20"/>
                <w:color w:val="auto"/>
              </w:rPr>
            </w:pPr>
            <w:r>
              <w:rPr>
                <w:rFonts w:ascii="Arial" w:cs="Arial" w:eastAsia="Arial" w:hAnsi="Arial"/>
                <w:sz w:val="16"/>
                <w:szCs w:val="16"/>
                <w:color w:val="auto"/>
              </w:rPr>
              <w:t>97.74 211,086,260 193,804,856 184,934,666 168,645,448 26,151,594 25,159,408 5,311,804 4,583,662 4,683,775</w:t>
            </w: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5" w:lineRule="exact"/>
              <w:rPr>
                <w:sz w:val="20"/>
                <w:szCs w:val="20"/>
                <w:color w:val="auto"/>
              </w:rPr>
            </w:pPr>
            <w:r>
              <w:rPr>
                <w:rFonts w:ascii="Arial" w:cs="Arial" w:eastAsia="Arial" w:hAnsi="Arial"/>
                <w:sz w:val="16"/>
                <w:szCs w:val="16"/>
                <w:color w:val="auto"/>
              </w:rPr>
              <w:t>Inversiones</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5" w:lineRule="exact"/>
              <w:rPr>
                <w:sz w:val="20"/>
                <w:szCs w:val="20"/>
                <w:color w:val="auto"/>
              </w:rPr>
            </w:pPr>
            <w:r>
              <w:rPr>
                <w:rFonts w:ascii="Arial" w:cs="Arial" w:eastAsia="Arial" w:hAnsi="Arial"/>
                <w:sz w:val="16"/>
                <w:szCs w:val="16"/>
                <w:color w:val="auto"/>
              </w:rPr>
              <w:t>Credicorp Bolivia</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5" w:lineRule="exact"/>
              <w:rPr>
                <w:sz w:val="20"/>
                <w:szCs w:val="20"/>
                <w:color w:val="auto"/>
              </w:rPr>
            </w:pPr>
            <w:r>
              <w:rPr>
                <w:rFonts w:ascii="Arial" w:cs="Arial" w:eastAsia="Arial" w:hAnsi="Arial"/>
                <w:sz w:val="16"/>
                <w:szCs w:val="16"/>
                <w:color w:val="auto"/>
              </w:rPr>
              <w:t>S.A. and</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5" w:lineRule="exact"/>
              <w:rPr>
                <w:sz w:val="20"/>
                <w:szCs w:val="20"/>
                <w:color w:val="auto"/>
              </w:rPr>
            </w:pPr>
            <w:r>
              <w:rPr>
                <w:rFonts w:ascii="Arial" w:cs="Arial" w:eastAsia="Arial" w:hAnsi="Arial"/>
                <w:sz w:val="16"/>
                <w:szCs w:val="16"/>
                <w:color w:val="auto"/>
              </w:rPr>
              <w:t>Subsidiaries (b)</w:t>
            </w:r>
          </w:p>
        </w:tc>
        <w:tc>
          <w:tcPr>
            <w:tcW w:w="1160" w:type="dxa"/>
            <w:vAlign w:val="bottom"/>
            <w:gridSpan w:val="2"/>
          </w:tcPr>
          <w:p>
            <w:pPr>
              <w:spacing w:after="0" w:line="175" w:lineRule="exact"/>
              <w:rPr>
                <w:sz w:val="20"/>
                <w:szCs w:val="20"/>
                <w:color w:val="auto"/>
              </w:rPr>
            </w:pPr>
            <w:r>
              <w:rPr>
                <w:rFonts w:ascii="Arial" w:cs="Arial" w:eastAsia="Arial" w:hAnsi="Arial"/>
                <w:sz w:val="16"/>
                <w:szCs w:val="16"/>
                <w:color w:val="auto"/>
              </w:rPr>
              <w:t>Banking, Bolivia</w:t>
            </w:r>
          </w:p>
        </w:tc>
        <w:tc>
          <w:tcPr>
            <w:tcW w:w="5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99.96</w:t>
            </w:r>
          </w:p>
        </w:tc>
        <w:tc>
          <w:tcPr>
            <w:tcW w:w="5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99.96</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14,028,528</w:t>
            </w:r>
          </w:p>
        </w:tc>
        <w:tc>
          <w:tcPr>
            <w:tcW w:w="9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13,558,260</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13,106,538</w:t>
            </w:r>
          </w:p>
        </w:tc>
        <w:tc>
          <w:tcPr>
            <w:tcW w:w="40" w:type="dxa"/>
            <w:vAlign w:val="bottom"/>
          </w:tcPr>
          <w:p>
            <w:pPr>
              <w:spacing w:after="0"/>
              <w:rPr>
                <w:sz w:val="15"/>
                <w:szCs w:val="15"/>
                <w:color w:val="auto"/>
              </w:rPr>
            </w:pP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12,740,067</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921,990</w:t>
            </w:r>
          </w:p>
        </w:tc>
        <w:tc>
          <w:tcPr>
            <w:tcW w:w="92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818,193</w:t>
            </w: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92,781</w:t>
            </w:r>
          </w:p>
        </w:tc>
        <w:tc>
          <w:tcPr>
            <w:tcW w:w="8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84,898</w:t>
            </w: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80,377</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line="175" w:lineRule="exact"/>
              <w:rPr>
                <w:sz w:val="20"/>
                <w:szCs w:val="20"/>
                <w:color w:val="auto"/>
              </w:rPr>
            </w:pPr>
            <w:r>
              <w:rPr>
                <w:rFonts w:ascii="Arial" w:cs="Arial" w:eastAsia="Arial" w:hAnsi="Arial"/>
                <w:sz w:val="16"/>
                <w:szCs w:val="16"/>
                <w:color w:val="auto"/>
              </w:rPr>
              <w:t>Private pension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line="175" w:lineRule="exact"/>
              <w:rPr>
                <w:sz w:val="20"/>
                <w:szCs w:val="20"/>
                <w:color w:val="auto"/>
              </w:rPr>
            </w:pPr>
            <w:r>
              <w:rPr>
                <w:rFonts w:ascii="Arial" w:cs="Arial" w:eastAsia="Arial" w:hAnsi="Arial"/>
                <w:sz w:val="16"/>
                <w:szCs w:val="16"/>
                <w:color w:val="auto"/>
              </w:rPr>
              <w:t>fund</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line="175" w:lineRule="exact"/>
              <w:rPr>
                <w:sz w:val="20"/>
                <w:szCs w:val="20"/>
                <w:color w:val="auto"/>
              </w:rPr>
            </w:pPr>
            <w:r>
              <w:rPr>
                <w:rFonts w:ascii="Arial" w:cs="Arial" w:eastAsia="Arial" w:hAnsi="Arial"/>
                <w:sz w:val="16"/>
                <w:szCs w:val="16"/>
                <w:color w:val="auto"/>
              </w:rPr>
              <w:t>administrator,</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5" w:lineRule="exact"/>
              <w:rPr>
                <w:sz w:val="20"/>
                <w:szCs w:val="20"/>
                <w:color w:val="auto"/>
              </w:rPr>
            </w:pPr>
            <w:r>
              <w:rPr>
                <w:rFonts w:ascii="Arial" w:cs="Arial" w:eastAsia="Arial" w:hAnsi="Arial"/>
                <w:sz w:val="16"/>
                <w:szCs w:val="16"/>
                <w:color w:val="auto"/>
              </w:rPr>
              <w:t>Prima AFP (c)</w:t>
            </w:r>
          </w:p>
        </w:tc>
        <w:tc>
          <w:tcPr>
            <w:tcW w:w="1160" w:type="dxa"/>
            <w:vAlign w:val="bottom"/>
            <w:gridSpan w:val="2"/>
          </w:tcPr>
          <w:p>
            <w:pPr>
              <w:spacing w:after="0" w:line="175" w:lineRule="exact"/>
              <w:rPr>
                <w:sz w:val="20"/>
                <w:szCs w:val="20"/>
                <w:color w:val="auto"/>
              </w:rPr>
            </w:pPr>
            <w:r>
              <w:rPr>
                <w:rFonts w:ascii="Arial" w:cs="Arial" w:eastAsia="Arial" w:hAnsi="Arial"/>
                <w:sz w:val="16"/>
                <w:szCs w:val="16"/>
                <w:color w:val="auto"/>
              </w:rPr>
              <w:t>Peru</w:t>
            </w:r>
          </w:p>
        </w:tc>
        <w:tc>
          <w:tcPr>
            <w:tcW w:w="5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100.00</w:t>
            </w:r>
          </w:p>
        </w:tc>
        <w:tc>
          <w:tcPr>
            <w:tcW w:w="5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8"/>
              </w:rPr>
              <w:t>100.00</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657,971</w:t>
            </w:r>
          </w:p>
        </w:tc>
        <w:tc>
          <w:tcPr>
            <w:tcW w:w="9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740,728</w:t>
            </w:r>
          </w:p>
        </w:tc>
        <w:tc>
          <w:tcPr>
            <w:tcW w:w="9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182,419</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240,656</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475,552</w:t>
            </w:r>
          </w:p>
        </w:tc>
        <w:tc>
          <w:tcPr>
            <w:tcW w:w="92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500,072</w:t>
            </w: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132,926</w:t>
            </w:r>
          </w:p>
        </w:tc>
        <w:tc>
          <w:tcPr>
            <w:tcW w:w="20" w:type="dxa"/>
            <w:vAlign w:val="bottom"/>
          </w:tcPr>
          <w:p>
            <w:pPr>
              <w:spacing w:after="0"/>
              <w:rPr>
                <w:sz w:val="15"/>
                <w:szCs w:val="15"/>
                <w:color w:val="auto"/>
              </w:rPr>
            </w:pPr>
          </w:p>
        </w:tc>
        <w:tc>
          <w:tcPr>
            <w:tcW w:w="7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149,549</w:t>
            </w:r>
          </w:p>
        </w:tc>
        <w:tc>
          <w:tcPr>
            <w:tcW w:w="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109,511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gridSpan w:val="2"/>
          </w:tcPr>
          <w:p>
            <w:pPr>
              <w:spacing w:after="0" w:line="175" w:lineRule="exact"/>
              <w:rPr>
                <w:sz w:val="20"/>
                <w:szCs w:val="20"/>
                <w:color w:val="auto"/>
              </w:rPr>
            </w:pPr>
            <w:r>
              <w:rPr>
                <w:rFonts w:ascii="Arial" w:cs="Arial" w:eastAsia="Arial" w:hAnsi="Arial"/>
                <w:sz w:val="16"/>
                <w:szCs w:val="16"/>
                <w:color w:val="auto"/>
              </w:rPr>
              <w:t>Tenpo SpA y</w:t>
            </w:r>
          </w:p>
        </w:tc>
        <w:tc>
          <w:tcPr>
            <w:tcW w:w="1160" w:type="dxa"/>
            <w:vAlign w:val="bottom"/>
            <w:gridSpan w:val="2"/>
          </w:tcPr>
          <w:p>
            <w:pPr>
              <w:spacing w:after="0" w:line="175" w:lineRule="exact"/>
              <w:rPr>
                <w:sz w:val="20"/>
                <w:szCs w:val="20"/>
                <w:color w:val="auto"/>
              </w:rPr>
            </w:pPr>
            <w:r>
              <w:rPr>
                <w:rFonts w:ascii="Arial" w:cs="Arial" w:eastAsia="Arial" w:hAnsi="Arial"/>
                <w:sz w:val="16"/>
                <w:szCs w:val="16"/>
                <w:color w:val="auto"/>
              </w:rPr>
              <w:t>Financial</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40" w:type="dxa"/>
            <w:vAlign w:val="bottom"/>
            <w:gridSpan w:val="2"/>
          </w:tcPr>
          <w:p>
            <w:pPr>
              <w:spacing w:after="0"/>
              <w:rPr>
                <w:sz w:val="20"/>
                <w:szCs w:val="20"/>
                <w:color w:val="auto"/>
              </w:rPr>
            </w:pPr>
            <w:r>
              <w:rPr>
                <w:rFonts w:ascii="Arial" w:cs="Arial" w:eastAsia="Arial" w:hAnsi="Arial"/>
                <w:sz w:val="16"/>
                <w:szCs w:val="16"/>
                <w:color w:val="auto"/>
              </w:rPr>
              <w:t>Subsidiarias (d)</w:t>
            </w:r>
          </w:p>
        </w:tc>
        <w:tc>
          <w:tcPr>
            <w:tcW w:w="1160" w:type="dxa"/>
            <w:vAlign w:val="bottom"/>
            <w:gridSpan w:val="2"/>
          </w:tcPr>
          <w:p>
            <w:pPr>
              <w:spacing w:after="0"/>
              <w:rPr>
                <w:sz w:val="20"/>
                <w:szCs w:val="20"/>
                <w:color w:val="auto"/>
              </w:rPr>
            </w:pPr>
            <w:r>
              <w:rPr>
                <w:rFonts w:ascii="Arial" w:cs="Arial" w:eastAsia="Arial" w:hAnsi="Arial"/>
                <w:sz w:val="16"/>
                <w:szCs w:val="16"/>
                <w:color w:val="auto"/>
              </w:rPr>
              <w:t>Services, Chile</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100.00</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903,698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387,355</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646,952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185,502</w:t>
            </w:r>
          </w:p>
        </w:tc>
        <w:tc>
          <w:tcPr>
            <w:tcW w:w="780" w:type="dxa"/>
            <w:vAlign w:val="bottom"/>
          </w:tcPr>
          <w:p>
            <w:pPr>
              <w:jc w:val="right"/>
              <w:spacing w:after="0"/>
              <w:rPr>
                <w:sz w:val="20"/>
                <w:szCs w:val="20"/>
                <w:color w:val="auto"/>
              </w:rPr>
            </w:pPr>
            <w:r>
              <w:rPr>
                <w:rFonts w:ascii="Arial" w:cs="Arial" w:eastAsia="Arial" w:hAnsi="Arial"/>
                <w:sz w:val="16"/>
                <w:szCs w:val="16"/>
                <w:color w:val="auto"/>
              </w:rPr>
              <w:t>256,746</w:t>
            </w: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201,853</w:t>
            </w:r>
          </w:p>
        </w:tc>
        <w:tc>
          <w:tcPr>
            <w:tcW w:w="700" w:type="dxa"/>
            <w:vAlign w:val="bottom"/>
          </w:tcPr>
          <w:p>
            <w:pPr>
              <w:jc w:val="right"/>
              <w:spacing w:after="0"/>
              <w:rPr>
                <w:sz w:val="20"/>
                <w:szCs w:val="20"/>
                <w:color w:val="auto"/>
              </w:rPr>
            </w:pPr>
            <w:r>
              <w:rPr>
                <w:rFonts w:ascii="Arial" w:cs="Arial" w:eastAsia="Arial" w:hAnsi="Arial"/>
                <w:sz w:val="16"/>
                <w:szCs w:val="16"/>
                <w:color w:val="auto"/>
                <w:w w:val="99"/>
              </w:rPr>
              <w:t>(118,344)</w:t>
            </w:r>
          </w:p>
        </w:tc>
        <w:tc>
          <w:tcPr>
            <w:tcW w:w="2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(111,692)</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(124,748)</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567" w:right="420" w:hanging="287"/>
        <w:spacing w:after="0" w:line="255" w:lineRule="auto"/>
        <w:tabs>
          <w:tab w:leader="none" w:pos="5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BCP was established in 1889 and its activities are regulated by the Superintendency of Banks, Insurance and Pension Funds -Perú (the authority that regulates banking, insurance and pension funds activities in Perú, hereinafter “the SBS").</w:t>
      </w:r>
    </w:p>
    <w:p>
      <w:pPr>
        <w:spacing w:after="0" w:line="134" w:lineRule="exact"/>
        <w:rPr>
          <w:rFonts w:ascii="Arial" w:cs="Arial" w:eastAsia="Arial" w:hAnsi="Arial"/>
          <w:sz w:val="16"/>
          <w:szCs w:val="16"/>
          <w:color w:val="auto"/>
        </w:rPr>
      </w:pPr>
    </w:p>
    <w:p>
      <w:pPr>
        <w:ind w:left="567" w:right="160"/>
        <w:spacing w:after="0" w:line="238" w:lineRule="auto"/>
        <w:rPr>
          <w:rFonts w:ascii="Arial" w:cs="Arial" w:eastAsia="Arial" w:hAnsi="Arial"/>
          <w:sz w:val="16"/>
          <w:szCs w:val="16"/>
          <w:color w:val="auto"/>
        </w:rPr>
      </w:pPr>
      <w:r>
        <w:rPr>
          <w:rFonts w:ascii="Arial" w:cs="Arial" w:eastAsia="Arial" w:hAnsi="Arial"/>
          <w:sz w:val="16"/>
          <w:szCs w:val="16"/>
          <w:color w:val="auto"/>
        </w:rPr>
        <w:t>Its main Subsidiary is Mibanco, Banco de la Microempresa S.A. (hereinafter “MiBanco”), a banking entity in Perú oriented towards the micro and small business sector. As of December 31, 2024, the assets, liabilities, equity and net result of Mibanco amount to approximately S/16,947.3 million, S/14,279.3 million, S/2,668.0 million and S/309.1 million, respectively (S/16,897.8 million, S/13,902.2 million, S/2,995.6 million, and S/203.8 million, respectively December 31, 2023).</w:t>
      </w:r>
    </w:p>
    <w:p>
      <w:pPr>
        <w:spacing w:after="0" w:line="145" w:lineRule="exact"/>
        <w:rPr>
          <w:rFonts w:ascii="Arial" w:cs="Arial" w:eastAsia="Arial" w:hAnsi="Arial"/>
          <w:sz w:val="16"/>
          <w:szCs w:val="16"/>
          <w:color w:val="auto"/>
        </w:rPr>
      </w:pPr>
    </w:p>
    <w:p>
      <w:pPr>
        <w:ind w:left="567" w:right="360" w:hanging="287"/>
        <w:spacing w:after="0" w:line="238" w:lineRule="auto"/>
        <w:tabs>
          <w:tab w:leader="none" w:pos="5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Inversiones Credicorp Bolivia S.A. (hereinafter “ICBSA”) was established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45" w:lineRule="exact"/>
        <w:rPr>
          <w:rFonts w:ascii="Arial" w:cs="Arial" w:eastAsia="Arial" w:hAnsi="Arial"/>
          <w:sz w:val="16"/>
          <w:szCs w:val="16"/>
          <w:color w:val="auto"/>
        </w:rPr>
      </w:pPr>
    </w:p>
    <w:p>
      <w:pPr>
        <w:ind w:left="567" w:right="140"/>
        <w:spacing w:after="0" w:line="241" w:lineRule="auto"/>
        <w:rPr>
          <w:rFonts w:ascii="Arial" w:cs="Arial" w:eastAsia="Arial" w:hAnsi="Arial"/>
          <w:sz w:val="16"/>
          <w:szCs w:val="16"/>
          <w:color w:val="auto"/>
        </w:rPr>
      </w:pPr>
      <w:r>
        <w:rPr>
          <w:rFonts w:ascii="Arial" w:cs="Arial" w:eastAsia="Arial" w:hAnsi="Arial"/>
          <w:sz w:val="16"/>
          <w:szCs w:val="16"/>
          <w:color w:val="auto"/>
        </w:rPr>
        <w:t>Its principal Subsidiary is Banco de Crédito de Bolivia (hereinafter “BCB”), a commercial bank which operates in Bolivia. As of December 31, 2024, the assets, liabilities, equity and net result of BCB were approximately S/13,974.7 million, S/12,968.7 million, S/1,006.0 million and S/93.5 million, respectively (S/13,500.9 million, S/12,612.3 million, S/888.6 million and S/83.1 million, respectively as of December 31, 2023).</w:t>
      </w:r>
    </w:p>
    <w:p>
      <w:pPr>
        <w:spacing w:after="0" w:line="145" w:lineRule="exact"/>
        <w:rPr>
          <w:rFonts w:ascii="Arial" w:cs="Arial" w:eastAsia="Arial" w:hAnsi="Arial"/>
          <w:sz w:val="16"/>
          <w:szCs w:val="16"/>
          <w:color w:val="auto"/>
        </w:rPr>
      </w:pPr>
    </w:p>
    <w:p>
      <w:pPr>
        <w:ind w:left="567" w:hanging="287"/>
        <w:spacing w:after="0"/>
        <w:tabs>
          <w:tab w:leader="none" w:pos="5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Prima AFP is a private pension fund and its activities are regulated by the SBS.</w:t>
      </w:r>
    </w:p>
    <w:p>
      <w:pPr>
        <w:sectPr>
          <w:pgSz w:w="11900" w:h="16838" w:orient="portrait"/>
          <w:cols w:equalWidth="0" w:num="1">
            <w:col w:w="11267"/>
          </w:cols>
          <w:pgMar w:left="313" w:top="124" w:right="319" w:bottom="1440" w:gutter="0" w:footer="0" w:header="0"/>
        </w:sectPr>
      </w:pPr>
    </w:p>
    <w:p>
      <w:pPr>
        <w:spacing w:after="0" w:line="31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type w:val="continuous"/>
        </w:sectPr>
      </w:pPr>
    </w:p>
    <w:bookmarkStart w:id="26" w:name="page27"/>
    <w:bookmarkEnd w:id="26"/>
    <w:p>
      <w:pPr>
        <w:ind w:left="567" w:right="60" w:hanging="287"/>
        <w:spacing w:after="0" w:line="238" w:lineRule="auto"/>
        <w:tabs>
          <w:tab w:leader="none" w:pos="567" w:val="left"/>
        </w:tabs>
        <w:numPr>
          <w:ilvl w:val="1"/>
          <w:numId w:val="13"/>
        </w:numPr>
        <w:rPr>
          <w:rFonts w:ascii="Arial" w:cs="Arial" w:eastAsia="Arial" w:hAnsi="Arial"/>
          <w:sz w:val="16"/>
          <w:szCs w:val="16"/>
          <w:color w:val="auto"/>
        </w:rPr>
      </w:pPr>
      <w:r>
        <w:rPr>
          <w:rFonts w:ascii="Arial" w:cs="Arial" w:eastAsia="Arial" w:hAnsi="Arial"/>
          <w:sz w:val="16"/>
          <w:szCs w:val="16"/>
          <w:color w:val="auto"/>
        </w:rPr>
        <w:t>Tenpo SpA (hereinafter “Tenpo", before “Krealo SpA”) was established in Chile in January 2019; and is oriented to make capital investments outside the country. On July 1, 2019, Tenpo (Krealo SpA) acquired Tenpo Technologies SpA (before “Tenpo SpA”) and Tenpo Prepago S.A. (before “Multicaja Prepago S.A.”). This group of companies provides some financial products and is in the process of being approved by the Chilean Superintendency of Banks and Financial Institutions to grant a banking license and open Tenpo Bank.</w:t>
      </w:r>
    </w:p>
    <w:p>
      <w:pPr>
        <w:spacing w:after="0" w:line="146" w:lineRule="exact"/>
        <w:rPr>
          <w:rFonts w:ascii="Arial" w:cs="Arial" w:eastAsia="Arial" w:hAnsi="Arial"/>
          <w:sz w:val="16"/>
          <w:szCs w:val="16"/>
          <w:color w:val="auto"/>
        </w:rPr>
      </w:pPr>
    </w:p>
    <w:p>
      <w:pPr>
        <w:ind w:left="287" w:right="240" w:hanging="287"/>
        <w:spacing w:after="0" w:line="293" w:lineRule="auto"/>
        <w:tabs>
          <w:tab w:leader="none" w:pos="287" w:val="left"/>
        </w:tabs>
        <w:numPr>
          <w:ilvl w:val="0"/>
          <w:numId w:val="14"/>
        </w:numPr>
        <w:rPr>
          <w:rFonts w:ascii="Arial" w:cs="Arial" w:eastAsia="Arial" w:hAnsi="Arial"/>
          <w:sz w:val="14"/>
          <w:szCs w:val="14"/>
          <w:color w:val="auto"/>
        </w:rPr>
      </w:pPr>
      <w:r>
        <w:rPr>
          <w:rFonts w:ascii="Arial" w:cs="Arial" w:eastAsia="Arial" w:hAnsi="Arial"/>
          <w:sz w:val="14"/>
          <w:szCs w:val="14"/>
          <w:color w:val="auto"/>
        </w:rPr>
        <w:t>Pacífico Seguros is an entity regulated by the SBS and its activities comprise the contracting and management of all types of general risk and life insurance, reinsurance and property investment and financial operations. Its subsidiaries are Crediseguro Seguros Personales, Crediseguro Seguros Generales and Pacifico Asiste and it has Pacífico EPS as an associate, which are dynamic participants in the business of multiple and health insurance, respectively.</w:t>
      </w:r>
    </w:p>
    <w:p>
      <w:pPr>
        <w:spacing w:after="0" w:line="110" w:lineRule="exact"/>
        <w:rPr>
          <w:rFonts w:ascii="Arial" w:cs="Arial" w:eastAsia="Arial" w:hAnsi="Arial"/>
          <w:sz w:val="14"/>
          <w:szCs w:val="14"/>
          <w:color w:val="auto"/>
        </w:rPr>
      </w:pPr>
    </w:p>
    <w:p>
      <w:pPr>
        <w:ind w:left="287" w:hanging="287"/>
        <w:spacing w:after="0" w:line="255" w:lineRule="auto"/>
        <w:tabs>
          <w:tab w:leader="none" w:pos="2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Its most important subsidiary is ASB Bank Corp. (merged with Atlantic Security Bank on August 2021), was established in September 9, 2020 in the Republic of Panama; its main activities are private and institutional banking services and trustee administration, mainly for BCP’s Peruvian customers.</w:t>
      </w:r>
    </w:p>
    <w:p>
      <w:pPr>
        <w:spacing w:after="0" w:line="110" w:lineRule="exact"/>
        <w:rPr>
          <w:rFonts w:ascii="Arial" w:cs="Arial" w:eastAsia="Arial" w:hAnsi="Arial"/>
          <w:sz w:val="16"/>
          <w:szCs w:val="16"/>
          <w:color w:val="auto"/>
        </w:rPr>
      </w:pPr>
    </w:p>
    <w:p>
      <w:pPr>
        <w:ind w:left="287" w:right="220" w:hanging="287"/>
        <w:spacing w:after="0" w:line="238" w:lineRule="auto"/>
        <w:tabs>
          <w:tab w:leader="none" w:pos="2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Credicorp Capital Ltd. was formed in 2012, and its main subsidiaries are Credicorp Capital Holding Peru (owner of Credicorp Capital Perú S.A.A.), Credicorp Holding Colombia (owner of Credicorp Capital Colombia and Mibanco – Banco de la Microempresa de Colombia S.A.), and Credicorp Capital Holding Chile (owner of Credicorp Capital Chile), which carry out their activities in Peru, Colombia and Chile, respectively. We present below the consolidated financial statements in accordance with IFRS Accounting Standards before eliminations for consolidation purposes:</w:t>
      </w:r>
    </w:p>
    <w:p>
      <w:pPr>
        <w:spacing w:after="0" w:line="123" w:lineRule="exact"/>
        <w:rPr>
          <w:sz w:val="20"/>
          <w:szCs w:val="20"/>
          <w:color w:val="auto"/>
        </w:rPr>
      </w:pPr>
    </w:p>
    <w:tbl>
      <w:tblPr>
        <w:tblLayout w:type="fixed"/>
        <w:tblInd w:w="287"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1480" w:type="dxa"/>
            <w:vAlign w:val="bottom"/>
            <w:gridSpan w:val="4"/>
          </w:tcPr>
          <w:p>
            <w:pPr>
              <w:ind w:left="60"/>
              <w:spacing w:after="0"/>
              <w:rPr>
                <w:sz w:val="20"/>
                <w:szCs w:val="20"/>
                <w:color w:val="auto"/>
              </w:rPr>
            </w:pPr>
            <w:r>
              <w:rPr>
                <w:rFonts w:ascii="Arial" w:cs="Arial" w:eastAsia="Arial" w:hAnsi="Arial"/>
                <w:sz w:val="16"/>
                <w:szCs w:val="16"/>
                <w:b w:val="1"/>
                <w:bCs w:val="1"/>
                <w:color w:val="auto"/>
              </w:rPr>
              <w:t>Percentage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5"/>
        </w:trPr>
        <w:tc>
          <w:tcPr>
            <w:tcW w:w="1900" w:type="dxa"/>
            <w:vAlign w:val="bottom"/>
          </w:tcPr>
          <w:p>
            <w:pPr>
              <w:spacing w:after="0"/>
              <w:rPr>
                <w:sz w:val="15"/>
                <w:szCs w:val="15"/>
                <w:color w:val="auto"/>
              </w:rPr>
            </w:pPr>
          </w:p>
        </w:tc>
        <w:tc>
          <w:tcPr>
            <w:tcW w:w="1480" w:type="dxa"/>
            <w:vAlign w:val="bottom"/>
            <w:gridSpan w:val="4"/>
          </w:tcPr>
          <w:p>
            <w:pPr>
              <w:ind w:left="60"/>
              <w:spacing w:after="0" w:line="175" w:lineRule="exact"/>
              <w:rPr>
                <w:sz w:val="20"/>
                <w:szCs w:val="20"/>
                <w:color w:val="auto"/>
              </w:rPr>
            </w:pPr>
            <w:r>
              <w:rPr>
                <w:rFonts w:ascii="Arial" w:cs="Arial" w:eastAsia="Arial" w:hAnsi="Arial"/>
                <w:sz w:val="16"/>
                <w:szCs w:val="16"/>
                <w:b w:val="1"/>
                <w:bCs w:val="1"/>
                <w:color w:val="auto"/>
                <w:w w:val="97"/>
              </w:rPr>
              <w:t>interest (direct and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2"/>
        </w:trPr>
        <w:tc>
          <w:tcPr>
            <w:tcW w:w="1900" w:type="dxa"/>
            <w:vAlign w:val="bottom"/>
          </w:tcPr>
          <w:p>
            <w:pPr>
              <w:spacing w:after="0"/>
              <w:rPr>
                <w:sz w:val="20"/>
                <w:szCs w:val="20"/>
                <w:color w:val="auto"/>
              </w:rPr>
            </w:pPr>
            <w:r>
              <w:rPr>
                <w:rFonts w:ascii="Arial" w:cs="Arial" w:eastAsia="Arial" w:hAnsi="Arial"/>
                <w:sz w:val="16"/>
                <w:szCs w:val="16"/>
                <w:b w:val="1"/>
                <w:bCs w:val="1"/>
                <w:color w:val="auto"/>
              </w:rPr>
              <w:t>Entity</w:t>
            </w: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indirect)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spacing w:after="0"/>
              <w:rPr>
                <w:sz w:val="20"/>
                <w:szCs w:val="20"/>
                <w:color w:val="auto"/>
              </w:rPr>
            </w:pPr>
            <w:r>
              <w:rPr>
                <w:rFonts w:ascii="Arial" w:cs="Arial" w:eastAsia="Arial" w:hAnsi="Arial"/>
                <w:sz w:val="16"/>
                <w:szCs w:val="16"/>
                <w:b w:val="1"/>
                <w:bCs w:val="1"/>
                <w:color w:val="auto"/>
              </w:rPr>
              <w:t>Net profit (loss)</w:t>
            </w:r>
          </w:p>
        </w:tc>
        <w:tc>
          <w:tcPr>
            <w:tcW w:w="820" w:type="dxa"/>
            <w:vAlign w:val="bottom"/>
          </w:tcPr>
          <w:p>
            <w:pPr>
              <w:spacing w:after="0"/>
              <w:rPr>
                <w:sz w:val="16"/>
                <w:szCs w:val="16"/>
                <w:color w:val="auto"/>
              </w:rPr>
            </w:pPr>
          </w:p>
        </w:tc>
      </w:tr>
      <w:tr>
        <w:trPr>
          <w:trHeight w:val="178"/>
        </w:trPr>
        <w:tc>
          <w:tcPr>
            <w:tcW w:w="1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760" w:type="dxa"/>
            <w:vAlign w:val="bottom"/>
            <w:tcBorders>
              <w:top w:val="single" w:sz="8" w:color="auto"/>
            </w:tcBorders>
            <w:gridSpan w:val="2"/>
          </w:tcPr>
          <w:p>
            <w:pPr>
              <w:ind w:left="100"/>
              <w:spacing w:after="0" w:line="178"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840" w:type="dxa"/>
            <w:vAlign w:val="bottom"/>
            <w:tcBorders>
              <w:top w:val="single" w:sz="8" w:color="auto"/>
            </w:tcBorders>
            <w:gridSpan w:val="2"/>
          </w:tcPr>
          <w:p>
            <w:pPr>
              <w:jc w:val="right"/>
              <w:ind w:right="302"/>
              <w:spacing w:after="0" w:line="178"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840" w:type="dxa"/>
            <w:vAlign w:val="bottom"/>
            <w:tcBorders>
              <w:top w:val="single" w:sz="8" w:color="auto"/>
            </w:tcBorders>
            <w:gridSpan w:val="2"/>
          </w:tcPr>
          <w:p>
            <w:pPr>
              <w:ind w:left="100"/>
              <w:spacing w:after="0" w:line="178"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760" w:type="dxa"/>
            <w:vAlign w:val="bottom"/>
            <w:tcBorders>
              <w:top w:val="single" w:sz="8" w:color="auto"/>
            </w:tcBorders>
            <w:gridSpan w:val="2"/>
          </w:tcPr>
          <w:p>
            <w:pPr>
              <w:ind w:left="100"/>
              <w:spacing w:after="0" w:line="178"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680" w:type="dxa"/>
            <w:vAlign w:val="bottom"/>
            <w:tcBorders>
              <w:top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2024</w:t>
            </w:r>
          </w:p>
        </w:tc>
        <w:tc>
          <w:tcPr>
            <w:tcW w:w="780" w:type="dxa"/>
            <w:vAlign w:val="bottom"/>
            <w:tcBorders>
              <w:top w:val="single" w:sz="8" w:color="auto"/>
            </w:tcBorders>
            <w:gridSpan w:val="2"/>
          </w:tcPr>
          <w:p>
            <w:pPr>
              <w:ind w:left="60"/>
              <w:spacing w:after="0" w:line="178"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2022</w:t>
            </w:r>
          </w:p>
        </w:tc>
      </w:tr>
      <w:tr>
        <w:trPr>
          <w:trHeight w:val="206"/>
        </w:trPr>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7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1"/>
              </w:rPr>
              <w:t>S/(000)</w:t>
            </w: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r>
        <w:trPr>
          <w:trHeight w:val="296"/>
        </w:trPr>
        <w:tc>
          <w:tcPr>
            <w:tcW w:w="1900" w:type="dxa"/>
            <w:vAlign w:val="bottom"/>
          </w:tcPr>
          <w:p>
            <w:pPr>
              <w:spacing w:after="0"/>
              <w:rPr>
                <w:sz w:val="20"/>
                <w:szCs w:val="20"/>
                <w:color w:val="auto"/>
              </w:rPr>
            </w:pPr>
            <w:r>
              <w:rPr>
                <w:rFonts w:ascii="Arial" w:cs="Arial" w:eastAsia="Arial" w:hAnsi="Arial"/>
                <w:sz w:val="16"/>
                <w:szCs w:val="16"/>
                <w:color w:val="auto"/>
              </w:rPr>
              <w:t>Credicorp Holding</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1900" w:type="dxa"/>
            <w:vAlign w:val="bottom"/>
          </w:tcPr>
          <w:p>
            <w:pPr>
              <w:spacing w:after="0" w:line="175" w:lineRule="exact"/>
              <w:rPr>
                <w:sz w:val="20"/>
                <w:szCs w:val="20"/>
                <w:color w:val="auto"/>
              </w:rPr>
            </w:pPr>
            <w:r>
              <w:rPr>
                <w:rFonts w:ascii="Arial" w:cs="Arial" w:eastAsia="Arial" w:hAnsi="Arial"/>
                <w:sz w:val="16"/>
                <w:szCs w:val="16"/>
                <w:color w:val="auto"/>
              </w:rPr>
              <w:t>Colombia S.A.S. and</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1900" w:type="dxa"/>
            <w:vAlign w:val="bottom"/>
          </w:tcPr>
          <w:p>
            <w:pPr>
              <w:spacing w:after="0" w:line="175" w:lineRule="exact"/>
              <w:rPr>
                <w:sz w:val="20"/>
                <w:szCs w:val="20"/>
                <w:color w:val="auto"/>
              </w:rPr>
            </w:pPr>
            <w:r>
              <w:rPr>
                <w:rFonts w:ascii="Arial" w:cs="Arial" w:eastAsia="Arial" w:hAnsi="Arial"/>
                <w:sz w:val="16"/>
                <w:szCs w:val="16"/>
                <w:color w:val="auto"/>
              </w:rPr>
              <w:t>Subsidiaries (a)</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100.00</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100.00</w:t>
            </w: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4,204,281</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4,803,072</w:t>
            </w: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3,404,834</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3,997,781</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799,447</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805,291</w:t>
            </w:r>
          </w:p>
        </w:tc>
        <w:tc>
          <w:tcPr>
            <w:tcW w:w="78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27,913</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(163,342)</w:t>
            </w:r>
          </w:p>
        </w:tc>
        <w:tc>
          <w:tcPr>
            <w:tcW w:w="100" w:type="dxa"/>
            <w:vAlign w:val="bottom"/>
          </w:tcPr>
          <w:p>
            <w:pPr>
              <w:spacing w:after="0"/>
              <w:rPr>
                <w:sz w:val="15"/>
                <w:szCs w:val="15"/>
                <w:color w:val="auto"/>
              </w:rPr>
            </w:pPr>
          </w:p>
        </w:tc>
        <w:tc>
          <w:tcPr>
            <w:tcW w:w="8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16,198</w:t>
            </w:r>
          </w:p>
        </w:tc>
      </w:tr>
      <w:tr>
        <w:trPr>
          <w:trHeight w:val="175"/>
        </w:trPr>
        <w:tc>
          <w:tcPr>
            <w:tcW w:w="1900" w:type="dxa"/>
            <w:vAlign w:val="bottom"/>
          </w:tcPr>
          <w:p>
            <w:pPr>
              <w:spacing w:after="0" w:line="175" w:lineRule="exact"/>
              <w:rPr>
                <w:sz w:val="20"/>
                <w:szCs w:val="20"/>
                <w:color w:val="auto"/>
              </w:rPr>
            </w:pPr>
            <w:r>
              <w:rPr>
                <w:rFonts w:ascii="Arial" w:cs="Arial" w:eastAsia="Arial" w:hAnsi="Arial"/>
                <w:sz w:val="16"/>
                <w:szCs w:val="16"/>
                <w:color w:val="auto"/>
              </w:rPr>
              <w:t>Credicorp Capital Holding</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1900" w:type="dxa"/>
            <w:vAlign w:val="bottom"/>
          </w:tcPr>
          <w:p>
            <w:pPr>
              <w:spacing w:after="0" w:line="175" w:lineRule="exact"/>
              <w:rPr>
                <w:sz w:val="20"/>
                <w:szCs w:val="20"/>
                <w:color w:val="auto"/>
              </w:rPr>
            </w:pPr>
            <w:r>
              <w:rPr>
                <w:rFonts w:ascii="Arial" w:cs="Arial" w:eastAsia="Arial" w:hAnsi="Arial"/>
                <w:sz w:val="16"/>
                <w:szCs w:val="16"/>
                <w:color w:val="auto"/>
              </w:rPr>
              <w:t>Chile and Subsidiaries (b)</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100.00</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100.00</w:t>
            </w: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717,727</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681,338</w:t>
            </w: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548,753</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502,248</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168,974</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179,090</w:t>
            </w:r>
          </w:p>
        </w:tc>
        <w:tc>
          <w:tcPr>
            <w:tcW w:w="78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9,460</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(10,716)</w:t>
            </w:r>
          </w:p>
        </w:tc>
        <w:tc>
          <w:tcPr>
            <w:tcW w:w="100" w:type="dxa"/>
            <w:vAlign w:val="bottom"/>
          </w:tcPr>
          <w:p>
            <w:pPr>
              <w:spacing w:after="0"/>
              <w:rPr>
                <w:sz w:val="15"/>
                <w:szCs w:val="15"/>
                <w:color w:val="auto"/>
              </w:rPr>
            </w:pPr>
          </w:p>
        </w:tc>
        <w:tc>
          <w:tcPr>
            <w:tcW w:w="82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12,658</w:t>
            </w:r>
          </w:p>
        </w:tc>
      </w:tr>
      <w:tr>
        <w:trPr>
          <w:trHeight w:val="175"/>
        </w:trPr>
        <w:tc>
          <w:tcPr>
            <w:tcW w:w="1900" w:type="dxa"/>
            <w:vAlign w:val="bottom"/>
          </w:tcPr>
          <w:p>
            <w:pPr>
              <w:spacing w:after="0" w:line="175" w:lineRule="exact"/>
              <w:rPr>
                <w:sz w:val="20"/>
                <w:szCs w:val="20"/>
                <w:color w:val="auto"/>
              </w:rPr>
            </w:pPr>
            <w:r>
              <w:rPr>
                <w:rFonts w:ascii="Arial" w:cs="Arial" w:eastAsia="Arial" w:hAnsi="Arial"/>
                <w:sz w:val="16"/>
                <w:szCs w:val="16"/>
                <w:color w:val="auto"/>
              </w:rPr>
              <w:t>Credicorp Capital Holding</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1900" w:type="dxa"/>
            <w:vAlign w:val="bottom"/>
          </w:tcPr>
          <w:p>
            <w:pPr>
              <w:spacing w:after="0" w:line="175" w:lineRule="exact"/>
              <w:rPr>
                <w:sz w:val="20"/>
                <w:szCs w:val="20"/>
                <w:color w:val="auto"/>
              </w:rPr>
            </w:pPr>
            <w:r>
              <w:rPr>
                <w:rFonts w:ascii="Arial" w:cs="Arial" w:eastAsia="Arial" w:hAnsi="Arial"/>
                <w:sz w:val="16"/>
                <w:szCs w:val="16"/>
                <w:color w:val="auto"/>
                <w:w w:val="98"/>
              </w:rPr>
              <w:t>Perú S.A. and Subsidiaries</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5"/>
        </w:trPr>
        <w:tc>
          <w:tcPr>
            <w:tcW w:w="1900" w:type="dxa"/>
            <w:vAlign w:val="bottom"/>
          </w:tcPr>
          <w:p>
            <w:pPr>
              <w:spacing w:after="0"/>
              <w:rPr>
                <w:sz w:val="20"/>
                <w:szCs w:val="20"/>
                <w:color w:val="auto"/>
              </w:rPr>
            </w:pPr>
            <w:r>
              <w:rPr>
                <w:rFonts w:ascii="Arial" w:cs="Arial" w:eastAsia="Arial" w:hAnsi="Arial"/>
                <w:sz w:val="16"/>
                <w:szCs w:val="16"/>
                <w:color w:val="auto"/>
              </w:rPr>
              <w:t>(c)</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278,115</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296,083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111,448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149,459</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166,667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146,624</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21,958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5,268</w:t>
            </w:r>
          </w:p>
        </w:tc>
      </w:tr>
    </w:tbl>
    <w:p>
      <w:pPr>
        <w:spacing w:after="0" w:line="145" w:lineRule="exact"/>
        <w:rPr>
          <w:sz w:val="20"/>
          <w:szCs w:val="20"/>
          <w:color w:val="auto"/>
        </w:rPr>
      </w:pPr>
    </w:p>
    <w:p>
      <w:pPr>
        <w:ind w:left="567" w:right="140" w:hanging="287"/>
        <w:spacing w:after="0" w:line="255" w:lineRule="auto"/>
        <w:tabs>
          <w:tab w:leader="none" w:pos="567" w:val="left"/>
        </w:tabs>
        <w:numPr>
          <w:ilvl w:val="0"/>
          <w:numId w:val="15"/>
        </w:numPr>
        <w:rPr>
          <w:rFonts w:ascii="Arial" w:cs="Arial" w:eastAsia="Arial" w:hAnsi="Arial"/>
          <w:sz w:val="16"/>
          <w:szCs w:val="16"/>
          <w:color w:val="auto"/>
        </w:rPr>
      </w:pPr>
      <w:r>
        <w:rPr>
          <w:rFonts w:ascii="Arial" w:cs="Arial" w:eastAsia="Arial" w:hAnsi="Arial"/>
          <w:sz w:val="16"/>
          <w:szCs w:val="16"/>
          <w:color w:val="auto"/>
        </w:rPr>
        <w:t>Credicorp Holding Colombia was incorporated in Colombia on March 5, 2012, and its main purpose is the administration, management and increase of its equity through the promotion of industrial and commercial activity, through investment in other companies or legal persons.</w:t>
      </w:r>
    </w:p>
    <w:p>
      <w:pPr>
        <w:spacing w:after="0" w:line="134" w:lineRule="exact"/>
        <w:rPr>
          <w:rFonts w:ascii="Arial" w:cs="Arial" w:eastAsia="Arial" w:hAnsi="Arial"/>
          <w:sz w:val="16"/>
          <w:szCs w:val="16"/>
          <w:color w:val="auto"/>
        </w:rPr>
      </w:pPr>
    </w:p>
    <w:p>
      <w:pPr>
        <w:ind w:left="567" w:right="80"/>
        <w:spacing w:after="0" w:line="236" w:lineRule="auto"/>
        <w:rPr>
          <w:rFonts w:ascii="Arial" w:cs="Arial" w:eastAsia="Arial" w:hAnsi="Arial"/>
          <w:sz w:val="16"/>
          <w:szCs w:val="16"/>
          <w:color w:val="auto"/>
        </w:rPr>
      </w:pPr>
      <w:r>
        <w:rPr>
          <w:rFonts w:ascii="Arial" w:cs="Arial" w:eastAsia="Arial" w:hAnsi="Arial"/>
          <w:sz w:val="16"/>
          <w:szCs w:val="16"/>
          <w:color w:val="auto"/>
        </w:rPr>
        <w:t>Its main subsidiaries are Credicorp Capital Colombia S.A, which was acquired in Colombia in 2012 and merged with Ultraserfinco S.A. In June 2020, this subsidiary is oriented to the activities of commission agents and securities brokers. Likewise, Mibanco Colombia (before Banco Compartir S.A.) was acquired in 2019 and merged with Edyficar S.A.S. in October 2020, this subsidiary is oriented to grant credits to the micro and small business sector. As of December 31, 2023, Credicorp Holding Colombia has recognized an impairment of the goodwill of Mibanco Colombia for S/64.1 million (Credicorp’s equity holders), see note 10(b).</w:t>
      </w:r>
    </w:p>
    <w:p>
      <w:pPr>
        <w:spacing w:after="0" w:line="145"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6"/>
          <w:szCs w:val="16"/>
          <w:color w:val="auto"/>
        </w:rPr>
        <w:t>As of December 31, 2024, and 2023, the direct and indirect interest held by Credicorp and the assets, liabilities, equity and net income were:</w:t>
      </w:r>
    </w:p>
    <w:p>
      <w:pPr>
        <w:spacing w:after="0" w:line="155" w:lineRule="exact"/>
        <w:rPr>
          <w:sz w:val="20"/>
          <w:szCs w:val="20"/>
          <w:color w:val="auto"/>
        </w:rPr>
      </w:pPr>
    </w:p>
    <w:tbl>
      <w:tblPr>
        <w:tblLayout w:type="fixed"/>
        <w:tblInd w:w="567" w:type="dxa"/>
        <w:tblCellMar>
          <w:top w:w="0" w:type="dxa"/>
          <w:left w:w="0" w:type="dxa"/>
          <w:bottom w:w="0" w:type="dxa"/>
          <w:right w:w="0" w:type="dxa"/>
        </w:tblCellMar>
      </w:tblPr>
      <w:tr>
        <w:trPr>
          <w:trHeight w:val="184"/>
        </w:trPr>
        <w:tc>
          <w:tcPr>
            <w:tcW w:w="1320" w:type="dxa"/>
            <w:vAlign w:val="bottom"/>
          </w:tcPr>
          <w:p>
            <w:pPr>
              <w:spacing w:after="0"/>
              <w:rPr>
                <w:sz w:val="16"/>
                <w:szCs w:val="16"/>
                <w:color w:val="auto"/>
              </w:rPr>
            </w:pPr>
          </w:p>
        </w:tc>
        <w:tc>
          <w:tcPr>
            <w:tcW w:w="1480" w:type="dxa"/>
            <w:vAlign w:val="bottom"/>
            <w:gridSpan w:val="4"/>
          </w:tcPr>
          <w:p>
            <w:pPr>
              <w:ind w:left="60"/>
              <w:spacing w:after="0"/>
              <w:rPr>
                <w:sz w:val="20"/>
                <w:szCs w:val="20"/>
                <w:color w:val="auto"/>
              </w:rPr>
            </w:pPr>
            <w:r>
              <w:rPr>
                <w:rFonts w:ascii="Arial" w:cs="Arial" w:eastAsia="Arial" w:hAnsi="Arial"/>
                <w:sz w:val="16"/>
                <w:szCs w:val="16"/>
                <w:b w:val="1"/>
                <w:bCs w:val="1"/>
                <w:color w:val="auto"/>
              </w:rPr>
              <w:t>Percentage of</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5"/>
        </w:trPr>
        <w:tc>
          <w:tcPr>
            <w:tcW w:w="1320" w:type="dxa"/>
            <w:vAlign w:val="bottom"/>
          </w:tcPr>
          <w:p>
            <w:pPr>
              <w:spacing w:after="0"/>
              <w:rPr>
                <w:sz w:val="15"/>
                <w:szCs w:val="15"/>
                <w:color w:val="auto"/>
              </w:rPr>
            </w:pPr>
          </w:p>
        </w:tc>
        <w:tc>
          <w:tcPr>
            <w:tcW w:w="1480" w:type="dxa"/>
            <w:vAlign w:val="bottom"/>
            <w:gridSpan w:val="4"/>
          </w:tcPr>
          <w:p>
            <w:pPr>
              <w:ind w:left="60"/>
              <w:spacing w:after="0" w:line="175" w:lineRule="exact"/>
              <w:rPr>
                <w:sz w:val="20"/>
                <w:szCs w:val="20"/>
                <w:color w:val="auto"/>
              </w:rPr>
            </w:pPr>
            <w:r>
              <w:rPr>
                <w:rFonts w:ascii="Arial" w:cs="Arial" w:eastAsia="Arial" w:hAnsi="Arial"/>
                <w:sz w:val="16"/>
                <w:szCs w:val="16"/>
                <w:b w:val="1"/>
                <w:bCs w:val="1"/>
                <w:color w:val="auto"/>
                <w:w w:val="97"/>
              </w:rPr>
              <w:t>interest (direct and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2"/>
        </w:trPr>
        <w:tc>
          <w:tcPr>
            <w:tcW w:w="1320" w:type="dxa"/>
            <w:vAlign w:val="bottom"/>
          </w:tcPr>
          <w:p>
            <w:pPr>
              <w:spacing w:after="0"/>
              <w:rPr>
                <w:sz w:val="20"/>
                <w:szCs w:val="20"/>
                <w:color w:val="auto"/>
              </w:rPr>
            </w:pPr>
            <w:r>
              <w:rPr>
                <w:rFonts w:ascii="Arial" w:cs="Arial" w:eastAsia="Arial" w:hAnsi="Arial"/>
                <w:sz w:val="16"/>
                <w:szCs w:val="16"/>
                <w:b w:val="1"/>
                <w:bCs w:val="1"/>
                <w:color w:val="auto"/>
              </w:rPr>
              <w:t>Entity</w:t>
            </w:r>
          </w:p>
        </w:tc>
        <w:tc>
          <w:tcPr>
            <w:tcW w:w="720" w:type="dxa"/>
            <w:vAlign w:val="bottom"/>
            <w:gridSpan w:val="2"/>
          </w:tcPr>
          <w:p>
            <w:pPr>
              <w:ind w:left="60"/>
              <w:spacing w:after="0"/>
              <w:rPr>
                <w:sz w:val="20"/>
                <w:szCs w:val="20"/>
                <w:color w:val="auto"/>
              </w:rPr>
            </w:pPr>
            <w:r>
              <w:rPr>
                <w:rFonts w:ascii="Arial" w:cs="Arial" w:eastAsia="Arial" w:hAnsi="Arial"/>
                <w:sz w:val="16"/>
                <w:szCs w:val="16"/>
                <w:b w:val="1"/>
                <w:bCs w:val="1"/>
                <w:color w:val="auto"/>
              </w:rPr>
              <w:t>indirect)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5"/>
          </w:tcPr>
          <w:p>
            <w:pPr>
              <w:spacing w:after="0"/>
              <w:rPr>
                <w:sz w:val="20"/>
                <w:szCs w:val="20"/>
                <w:color w:val="auto"/>
              </w:rPr>
            </w:pPr>
            <w:r>
              <w:rPr>
                <w:rFonts w:ascii="Arial" w:cs="Arial" w:eastAsia="Arial" w:hAnsi="Arial"/>
                <w:sz w:val="16"/>
                <w:szCs w:val="16"/>
                <w:b w:val="1"/>
                <w:bCs w:val="1"/>
                <w:color w:val="auto"/>
              </w:rPr>
              <w:t>Net profit (loss)</w:t>
            </w:r>
          </w:p>
        </w:tc>
        <w:tc>
          <w:tcPr>
            <w:tcW w:w="820" w:type="dxa"/>
            <w:vAlign w:val="bottom"/>
          </w:tcPr>
          <w:p>
            <w:pPr>
              <w:spacing w:after="0"/>
              <w:rPr>
                <w:sz w:val="16"/>
                <w:szCs w:val="16"/>
                <w:color w:val="auto"/>
              </w:rPr>
            </w:pPr>
          </w:p>
        </w:tc>
      </w:tr>
      <w:tr>
        <w:trPr>
          <w:trHeight w:val="178"/>
        </w:trPr>
        <w:tc>
          <w:tcPr>
            <w:tcW w:w="1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760" w:type="dxa"/>
            <w:vAlign w:val="bottom"/>
            <w:tcBorders>
              <w:top w:val="single" w:sz="8" w:color="auto"/>
            </w:tcBorders>
            <w:gridSpan w:val="2"/>
          </w:tcPr>
          <w:p>
            <w:pPr>
              <w:ind w:left="100"/>
              <w:spacing w:after="0" w:line="178"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840" w:type="dxa"/>
            <w:vAlign w:val="bottom"/>
            <w:tcBorders>
              <w:top w:val="single" w:sz="8" w:color="auto"/>
            </w:tcBorders>
            <w:gridSpan w:val="2"/>
          </w:tcPr>
          <w:p>
            <w:pPr>
              <w:ind w:left="80"/>
              <w:spacing w:after="0" w:line="178"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860" w:type="dxa"/>
            <w:vAlign w:val="bottom"/>
            <w:tcBorders>
              <w:top w:val="single" w:sz="8" w:color="auto"/>
            </w:tcBorders>
            <w:gridSpan w:val="2"/>
          </w:tcPr>
          <w:p>
            <w:pPr>
              <w:ind w:left="80"/>
              <w:spacing w:after="0" w:line="178" w:lineRule="exact"/>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2024</w:t>
            </w:r>
          </w:p>
        </w:tc>
        <w:tc>
          <w:tcPr>
            <w:tcW w:w="760" w:type="dxa"/>
            <w:vAlign w:val="bottom"/>
            <w:tcBorders>
              <w:top w:val="single" w:sz="8" w:color="auto"/>
            </w:tcBorders>
            <w:gridSpan w:val="2"/>
          </w:tcPr>
          <w:p>
            <w:pPr>
              <w:ind w:left="100"/>
              <w:spacing w:after="0" w:line="178" w:lineRule="exact"/>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5"/>
                <w:szCs w:val="15"/>
                <w:color w:val="auto"/>
              </w:rPr>
            </w:pPr>
          </w:p>
        </w:tc>
        <w:tc>
          <w:tcPr>
            <w:tcW w:w="680" w:type="dxa"/>
            <w:vAlign w:val="bottom"/>
            <w:tcBorders>
              <w:top w:val="single" w:sz="8" w:color="auto"/>
            </w:tcBorders>
            <w:gridSpan w:val="2"/>
          </w:tcPr>
          <w:p>
            <w:pPr>
              <w:spacing w:after="0" w:line="178" w:lineRule="exact"/>
              <w:rPr>
                <w:sz w:val="20"/>
                <w:szCs w:val="20"/>
                <w:color w:val="auto"/>
              </w:rPr>
            </w:pPr>
            <w:r>
              <w:rPr>
                <w:rFonts w:ascii="Arial" w:cs="Arial" w:eastAsia="Arial" w:hAnsi="Arial"/>
                <w:sz w:val="16"/>
                <w:szCs w:val="16"/>
                <w:b w:val="1"/>
                <w:bCs w:val="1"/>
                <w:color w:val="auto"/>
              </w:rPr>
              <w:t>2024</w:t>
            </w:r>
          </w:p>
        </w:tc>
        <w:tc>
          <w:tcPr>
            <w:tcW w:w="740" w:type="dxa"/>
            <w:vAlign w:val="bottom"/>
            <w:tcBorders>
              <w:top w:val="single" w:sz="8" w:color="auto"/>
            </w:tcBorders>
            <w:gridSpan w:val="2"/>
          </w:tcPr>
          <w:p>
            <w:pPr>
              <w:ind w:left="60"/>
              <w:spacing w:after="0" w:line="178"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2022</w:t>
            </w:r>
          </w:p>
        </w:tc>
      </w:tr>
      <w:tr>
        <w:trPr>
          <w:trHeight w:val="206"/>
        </w:trPr>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bl>
    <w:p>
      <w:pPr>
        <w:spacing w:after="0" w:line="112" w:lineRule="exact"/>
        <w:rPr>
          <w:sz w:val="20"/>
          <w:szCs w:val="20"/>
          <w:color w:val="auto"/>
        </w:rPr>
      </w:pPr>
    </w:p>
    <w:tbl>
      <w:tblPr>
        <w:tblLayout w:type="fixed"/>
        <w:tblInd w:w="567" w:type="dxa"/>
        <w:tblCellMar>
          <w:top w:w="0" w:type="dxa"/>
          <w:left w:w="0" w:type="dxa"/>
          <w:bottom w:w="0" w:type="dxa"/>
          <w:right w:w="0" w:type="dxa"/>
        </w:tblCellMar>
      </w:tblPr>
      <w:tr>
        <w:trPr>
          <w:trHeight w:val="184"/>
        </w:trPr>
        <w:tc>
          <w:tcPr>
            <w:tcW w:w="1400" w:type="dxa"/>
            <w:vAlign w:val="bottom"/>
          </w:tcPr>
          <w:p>
            <w:pPr>
              <w:spacing w:after="0"/>
              <w:rPr>
                <w:sz w:val="20"/>
                <w:szCs w:val="20"/>
                <w:color w:val="auto"/>
              </w:rPr>
            </w:pPr>
            <w:r>
              <w:rPr>
                <w:rFonts w:ascii="Arial" w:cs="Arial" w:eastAsia="Arial" w:hAnsi="Arial"/>
                <w:sz w:val="16"/>
                <w:szCs w:val="16"/>
                <w:color w:val="auto"/>
              </w:rPr>
              <w:t>Credicorp Capital</w:t>
            </w: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5"/>
        </w:trPr>
        <w:tc>
          <w:tcPr>
            <w:tcW w:w="1400" w:type="dxa"/>
            <w:vAlign w:val="bottom"/>
          </w:tcPr>
          <w:p>
            <w:pPr>
              <w:spacing w:after="0" w:line="175" w:lineRule="exact"/>
              <w:rPr>
                <w:sz w:val="20"/>
                <w:szCs w:val="20"/>
                <w:color w:val="auto"/>
              </w:rPr>
            </w:pPr>
            <w:r>
              <w:rPr>
                <w:rFonts w:ascii="Arial" w:cs="Arial" w:eastAsia="Arial" w:hAnsi="Arial"/>
                <w:sz w:val="16"/>
                <w:szCs w:val="16"/>
                <w:color w:val="auto"/>
              </w:rPr>
              <w:t>Colombia S.A.</w:t>
            </w:r>
          </w:p>
        </w:tc>
        <w:tc>
          <w:tcPr>
            <w:tcW w:w="780" w:type="dxa"/>
            <w:vAlign w:val="bottom"/>
          </w:tcPr>
          <w:p>
            <w:pPr>
              <w:jc w:val="right"/>
              <w:ind w:right="62"/>
              <w:spacing w:after="0" w:line="175" w:lineRule="exact"/>
              <w:rPr>
                <w:sz w:val="20"/>
                <w:szCs w:val="20"/>
                <w:color w:val="auto"/>
              </w:rPr>
            </w:pPr>
            <w:r>
              <w:rPr>
                <w:rFonts w:ascii="Arial" w:cs="Arial" w:eastAsia="Arial" w:hAnsi="Arial"/>
                <w:sz w:val="16"/>
                <w:szCs w:val="16"/>
                <w:color w:val="auto"/>
              </w:rPr>
              <w:t>100.00</w:t>
            </w:r>
          </w:p>
        </w:tc>
        <w:tc>
          <w:tcPr>
            <w:tcW w:w="700" w:type="dxa"/>
            <w:vAlign w:val="bottom"/>
          </w:tcPr>
          <w:p>
            <w:pPr>
              <w:jc w:val="right"/>
              <w:ind w:right="2"/>
              <w:spacing w:after="0" w:line="175" w:lineRule="exact"/>
              <w:rPr>
                <w:sz w:val="20"/>
                <w:szCs w:val="20"/>
                <w:color w:val="auto"/>
              </w:rPr>
            </w:pPr>
            <w:r>
              <w:rPr>
                <w:rFonts w:ascii="Arial" w:cs="Arial" w:eastAsia="Arial" w:hAnsi="Arial"/>
                <w:sz w:val="16"/>
                <w:szCs w:val="16"/>
                <w:color w:val="auto"/>
              </w:rPr>
              <w:t>100.00</w:t>
            </w:r>
          </w:p>
        </w:tc>
        <w:tc>
          <w:tcPr>
            <w:tcW w:w="860" w:type="dxa"/>
            <w:vAlign w:val="bottom"/>
          </w:tcPr>
          <w:p>
            <w:pPr>
              <w:jc w:val="right"/>
              <w:ind w:right="2"/>
              <w:spacing w:after="0" w:line="175" w:lineRule="exact"/>
              <w:rPr>
                <w:sz w:val="20"/>
                <w:szCs w:val="20"/>
                <w:color w:val="auto"/>
              </w:rPr>
            </w:pPr>
            <w:r>
              <w:rPr>
                <w:rFonts w:ascii="Arial" w:cs="Arial" w:eastAsia="Arial" w:hAnsi="Arial"/>
                <w:sz w:val="16"/>
                <w:szCs w:val="16"/>
                <w:color w:val="auto"/>
              </w:rPr>
              <w:t>1,591,003</w:t>
            </w:r>
          </w:p>
        </w:tc>
        <w:tc>
          <w:tcPr>
            <w:tcW w:w="840" w:type="dxa"/>
            <w:vAlign w:val="bottom"/>
          </w:tcPr>
          <w:p>
            <w:pPr>
              <w:jc w:val="right"/>
              <w:ind w:right="2"/>
              <w:spacing w:after="0" w:line="175" w:lineRule="exact"/>
              <w:rPr>
                <w:sz w:val="20"/>
                <w:szCs w:val="20"/>
                <w:color w:val="auto"/>
              </w:rPr>
            </w:pPr>
            <w:r>
              <w:rPr>
                <w:rFonts w:ascii="Arial" w:cs="Arial" w:eastAsia="Arial" w:hAnsi="Arial"/>
                <w:sz w:val="16"/>
                <w:szCs w:val="16"/>
                <w:color w:val="auto"/>
              </w:rPr>
              <w:t>2,328,169</w:t>
            </w:r>
          </w:p>
        </w:tc>
        <w:tc>
          <w:tcPr>
            <w:tcW w:w="860" w:type="dxa"/>
            <w:vAlign w:val="bottom"/>
          </w:tcPr>
          <w:p>
            <w:pPr>
              <w:jc w:val="right"/>
              <w:ind w:right="2"/>
              <w:spacing w:after="0" w:line="175" w:lineRule="exact"/>
              <w:rPr>
                <w:sz w:val="20"/>
                <w:szCs w:val="20"/>
                <w:color w:val="auto"/>
              </w:rPr>
            </w:pPr>
            <w:r>
              <w:rPr>
                <w:rFonts w:ascii="Arial" w:cs="Arial" w:eastAsia="Arial" w:hAnsi="Arial"/>
                <w:sz w:val="16"/>
                <w:szCs w:val="16"/>
                <w:color w:val="auto"/>
              </w:rPr>
              <w:t>1,408,214</w:t>
            </w:r>
          </w:p>
        </w:tc>
        <w:tc>
          <w:tcPr>
            <w:tcW w:w="860" w:type="dxa"/>
            <w:vAlign w:val="bottom"/>
          </w:tcPr>
          <w:p>
            <w:pPr>
              <w:jc w:val="right"/>
              <w:ind w:right="22"/>
              <w:spacing w:after="0" w:line="175" w:lineRule="exact"/>
              <w:rPr>
                <w:sz w:val="20"/>
                <w:szCs w:val="20"/>
                <w:color w:val="auto"/>
              </w:rPr>
            </w:pPr>
            <w:r>
              <w:rPr>
                <w:rFonts w:ascii="Arial" w:cs="Arial" w:eastAsia="Arial" w:hAnsi="Arial"/>
                <w:sz w:val="16"/>
                <w:szCs w:val="16"/>
                <w:color w:val="auto"/>
              </w:rPr>
              <w:t>2,123,915</w:t>
            </w:r>
          </w:p>
        </w:tc>
        <w:tc>
          <w:tcPr>
            <w:tcW w:w="740" w:type="dxa"/>
            <w:vAlign w:val="bottom"/>
          </w:tcPr>
          <w:p>
            <w:pPr>
              <w:jc w:val="right"/>
              <w:ind w:right="22"/>
              <w:spacing w:after="0" w:line="175" w:lineRule="exact"/>
              <w:rPr>
                <w:sz w:val="20"/>
                <w:szCs w:val="20"/>
                <w:color w:val="auto"/>
              </w:rPr>
            </w:pPr>
            <w:r>
              <w:rPr>
                <w:rFonts w:ascii="Arial" w:cs="Arial" w:eastAsia="Arial" w:hAnsi="Arial"/>
                <w:sz w:val="16"/>
                <w:szCs w:val="16"/>
                <w:color w:val="auto"/>
              </w:rPr>
              <w:t>182,789</w:t>
            </w:r>
          </w:p>
        </w:tc>
        <w:tc>
          <w:tcPr>
            <w:tcW w:w="800" w:type="dxa"/>
            <w:vAlign w:val="bottom"/>
          </w:tcPr>
          <w:p>
            <w:pPr>
              <w:jc w:val="right"/>
              <w:ind w:right="82"/>
              <w:spacing w:after="0" w:line="175" w:lineRule="exact"/>
              <w:rPr>
                <w:sz w:val="20"/>
                <w:szCs w:val="20"/>
                <w:color w:val="auto"/>
              </w:rPr>
            </w:pPr>
            <w:r>
              <w:rPr>
                <w:rFonts w:ascii="Arial" w:cs="Arial" w:eastAsia="Arial" w:hAnsi="Arial"/>
                <w:sz w:val="16"/>
                <w:szCs w:val="16"/>
                <w:color w:val="auto"/>
              </w:rPr>
              <w:t>204,254</w:t>
            </w:r>
          </w:p>
        </w:tc>
        <w:tc>
          <w:tcPr>
            <w:tcW w:w="720" w:type="dxa"/>
            <w:vAlign w:val="bottom"/>
          </w:tcPr>
          <w:p>
            <w:pPr>
              <w:jc w:val="right"/>
              <w:ind w:right="2"/>
              <w:spacing w:after="0" w:line="175" w:lineRule="exact"/>
              <w:rPr>
                <w:sz w:val="20"/>
                <w:szCs w:val="20"/>
                <w:color w:val="auto"/>
              </w:rPr>
            </w:pPr>
            <w:r>
              <w:rPr>
                <w:rFonts w:ascii="Arial" w:cs="Arial" w:eastAsia="Arial" w:hAnsi="Arial"/>
                <w:sz w:val="16"/>
                <w:szCs w:val="16"/>
                <w:color w:val="auto"/>
              </w:rPr>
              <w:t>75,050</w:t>
            </w:r>
          </w:p>
        </w:tc>
        <w:tc>
          <w:tcPr>
            <w:tcW w:w="820" w:type="dxa"/>
            <w:vAlign w:val="bottom"/>
          </w:tcPr>
          <w:p>
            <w:pPr>
              <w:jc w:val="right"/>
              <w:ind w:right="82"/>
              <w:spacing w:after="0" w:line="175" w:lineRule="exact"/>
              <w:rPr>
                <w:sz w:val="20"/>
                <w:szCs w:val="20"/>
                <w:color w:val="auto"/>
              </w:rPr>
            </w:pPr>
            <w:r>
              <w:rPr>
                <w:rFonts w:ascii="Arial" w:cs="Arial" w:eastAsia="Arial" w:hAnsi="Arial"/>
                <w:sz w:val="16"/>
                <w:szCs w:val="16"/>
                <w:color w:val="auto"/>
              </w:rPr>
              <w:t>37,120</w:t>
            </w: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33,045</w:t>
            </w:r>
          </w:p>
        </w:tc>
      </w:tr>
      <w:tr>
        <w:trPr>
          <w:trHeight w:val="175"/>
        </w:trPr>
        <w:tc>
          <w:tcPr>
            <w:tcW w:w="1400" w:type="dxa"/>
            <w:vAlign w:val="bottom"/>
          </w:tcPr>
          <w:p>
            <w:pPr>
              <w:spacing w:after="0" w:line="175" w:lineRule="exact"/>
              <w:rPr>
                <w:sz w:val="20"/>
                <w:szCs w:val="20"/>
                <w:color w:val="auto"/>
              </w:rPr>
            </w:pPr>
            <w:r>
              <w:rPr>
                <w:rFonts w:ascii="Arial" w:cs="Arial" w:eastAsia="Arial" w:hAnsi="Arial"/>
                <w:sz w:val="16"/>
                <w:szCs w:val="16"/>
                <w:color w:val="auto"/>
              </w:rPr>
              <w:t>MiBanco – Banco</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400" w:type="dxa"/>
            <w:vAlign w:val="bottom"/>
          </w:tcPr>
          <w:p>
            <w:pPr>
              <w:spacing w:after="0" w:line="175" w:lineRule="exact"/>
              <w:rPr>
                <w:sz w:val="20"/>
                <w:szCs w:val="20"/>
                <w:color w:val="auto"/>
              </w:rPr>
            </w:pPr>
            <w:r>
              <w:rPr>
                <w:rFonts w:ascii="Arial" w:cs="Arial" w:eastAsia="Arial" w:hAnsi="Arial"/>
                <w:sz w:val="16"/>
                <w:szCs w:val="16"/>
                <w:color w:val="auto"/>
              </w:rPr>
              <w:t>de la</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400" w:type="dxa"/>
            <w:vAlign w:val="bottom"/>
          </w:tcPr>
          <w:p>
            <w:pPr>
              <w:spacing w:after="0" w:line="175" w:lineRule="exact"/>
              <w:rPr>
                <w:sz w:val="20"/>
                <w:szCs w:val="20"/>
                <w:color w:val="auto"/>
              </w:rPr>
            </w:pPr>
            <w:r>
              <w:rPr>
                <w:rFonts w:ascii="Arial" w:cs="Arial" w:eastAsia="Arial" w:hAnsi="Arial"/>
                <w:sz w:val="16"/>
                <w:szCs w:val="16"/>
                <w:color w:val="auto"/>
              </w:rPr>
              <w:t>Microempresa de</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1400" w:type="dxa"/>
            <w:vAlign w:val="bottom"/>
          </w:tcPr>
          <w:p>
            <w:pPr>
              <w:spacing w:after="0"/>
              <w:rPr>
                <w:sz w:val="20"/>
                <w:szCs w:val="20"/>
                <w:color w:val="auto"/>
              </w:rPr>
            </w:pPr>
            <w:r>
              <w:rPr>
                <w:rFonts w:ascii="Arial" w:cs="Arial" w:eastAsia="Arial" w:hAnsi="Arial"/>
                <w:sz w:val="16"/>
                <w:szCs w:val="16"/>
                <w:color w:val="auto"/>
              </w:rPr>
              <w:t>Colombia S.A.</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90.76</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89.11</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2,278,827</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2,113,333</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1,900,048</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1,848,607</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378,779</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264,726</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(9,521)</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(72,608)</w:t>
            </w:r>
          </w:p>
        </w:tc>
        <w:tc>
          <w:tcPr>
            <w:tcW w:w="640" w:type="dxa"/>
            <w:vAlign w:val="bottom"/>
          </w:tcPr>
          <w:p>
            <w:pPr>
              <w:jc w:val="right"/>
              <w:spacing w:after="0"/>
              <w:rPr>
                <w:sz w:val="20"/>
                <w:szCs w:val="20"/>
                <w:color w:val="auto"/>
              </w:rPr>
            </w:pPr>
            <w:r>
              <w:rPr>
                <w:rFonts w:ascii="Arial" w:cs="Arial" w:eastAsia="Arial" w:hAnsi="Arial"/>
                <w:sz w:val="16"/>
                <w:szCs w:val="16"/>
                <w:color w:val="auto"/>
              </w:rPr>
              <w:t>13,513</w:t>
            </w:r>
          </w:p>
        </w:tc>
      </w:tr>
    </w:tbl>
    <w:p>
      <w:pPr>
        <w:spacing w:after="0" w:line="145" w:lineRule="exact"/>
        <w:rPr>
          <w:sz w:val="20"/>
          <w:szCs w:val="20"/>
          <w:color w:val="auto"/>
        </w:rPr>
      </w:pPr>
    </w:p>
    <w:p>
      <w:pPr>
        <w:ind w:left="567" w:right="80" w:hanging="287"/>
        <w:spacing w:after="0" w:line="255" w:lineRule="auto"/>
        <w:tabs>
          <w:tab w:leader="none" w:pos="567" w:val="left"/>
        </w:tabs>
        <w:numPr>
          <w:ilvl w:val="1"/>
          <w:numId w:val="16"/>
        </w:numPr>
        <w:rPr>
          <w:rFonts w:ascii="Arial" w:cs="Arial" w:eastAsia="Arial" w:hAnsi="Arial"/>
          <w:sz w:val="16"/>
          <w:szCs w:val="16"/>
          <w:color w:val="auto"/>
        </w:rPr>
      </w:pPr>
      <w:r>
        <w:rPr>
          <w:rFonts w:ascii="Arial" w:cs="Arial" w:eastAsia="Arial" w:hAnsi="Arial"/>
          <w:sz w:val="16"/>
          <w:szCs w:val="16"/>
          <w:color w:val="auto"/>
        </w:rPr>
        <w:t>Credicorp Holding Chile was incorporated in Chile on July 18, 2012, and aims to invest for long-term profitable purposes, in corporeal goods (movable and immovable property) and incorporeal, located in Chile or abroad. Its main subsidiary is Credicorp Capital Chile S.A.</w:t>
      </w:r>
    </w:p>
    <w:p>
      <w:pPr>
        <w:spacing w:after="0" w:line="134" w:lineRule="exact"/>
        <w:rPr>
          <w:rFonts w:ascii="Arial" w:cs="Arial" w:eastAsia="Arial" w:hAnsi="Arial"/>
          <w:sz w:val="16"/>
          <w:szCs w:val="16"/>
          <w:color w:val="auto"/>
        </w:rPr>
      </w:pPr>
    </w:p>
    <w:p>
      <w:pPr>
        <w:ind w:left="567" w:right="80" w:hanging="287"/>
        <w:spacing w:after="0" w:line="241" w:lineRule="auto"/>
        <w:tabs>
          <w:tab w:leader="none" w:pos="567" w:val="left"/>
        </w:tabs>
        <w:numPr>
          <w:ilvl w:val="1"/>
          <w:numId w:val="16"/>
        </w:numPr>
        <w:rPr>
          <w:rFonts w:ascii="Arial" w:cs="Arial" w:eastAsia="Arial" w:hAnsi="Arial"/>
          <w:sz w:val="16"/>
          <w:szCs w:val="16"/>
          <w:color w:val="auto"/>
        </w:rPr>
      </w:pPr>
      <w:r>
        <w:rPr>
          <w:rFonts w:ascii="Arial" w:cs="Arial" w:eastAsia="Arial" w:hAnsi="Arial"/>
          <w:sz w:val="16"/>
          <w:szCs w:val="16"/>
          <w:color w:val="auto"/>
        </w:rPr>
        <w:t>Credicorp Capital Holding Perú S.A. was incorporated in Peru on October 30, 2014, and aims to be the Peruvian holding of investment banking. Its main subsidiary Credicorp Capital Perú S.A.A.; which has as its main activity the function of holding shares, participations and transferable securities in general, providing advisory services in corporate and financial matters, and investment in real estate.</w:t>
      </w:r>
    </w:p>
    <w:p>
      <w:pPr>
        <w:spacing w:after="0" w:line="145" w:lineRule="exact"/>
        <w:rPr>
          <w:rFonts w:ascii="Arial" w:cs="Arial" w:eastAsia="Arial" w:hAnsi="Arial"/>
          <w:sz w:val="16"/>
          <w:szCs w:val="16"/>
          <w:color w:val="auto"/>
        </w:rPr>
      </w:pPr>
    </w:p>
    <w:p>
      <w:pPr>
        <w:ind w:left="287" w:right="540" w:hanging="287"/>
        <w:spacing w:after="0" w:line="255" w:lineRule="auto"/>
        <w:tabs>
          <w:tab w:leader="none" w:pos="2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CCR Inc. was incorporated in the year 2000. Its main activity is to manage funding granted to BCP by foreign financial entities or investors. These loans matured in the course of 2022 and were guaranteed by transactions carried out by BCP.</w:t>
      </w:r>
    </w:p>
    <w:p>
      <w:pPr>
        <w:spacing w:after="0" w:line="281"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27" w:name="page28"/>
    <w:bookmarkEnd w:id="27"/>
    <w:p>
      <w:pPr>
        <w:ind w:left="286" w:hanging="286"/>
        <w:spacing w:after="0"/>
        <w:tabs>
          <w:tab w:leader="none" w:pos="2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Functional, presentation and foreign currency transactions –</w:t>
      </w:r>
    </w:p>
    <w:p>
      <w:pPr>
        <w:spacing w:after="0" w:line="167" w:lineRule="exact"/>
        <w:rPr>
          <w:rFonts w:ascii="Arial" w:cs="Arial" w:eastAsia="Arial" w:hAnsi="Arial"/>
          <w:sz w:val="16"/>
          <w:szCs w:val="16"/>
          <w:color w:val="auto"/>
        </w:rPr>
      </w:pPr>
    </w:p>
    <w:p>
      <w:pPr>
        <w:ind w:left="986" w:hanging="426"/>
        <w:spacing w:after="0"/>
        <w:tabs>
          <w:tab w:leader="none" w:pos="986" w:val="left"/>
        </w:tabs>
        <w:numPr>
          <w:ilvl w:val="1"/>
          <w:numId w:val="18"/>
        </w:numPr>
        <w:rPr>
          <w:rFonts w:ascii="Arial" w:cs="Arial" w:eastAsia="Arial" w:hAnsi="Arial"/>
          <w:sz w:val="16"/>
          <w:szCs w:val="16"/>
          <w:color w:val="auto"/>
        </w:rPr>
      </w:pPr>
      <w:r>
        <w:rPr>
          <w:rFonts w:ascii="Arial" w:cs="Arial" w:eastAsia="Arial" w:hAnsi="Arial"/>
          <w:sz w:val="16"/>
          <w:szCs w:val="16"/>
          <w:color w:val="auto"/>
        </w:rPr>
        <w:t>Functional and presentation currency -</w:t>
      </w:r>
    </w:p>
    <w:p>
      <w:pPr>
        <w:spacing w:after="0" w:line="166" w:lineRule="exact"/>
        <w:rPr>
          <w:rFonts w:ascii="Arial" w:cs="Arial" w:eastAsia="Arial" w:hAnsi="Arial"/>
          <w:sz w:val="16"/>
          <w:szCs w:val="16"/>
          <w:color w:val="auto"/>
        </w:rPr>
      </w:pPr>
    </w:p>
    <w:p>
      <w:pPr>
        <w:ind w:left="986" w:right="60"/>
        <w:spacing w:after="0" w:line="238" w:lineRule="auto"/>
        <w:rPr>
          <w:rFonts w:ascii="Arial" w:cs="Arial" w:eastAsia="Arial" w:hAnsi="Arial"/>
          <w:sz w:val="16"/>
          <w:szCs w:val="16"/>
          <w:color w:val="auto"/>
        </w:rPr>
      </w:pPr>
      <w:r>
        <w:rPr>
          <w:rFonts w:ascii="Arial" w:cs="Arial" w:eastAsia="Arial" w:hAnsi="Arial"/>
          <w:sz w:val="16"/>
          <w:szCs w:val="16"/>
          <w:color w:val="auto"/>
        </w:rPr>
        <w:t>Credicorp and its subsidiaries which operate in Peru consider the sol as their functional and presentation currency since it reflects the nature of the economic events and relevant circumstances for most of the Group´s entities, given the fact their major transactions and operations, such as: loans granted, financing obtained, sale of insurance premiums, interests and similar income, interest and similar expenses, as well as a significant percentage of their purchases; are entered into and settled in soles.</w:t>
      </w:r>
    </w:p>
    <w:p>
      <w:pPr>
        <w:spacing w:after="0" w:line="145" w:lineRule="exact"/>
        <w:rPr>
          <w:rFonts w:ascii="Arial" w:cs="Arial" w:eastAsia="Arial" w:hAnsi="Arial"/>
          <w:sz w:val="16"/>
          <w:szCs w:val="16"/>
          <w:color w:val="auto"/>
        </w:rPr>
      </w:pPr>
    </w:p>
    <w:p>
      <w:pPr>
        <w:ind w:left="986" w:hanging="426"/>
        <w:spacing w:after="0"/>
        <w:tabs>
          <w:tab w:leader="none" w:pos="986" w:val="left"/>
        </w:tabs>
        <w:numPr>
          <w:ilvl w:val="1"/>
          <w:numId w:val="18"/>
        </w:numPr>
        <w:rPr>
          <w:rFonts w:ascii="Arial" w:cs="Arial" w:eastAsia="Arial" w:hAnsi="Arial"/>
          <w:sz w:val="16"/>
          <w:szCs w:val="16"/>
          <w:color w:val="auto"/>
        </w:rPr>
      </w:pPr>
      <w:r>
        <w:rPr>
          <w:rFonts w:ascii="Arial" w:cs="Arial" w:eastAsia="Arial" w:hAnsi="Arial"/>
          <w:sz w:val="16"/>
          <w:szCs w:val="16"/>
          <w:color w:val="auto"/>
        </w:rPr>
        <w:t>Transactions and balances in foreign currency -</w:t>
      </w:r>
    </w:p>
    <w:p>
      <w:pPr>
        <w:spacing w:after="0" w:line="166" w:lineRule="exact"/>
        <w:rPr>
          <w:rFonts w:ascii="Arial" w:cs="Arial" w:eastAsia="Arial" w:hAnsi="Arial"/>
          <w:sz w:val="16"/>
          <w:szCs w:val="16"/>
          <w:color w:val="auto"/>
        </w:rPr>
      </w:pPr>
    </w:p>
    <w:p>
      <w:pPr>
        <w:ind w:left="986" w:right="180"/>
        <w:spacing w:after="0" w:line="241" w:lineRule="auto"/>
        <w:rPr>
          <w:rFonts w:ascii="Arial" w:cs="Arial" w:eastAsia="Arial" w:hAnsi="Arial"/>
          <w:sz w:val="16"/>
          <w:szCs w:val="16"/>
          <w:color w:val="auto"/>
        </w:rPr>
      </w:pPr>
      <w:r>
        <w:rPr>
          <w:rFonts w:ascii="Arial" w:cs="Arial" w:eastAsia="Arial" w:hAnsi="Arial"/>
          <w:sz w:val="16"/>
          <w:szCs w:val="16"/>
          <w:color w:val="auto"/>
        </w:rPr>
        <w:t>Foreign currency transactions are those entered into in currencies other than the functional currency of the entity. These transactions are initially recorded by Group entities at the exchange rates prevailing at the transaction dates. Monetary assets and liabilities denominated in foreign currency are adjusted at the exchange rate of the functional currency prevailing at each reporting date.</w:t>
      </w:r>
    </w:p>
    <w:p>
      <w:pPr>
        <w:spacing w:after="0" w:line="145" w:lineRule="exact"/>
        <w:rPr>
          <w:rFonts w:ascii="Arial" w:cs="Arial" w:eastAsia="Arial" w:hAnsi="Arial"/>
          <w:sz w:val="16"/>
          <w:szCs w:val="16"/>
          <w:color w:val="auto"/>
        </w:rPr>
      </w:pPr>
    </w:p>
    <w:p>
      <w:pPr>
        <w:ind w:left="986"/>
        <w:spacing w:after="0" w:line="234" w:lineRule="auto"/>
        <w:rPr>
          <w:rFonts w:ascii="Arial" w:cs="Arial" w:eastAsia="Arial" w:hAnsi="Arial"/>
          <w:sz w:val="16"/>
          <w:szCs w:val="16"/>
          <w:color w:val="auto"/>
        </w:rPr>
      </w:pPr>
      <w:r>
        <w:rPr>
          <w:rFonts w:ascii="Arial" w:cs="Arial" w:eastAsia="Arial" w:hAnsi="Arial"/>
          <w:sz w:val="16"/>
          <w:szCs w:val="16"/>
          <w:color w:val="auto"/>
        </w:rPr>
        <w:t>The differences arising from the exchange rate prevailing at each reporting date and the exchange rate initially used in recording transactions are recognized in the consolidated statement of income in the period in which they occur, in “Exchange differences result”, except for those that correspond to monetary items that are part of a hedging strategy for a net investment abroad, said accumulated difference is recognized in the caption “Exchange differences on translation of foreign operations” in the consolidated statement of comprehensive income. Non-monetary assets and liabilities acquired in foreign currency are recorded at the exchange rate prevailing at the initial transaction date and are not subsequently adjusted.</w:t>
      </w:r>
    </w:p>
    <w:p>
      <w:pPr>
        <w:spacing w:after="0" w:line="149" w:lineRule="exact"/>
        <w:rPr>
          <w:rFonts w:ascii="Arial" w:cs="Arial" w:eastAsia="Arial" w:hAnsi="Arial"/>
          <w:sz w:val="16"/>
          <w:szCs w:val="16"/>
          <w:color w:val="auto"/>
        </w:rPr>
      </w:pPr>
    </w:p>
    <w:p>
      <w:pPr>
        <w:ind w:left="986" w:hanging="426"/>
        <w:spacing w:after="0"/>
        <w:tabs>
          <w:tab w:leader="none" w:pos="986" w:val="left"/>
        </w:tabs>
        <w:numPr>
          <w:ilvl w:val="1"/>
          <w:numId w:val="18"/>
        </w:numPr>
        <w:rPr>
          <w:rFonts w:ascii="Arial" w:cs="Arial" w:eastAsia="Arial" w:hAnsi="Arial"/>
          <w:sz w:val="16"/>
          <w:szCs w:val="16"/>
          <w:color w:val="auto"/>
        </w:rPr>
      </w:pPr>
      <w:r>
        <w:rPr>
          <w:rFonts w:ascii="Arial" w:cs="Arial" w:eastAsia="Arial" w:hAnsi="Arial"/>
          <w:sz w:val="16"/>
          <w:szCs w:val="16"/>
          <w:color w:val="auto"/>
        </w:rPr>
        <w:t>Group entities with functional currency other than the presentation currency -</w:t>
      </w:r>
    </w:p>
    <w:p>
      <w:pPr>
        <w:spacing w:after="0" w:line="166" w:lineRule="exact"/>
        <w:rPr>
          <w:rFonts w:ascii="Arial" w:cs="Arial" w:eastAsia="Arial" w:hAnsi="Arial"/>
          <w:sz w:val="16"/>
          <w:szCs w:val="16"/>
          <w:color w:val="auto"/>
        </w:rPr>
      </w:pPr>
    </w:p>
    <w:p>
      <w:pPr>
        <w:ind w:left="986"/>
        <w:spacing w:after="0" w:line="241" w:lineRule="auto"/>
        <w:rPr>
          <w:rFonts w:ascii="Arial" w:cs="Arial" w:eastAsia="Arial" w:hAnsi="Arial"/>
          <w:sz w:val="16"/>
          <w:szCs w:val="16"/>
          <w:color w:val="auto"/>
        </w:rPr>
      </w:pPr>
      <w:r>
        <w:rPr>
          <w:rFonts w:ascii="Arial" w:cs="Arial" w:eastAsia="Arial" w:hAnsi="Arial"/>
          <w:sz w:val="16"/>
          <w:szCs w:val="16"/>
          <w:color w:val="auto"/>
        </w:rPr>
        <w:t>Given that the Group’s entities in Colombia, Chile, Cayman Islands, Bermuda Islands, Panama, Bolivia, United States of America and Mexico have a functional currency different from the sol, the balances were translated into Soles for consolidation purposes in accordance with IAS 21, “The Effects of Changes in Foreign Exchange Rates” as follows:</w:t>
      </w:r>
    </w:p>
    <w:p>
      <w:pPr>
        <w:spacing w:after="0" w:line="145" w:lineRule="exact"/>
        <w:rPr>
          <w:rFonts w:ascii="Arial" w:cs="Arial" w:eastAsia="Arial" w:hAnsi="Arial"/>
          <w:sz w:val="16"/>
          <w:szCs w:val="16"/>
          <w:color w:val="auto"/>
        </w:rPr>
      </w:pPr>
    </w:p>
    <w:p>
      <w:pPr>
        <w:ind w:left="1266" w:hanging="286"/>
        <w:spacing w:after="0"/>
        <w:tabs>
          <w:tab w:leader="none" w:pos="1266" w:val="left"/>
        </w:tabs>
        <w:numPr>
          <w:ilvl w:val="2"/>
          <w:numId w:val="18"/>
        </w:numPr>
        <w:rPr>
          <w:rFonts w:ascii="Arial" w:cs="Arial" w:eastAsia="Arial" w:hAnsi="Arial"/>
          <w:sz w:val="16"/>
          <w:szCs w:val="16"/>
          <w:color w:val="auto"/>
        </w:rPr>
      </w:pPr>
      <w:r>
        <w:rPr>
          <w:rFonts w:ascii="Arial" w:cs="Arial" w:eastAsia="Arial" w:hAnsi="Arial"/>
          <w:sz w:val="16"/>
          <w:szCs w:val="16"/>
          <w:color w:val="auto"/>
        </w:rPr>
        <w:t>Assets and liabilities, at the closing rate prevailing at each reporting date.</w:t>
      </w:r>
    </w:p>
    <w:p>
      <w:pPr>
        <w:spacing w:after="0" w:line="5" w:lineRule="exact"/>
        <w:rPr>
          <w:rFonts w:ascii="Arial" w:cs="Arial" w:eastAsia="Arial" w:hAnsi="Arial"/>
          <w:sz w:val="16"/>
          <w:szCs w:val="16"/>
          <w:color w:val="auto"/>
        </w:rPr>
      </w:pPr>
    </w:p>
    <w:p>
      <w:pPr>
        <w:ind w:left="1266" w:hanging="286"/>
        <w:spacing w:after="0"/>
        <w:tabs>
          <w:tab w:leader="none" w:pos="1266" w:val="left"/>
        </w:tabs>
        <w:numPr>
          <w:ilvl w:val="2"/>
          <w:numId w:val="18"/>
        </w:numPr>
        <w:rPr>
          <w:rFonts w:ascii="Arial" w:cs="Arial" w:eastAsia="Arial" w:hAnsi="Arial"/>
          <w:sz w:val="16"/>
          <w:szCs w:val="16"/>
          <w:color w:val="auto"/>
        </w:rPr>
      </w:pPr>
      <w:r>
        <w:rPr>
          <w:rFonts w:ascii="Arial" w:cs="Arial" w:eastAsia="Arial" w:hAnsi="Arial"/>
          <w:sz w:val="16"/>
          <w:szCs w:val="16"/>
          <w:color w:val="auto"/>
        </w:rPr>
        <w:t>Income and expense, at the average exchange rate for each month of the year.</w:t>
      </w:r>
    </w:p>
    <w:p>
      <w:pPr>
        <w:spacing w:after="0" w:line="152" w:lineRule="exact"/>
        <w:rPr>
          <w:sz w:val="20"/>
          <w:szCs w:val="20"/>
          <w:color w:val="auto"/>
        </w:rPr>
      </w:pPr>
    </w:p>
    <w:p>
      <w:pPr>
        <w:ind w:left="986" w:right="200"/>
        <w:spacing w:after="0" w:line="241" w:lineRule="auto"/>
        <w:rPr>
          <w:sz w:val="20"/>
          <w:szCs w:val="20"/>
          <w:color w:val="auto"/>
        </w:rPr>
      </w:pPr>
      <w:r>
        <w:rPr>
          <w:rFonts w:ascii="Arial" w:cs="Arial" w:eastAsia="Arial" w:hAnsi="Arial"/>
          <w:sz w:val="16"/>
          <w:szCs w:val="16"/>
          <w:color w:val="auto"/>
        </w:rPr>
        <w:t>All resulting exchange differences were recognized within “Exchange differences on translation of foreign operations”, including the differences in financial instruments designated as accounting hedges of said investments, in the consolidated statement of comprehensive income.</w:t>
      </w:r>
    </w:p>
    <w:p>
      <w:pPr>
        <w:spacing w:after="0" w:line="146" w:lineRule="exact"/>
        <w:rPr>
          <w:sz w:val="20"/>
          <w:szCs w:val="20"/>
          <w:color w:val="auto"/>
        </w:rPr>
      </w:pPr>
    </w:p>
    <w:p>
      <w:pPr>
        <w:ind w:left="286" w:right="6180" w:hanging="286"/>
        <w:spacing w:after="0" w:line="456" w:lineRule="auto"/>
        <w:tabs>
          <w:tab w:leader="none" w:pos="2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Recognition of income and expenses from banking activities - Effective interest rate method:</w:t>
      </w:r>
    </w:p>
    <w:p>
      <w:pPr>
        <w:spacing w:after="0" w:line="1" w:lineRule="exact"/>
        <w:rPr>
          <w:rFonts w:ascii="Arial" w:cs="Arial" w:eastAsia="Arial" w:hAnsi="Arial"/>
          <w:sz w:val="16"/>
          <w:szCs w:val="16"/>
          <w:color w:val="auto"/>
        </w:rPr>
      </w:pPr>
    </w:p>
    <w:p>
      <w:pPr>
        <w:jc w:val="both"/>
        <w:ind w:left="286" w:right="400"/>
        <w:spacing w:after="0" w:line="326" w:lineRule="auto"/>
        <w:rPr>
          <w:rFonts w:ascii="Arial" w:cs="Arial" w:eastAsia="Arial" w:hAnsi="Arial"/>
          <w:sz w:val="16"/>
          <w:szCs w:val="16"/>
          <w:color w:val="auto"/>
        </w:rPr>
      </w:pPr>
      <w:r>
        <w:rPr>
          <w:rFonts w:ascii="Arial" w:cs="Arial" w:eastAsia="Arial" w:hAnsi="Arial"/>
          <w:sz w:val="14"/>
          <w:szCs w:val="14"/>
          <w:color w:val="auto"/>
        </w:rPr>
        <w:t>Interest income is recorded using the effective interest rate (EIR) method for all financial instruments measured at amortized cost and at fair value through other comprehensive income. Interest expenses corresponding to liabilities measured at amortized cost are also recorded using the EIR.</w:t>
      </w:r>
    </w:p>
    <w:p>
      <w:pPr>
        <w:spacing w:after="0" w:line="87" w:lineRule="exact"/>
        <w:rPr>
          <w:rFonts w:ascii="Arial" w:cs="Arial" w:eastAsia="Arial" w:hAnsi="Arial"/>
          <w:sz w:val="16"/>
          <w:szCs w:val="16"/>
          <w:color w:val="auto"/>
        </w:rPr>
      </w:pPr>
    </w:p>
    <w:p>
      <w:pPr>
        <w:ind w:left="286"/>
        <w:spacing w:after="0" w:line="238" w:lineRule="auto"/>
        <w:rPr>
          <w:rFonts w:ascii="Arial" w:cs="Arial" w:eastAsia="Arial" w:hAnsi="Arial"/>
          <w:sz w:val="16"/>
          <w:szCs w:val="16"/>
          <w:color w:val="auto"/>
        </w:rPr>
      </w:pPr>
      <w:r>
        <w:rPr>
          <w:rFonts w:ascii="Arial" w:cs="Arial" w:eastAsia="Arial" w:hAnsi="Arial"/>
          <w:sz w:val="16"/>
          <w:szCs w:val="16"/>
          <w:color w:val="auto"/>
        </w:rPr>
        <w:t>The EIR is the rate that exactly discounts future cash flows that are estimated to be paid or received during the life of the instrument or a shorter period, if appropriate, to the gross carrying amount of the financial asset or financial liability. The EIR (and, therefore, the amortized cost of the financial asset or liability) is calculated taking into account any discount, premium and transaction costs that are an integral part of the effective interest rate of the financial instrument, but the expected credit loss are not included.</w:t>
      </w:r>
    </w:p>
    <w:p>
      <w:pPr>
        <w:spacing w:after="0" w:line="292" w:lineRule="exact"/>
        <w:rPr>
          <w:sz w:val="20"/>
          <w:szCs w:val="20"/>
          <w:color w:val="auto"/>
        </w:rPr>
      </w:pPr>
    </w:p>
    <w:p>
      <w:pPr>
        <w:jc w:val="center"/>
        <w:ind w:right="534"/>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28" w:name="page29"/>
    <w:bookmarkEnd w:id="28"/>
    <w:p>
      <w:pPr>
        <w:ind w:left="286"/>
        <w:spacing w:after="0"/>
        <w:rPr>
          <w:sz w:val="20"/>
          <w:szCs w:val="20"/>
          <w:color w:val="auto"/>
        </w:rPr>
      </w:pPr>
      <w:r>
        <w:rPr>
          <w:rFonts w:ascii="Arial" w:cs="Arial" w:eastAsia="Arial" w:hAnsi="Arial"/>
          <w:sz w:val="16"/>
          <w:szCs w:val="16"/>
          <w:color w:val="auto"/>
        </w:rPr>
        <w:t>Interest income and expenses:</w:t>
      </w:r>
    </w:p>
    <w:p>
      <w:pPr>
        <w:spacing w:after="0" w:line="167"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Group calculates interest income by applying the EIR to the gross carrying amount of those financial assets that are not impaired.</w:t>
      </w:r>
    </w:p>
    <w:p>
      <w:pPr>
        <w:spacing w:after="0" w:line="166" w:lineRule="exact"/>
        <w:rPr>
          <w:sz w:val="20"/>
          <w:szCs w:val="20"/>
          <w:color w:val="auto"/>
        </w:rPr>
      </w:pPr>
    </w:p>
    <w:p>
      <w:pPr>
        <w:jc w:val="both"/>
        <w:ind w:left="286" w:right="200"/>
        <w:spacing w:after="0" w:line="293" w:lineRule="auto"/>
        <w:rPr>
          <w:sz w:val="20"/>
          <w:szCs w:val="20"/>
          <w:color w:val="auto"/>
        </w:rPr>
      </w:pPr>
      <w:r>
        <w:rPr>
          <w:rFonts w:ascii="Arial" w:cs="Arial" w:eastAsia="Arial" w:hAnsi="Arial"/>
          <w:sz w:val="14"/>
          <w:szCs w:val="14"/>
          <w:color w:val="auto"/>
        </w:rPr>
        <w:t>When a financial asset becomes impaired and, therefore, is considered in Stage 3 (as set out in Note 3(i) impairment of financial assets), the Group calculates interest income by applying the interest rate effective at the carrying amount of the asset, net of its provision for credit loss. If the evidence that the criteria for the recognition of the financial asset in Stage 3 are no longer met, the Group recalculates interest income in gross terms.</w:t>
      </w:r>
    </w:p>
    <w:p>
      <w:pPr>
        <w:spacing w:after="0" w:line="111" w:lineRule="exact"/>
        <w:rPr>
          <w:sz w:val="20"/>
          <w:szCs w:val="20"/>
          <w:color w:val="auto"/>
        </w:rPr>
      </w:pPr>
    </w:p>
    <w:p>
      <w:pPr>
        <w:jc w:val="both"/>
        <w:ind w:left="286" w:right="220"/>
        <w:spacing w:after="0" w:line="241" w:lineRule="auto"/>
        <w:rPr>
          <w:sz w:val="20"/>
          <w:szCs w:val="20"/>
          <w:color w:val="auto"/>
        </w:rPr>
      </w:pPr>
      <w:r>
        <w:rPr>
          <w:rFonts w:ascii="Arial" w:cs="Arial" w:eastAsia="Arial" w:hAnsi="Arial"/>
          <w:sz w:val="16"/>
          <w:szCs w:val="16"/>
          <w:color w:val="auto"/>
        </w:rPr>
        <w:t>Interest income and expenses accrued from all financial instruments that generate interest, including those related to financial instruments carried at fair value through profit or loss, are recorded under the heading “Interest and similar income” and “Interest and similar expenses” of the consolidated statement of income.</w:t>
      </w:r>
    </w:p>
    <w:p>
      <w:pPr>
        <w:spacing w:after="0" w:line="14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Commissions and fees:</w:t>
      </w:r>
    </w:p>
    <w:p>
      <w:pPr>
        <w:spacing w:after="0" w:line="166" w:lineRule="exact"/>
        <w:rPr>
          <w:sz w:val="20"/>
          <w:szCs w:val="20"/>
          <w:color w:val="auto"/>
        </w:rPr>
      </w:pPr>
    </w:p>
    <w:p>
      <w:pPr>
        <w:ind w:left="286" w:right="40"/>
        <w:spacing w:after="0" w:line="241" w:lineRule="auto"/>
        <w:rPr>
          <w:sz w:val="20"/>
          <w:szCs w:val="20"/>
          <w:color w:val="auto"/>
        </w:rPr>
      </w:pPr>
      <w:r>
        <w:rPr>
          <w:rFonts w:ascii="Arial" w:cs="Arial" w:eastAsia="Arial" w:hAnsi="Arial"/>
          <w:sz w:val="16"/>
          <w:szCs w:val="16"/>
          <w:color w:val="auto"/>
        </w:rPr>
        <w:t>Income from commissions (which are not an integral part of the EIR) and fees are recognized as they are earned. Commissions and fees include, among others, the commission charged for the banking service in general such as account maintenance, shipping, transfers, loan syndication fees and fees for contingent credits.</w:t>
      </w:r>
    </w:p>
    <w:p>
      <w:pPr>
        <w:spacing w:after="0" w:line="146" w:lineRule="exact"/>
        <w:rPr>
          <w:sz w:val="20"/>
          <w:szCs w:val="20"/>
          <w:color w:val="auto"/>
        </w:rPr>
      </w:pPr>
    </w:p>
    <w:p>
      <w:pPr>
        <w:ind w:left="286"/>
        <w:spacing w:after="0" w:line="241" w:lineRule="auto"/>
        <w:rPr>
          <w:sz w:val="20"/>
          <w:szCs w:val="20"/>
          <w:color w:val="auto"/>
        </w:rPr>
      </w:pPr>
      <w:r>
        <w:rPr>
          <w:rFonts w:ascii="Arial" w:cs="Arial" w:eastAsia="Arial" w:hAnsi="Arial"/>
          <w:sz w:val="16"/>
          <w:szCs w:val="16"/>
          <w:color w:val="auto"/>
        </w:rPr>
        <w:t>Income from commissions and fees is recognized at an amount that reflects the consideration to which the Group expects to be entitled in exchange for providing the services. Performance obligations, as well as the timing of their satisfaction, are identified and determined at the time of contract. The Group's revenue contracts do not include multiple performance obligations.</w:t>
      </w:r>
    </w:p>
    <w:p>
      <w:pPr>
        <w:spacing w:after="0" w:line="146" w:lineRule="exact"/>
        <w:rPr>
          <w:sz w:val="20"/>
          <w:szCs w:val="20"/>
          <w:color w:val="auto"/>
        </w:rPr>
      </w:pPr>
    </w:p>
    <w:p>
      <w:pPr>
        <w:ind w:left="286" w:right="140"/>
        <w:spacing w:after="0" w:line="255" w:lineRule="auto"/>
        <w:rPr>
          <w:sz w:val="20"/>
          <w:szCs w:val="20"/>
          <w:color w:val="auto"/>
        </w:rPr>
      </w:pPr>
      <w:r>
        <w:rPr>
          <w:rFonts w:ascii="Arial" w:cs="Arial" w:eastAsia="Arial" w:hAnsi="Arial"/>
          <w:sz w:val="16"/>
          <w:szCs w:val="16"/>
          <w:color w:val="auto"/>
        </w:rPr>
        <w:t>When the Group provides a service to its clients, the consideration is invoiced and generally collected immediately after the provision of a service at a given time or at the end of the contract period for a service provided over time.</w:t>
      </w:r>
    </w:p>
    <w:p>
      <w:pPr>
        <w:spacing w:after="0" w:line="134" w:lineRule="exact"/>
        <w:rPr>
          <w:sz w:val="20"/>
          <w:szCs w:val="20"/>
          <w:color w:val="auto"/>
        </w:rPr>
      </w:pPr>
    </w:p>
    <w:p>
      <w:pPr>
        <w:ind w:left="286" w:right="360"/>
        <w:spacing w:after="0" w:line="255" w:lineRule="auto"/>
        <w:rPr>
          <w:sz w:val="20"/>
          <w:szCs w:val="20"/>
          <w:color w:val="auto"/>
        </w:rPr>
      </w:pPr>
      <w:r>
        <w:rPr>
          <w:rFonts w:ascii="Arial" w:cs="Arial" w:eastAsia="Arial" w:hAnsi="Arial"/>
          <w:sz w:val="16"/>
          <w:szCs w:val="16"/>
          <w:color w:val="auto"/>
        </w:rPr>
        <w:t>The Group has generally concluded that it is the principal in its revenue arrangements because it normally controls the services before transferring them to the client.</w:t>
      </w:r>
    </w:p>
    <w:p>
      <w:pPr>
        <w:spacing w:after="0" w:line="134" w:lineRule="exact"/>
        <w:rPr>
          <w:sz w:val="20"/>
          <w:szCs w:val="20"/>
          <w:color w:val="auto"/>
        </w:rPr>
      </w:pPr>
    </w:p>
    <w:p>
      <w:pPr>
        <w:ind w:left="286"/>
        <w:spacing w:after="0"/>
        <w:rPr>
          <w:sz w:val="20"/>
          <w:szCs w:val="20"/>
          <w:color w:val="auto"/>
        </w:rPr>
      </w:pPr>
      <w:r>
        <w:rPr>
          <w:rFonts w:ascii="Arial" w:cs="Arial" w:eastAsia="Arial" w:hAnsi="Arial"/>
          <w:sz w:val="16"/>
          <w:szCs w:val="16"/>
          <w:color w:val="auto"/>
        </w:rPr>
        <w:t>Other income and expenses:</w:t>
      </w:r>
    </w:p>
    <w:p>
      <w:pPr>
        <w:spacing w:after="0" w:line="16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All other income and expenses are recorded in the period in which the performance obligation is satisfied.</w:t>
      </w:r>
    </w:p>
    <w:p>
      <w:pPr>
        <w:spacing w:after="0" w:line="166" w:lineRule="exact"/>
        <w:rPr>
          <w:sz w:val="20"/>
          <w:szCs w:val="20"/>
          <w:color w:val="auto"/>
        </w:rPr>
      </w:pPr>
    </w:p>
    <w:p>
      <w:pPr>
        <w:ind w:left="286" w:hanging="286"/>
        <w:spacing w:after="0"/>
        <w:tabs>
          <w:tab w:leader="none" w:pos="2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Insurance activities -</w:t>
      </w:r>
    </w:p>
    <w:p>
      <w:pPr>
        <w:spacing w:after="0" w:line="166" w:lineRule="exact"/>
        <w:rPr>
          <w:rFonts w:ascii="Arial" w:cs="Arial" w:eastAsia="Arial" w:hAnsi="Arial"/>
          <w:sz w:val="16"/>
          <w:szCs w:val="16"/>
          <w:color w:val="auto"/>
        </w:rPr>
      </w:pPr>
    </w:p>
    <w:p>
      <w:pPr>
        <w:ind w:left="286" w:right="5860"/>
        <w:spacing w:after="0" w:line="456" w:lineRule="auto"/>
        <w:rPr>
          <w:rFonts w:ascii="Arial" w:cs="Arial" w:eastAsia="Arial" w:hAnsi="Arial"/>
          <w:sz w:val="16"/>
          <w:szCs w:val="16"/>
          <w:color w:val="auto"/>
        </w:rPr>
      </w:pPr>
      <w:r>
        <w:rPr>
          <w:rFonts w:ascii="Arial" w:cs="Arial" w:eastAsia="Arial" w:hAnsi="Arial"/>
          <w:sz w:val="16"/>
          <w:szCs w:val="16"/>
          <w:color w:val="auto"/>
        </w:rPr>
        <w:t>Below is the accounting policy for the Group’s insurance activities: Classification of insurance and reinsurance contracts:</w:t>
      </w:r>
    </w:p>
    <w:p>
      <w:pPr>
        <w:spacing w:after="0" w:line="1" w:lineRule="exact"/>
        <w:rPr>
          <w:rFonts w:ascii="Arial" w:cs="Arial" w:eastAsia="Arial" w:hAnsi="Arial"/>
          <w:sz w:val="16"/>
          <w:szCs w:val="16"/>
          <w:color w:val="auto"/>
        </w:rPr>
      </w:pPr>
    </w:p>
    <w:p>
      <w:pPr>
        <w:jc w:val="both"/>
        <w:ind w:left="286" w:right="60"/>
        <w:spacing w:after="0" w:line="241" w:lineRule="auto"/>
        <w:rPr>
          <w:rFonts w:ascii="Arial" w:cs="Arial" w:eastAsia="Arial" w:hAnsi="Arial"/>
          <w:sz w:val="16"/>
          <w:szCs w:val="16"/>
          <w:color w:val="auto"/>
        </w:rPr>
      </w:pPr>
      <w:r>
        <w:rPr>
          <w:rFonts w:ascii="Arial" w:cs="Arial" w:eastAsia="Arial" w:hAnsi="Arial"/>
          <w:sz w:val="16"/>
          <w:szCs w:val="16"/>
          <w:color w:val="auto"/>
        </w:rPr>
        <w:t>Insurance contracts are those contracts when the Group (the insurer) has accepted a significant insurance risk from another party (the policyholder) by agreeing to compensate the policyholder if a specified uncertain future event (the insured event) adversely affects the policyholder. This definition also includes reinsurance contracts that the Group holds.</w:t>
      </w:r>
    </w:p>
    <w:p>
      <w:pPr>
        <w:spacing w:after="0" w:line="145" w:lineRule="exact"/>
        <w:rPr>
          <w:rFonts w:ascii="Arial" w:cs="Arial" w:eastAsia="Arial" w:hAnsi="Arial"/>
          <w:sz w:val="16"/>
          <w:szCs w:val="16"/>
          <w:color w:val="auto"/>
        </w:rPr>
      </w:pPr>
    </w:p>
    <w:p>
      <w:pPr>
        <w:ind w:left="286" w:right="280"/>
        <w:spacing w:after="0" w:line="241" w:lineRule="auto"/>
        <w:rPr>
          <w:rFonts w:ascii="Arial" w:cs="Arial" w:eastAsia="Arial" w:hAnsi="Arial"/>
          <w:sz w:val="16"/>
          <w:szCs w:val="16"/>
          <w:color w:val="auto"/>
        </w:rPr>
      </w:pPr>
      <w:r>
        <w:rPr>
          <w:rFonts w:ascii="Arial" w:cs="Arial" w:eastAsia="Arial" w:hAnsi="Arial"/>
          <w:sz w:val="16"/>
          <w:szCs w:val="16"/>
          <w:color w:val="auto"/>
        </w:rPr>
        <w:t>Life insurance contracts offered by the Group include retirement, disability and survival insurance, annuities and individual life which includes Investment Link insurance contracts. The non-life insurance contracts issued by the Group mainly include automobile, fire and allied lines, technical branches, and healthcare.</w:t>
      </w:r>
    </w:p>
    <w:p>
      <w:pPr>
        <w:spacing w:after="0" w:line="293" w:lineRule="exact"/>
        <w:rPr>
          <w:sz w:val="20"/>
          <w:szCs w:val="20"/>
          <w:color w:val="auto"/>
        </w:rPr>
      </w:pPr>
    </w:p>
    <w:p>
      <w:pPr>
        <w:jc w:val="center"/>
        <w:ind w:right="534"/>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29" w:name="page30"/>
    <w:bookmarkEnd w:id="29"/>
    <w:p>
      <w:pPr>
        <w:ind w:left="6"/>
        <w:spacing w:after="0"/>
        <w:rPr>
          <w:sz w:val="20"/>
          <w:szCs w:val="20"/>
          <w:color w:val="auto"/>
        </w:rPr>
      </w:pPr>
      <w:r>
        <w:rPr>
          <w:rFonts w:ascii="Arial" w:cs="Arial" w:eastAsia="Arial" w:hAnsi="Arial"/>
          <w:sz w:val="16"/>
          <w:szCs w:val="16"/>
          <w:color w:val="auto"/>
        </w:rPr>
        <w:t>Accounting treatment of insurance and reinsurance contracts:</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6"/>
          <w:szCs w:val="16"/>
          <w:color w:val="auto"/>
        </w:rPr>
        <w:t>Separation of the components of insurance and reinsurance contracts –</w:t>
      </w:r>
    </w:p>
    <w:p>
      <w:pPr>
        <w:spacing w:after="0" w:line="166" w:lineRule="exact"/>
        <w:rPr>
          <w:sz w:val="20"/>
          <w:szCs w:val="20"/>
          <w:color w:val="auto"/>
        </w:rPr>
      </w:pPr>
    </w:p>
    <w:p>
      <w:pPr>
        <w:ind w:left="6" w:right="260"/>
        <w:spacing w:after="0" w:line="255" w:lineRule="auto"/>
        <w:rPr>
          <w:sz w:val="20"/>
          <w:szCs w:val="20"/>
          <w:color w:val="auto"/>
        </w:rPr>
      </w:pPr>
      <w:r>
        <w:rPr>
          <w:rFonts w:ascii="Arial" w:cs="Arial" w:eastAsia="Arial" w:hAnsi="Arial"/>
          <w:sz w:val="16"/>
          <w:szCs w:val="16"/>
          <w:color w:val="auto"/>
        </w:rPr>
        <w:t>The Group evaluates its insurance and reinsurance products to determine if they contain components that must be accounted for under another IFRS instead of IFRS 17.</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After separating the various components, an entity must apply IFRS 17 to all remaining components of the (host) insurance contract.</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Currently, the Group's products do not include differentiated components that require separation.</w:t>
      </w:r>
    </w:p>
    <w:p>
      <w:pPr>
        <w:spacing w:after="0" w:line="166" w:lineRule="exact"/>
        <w:rPr>
          <w:sz w:val="20"/>
          <w:szCs w:val="20"/>
          <w:color w:val="auto"/>
        </w:rPr>
      </w:pPr>
    </w:p>
    <w:p>
      <w:pPr>
        <w:ind w:left="6" w:right="60"/>
        <w:spacing w:after="0" w:line="255" w:lineRule="auto"/>
        <w:rPr>
          <w:sz w:val="20"/>
          <w:szCs w:val="20"/>
          <w:color w:val="auto"/>
        </w:rPr>
      </w:pPr>
      <w:r>
        <w:rPr>
          <w:rFonts w:ascii="Arial" w:cs="Arial" w:eastAsia="Arial" w:hAnsi="Arial"/>
          <w:sz w:val="16"/>
          <w:szCs w:val="16"/>
          <w:color w:val="auto"/>
        </w:rPr>
        <w:t>Investment components are the amounts that an insurance contract requires an insurer to reimburse a policyholder in all circumstances, even if an insured event does not occur.</w:t>
      </w:r>
    </w:p>
    <w:p>
      <w:pPr>
        <w:spacing w:after="0" w:line="134" w:lineRule="exact"/>
        <w:rPr>
          <w:sz w:val="20"/>
          <w:szCs w:val="20"/>
          <w:color w:val="auto"/>
        </w:rPr>
      </w:pPr>
    </w:p>
    <w:p>
      <w:pPr>
        <w:ind w:left="6" w:right="180"/>
        <w:spacing w:after="0" w:line="241" w:lineRule="auto"/>
        <w:rPr>
          <w:sz w:val="20"/>
          <w:szCs w:val="20"/>
          <w:color w:val="auto"/>
        </w:rPr>
      </w:pPr>
      <w:r>
        <w:rPr>
          <w:rFonts w:ascii="Arial" w:cs="Arial" w:eastAsia="Arial" w:hAnsi="Arial"/>
          <w:sz w:val="16"/>
          <w:szCs w:val="16"/>
          <w:color w:val="auto"/>
        </w:rPr>
        <w:t>Investment components that are highly interrelated with the insurance contract of which they are a part are considered non-distinct and are not accounted for separately. However, the receipts and payments of the investment components are excluded from the income and expenses of the insurance activity.</w:t>
      </w:r>
    </w:p>
    <w:p>
      <w:pPr>
        <w:spacing w:after="0" w:line="146" w:lineRule="exact"/>
        <w:rPr>
          <w:sz w:val="20"/>
          <w:szCs w:val="20"/>
          <w:color w:val="auto"/>
        </w:rPr>
      </w:pPr>
    </w:p>
    <w:p>
      <w:pPr>
        <w:ind w:left="6"/>
        <w:spacing w:after="0" w:line="241" w:lineRule="auto"/>
        <w:rPr>
          <w:sz w:val="20"/>
          <w:szCs w:val="20"/>
          <w:color w:val="auto"/>
        </w:rPr>
      </w:pPr>
      <w:r>
        <w:rPr>
          <w:rFonts w:ascii="Arial" w:cs="Arial" w:eastAsia="Arial" w:hAnsi="Arial"/>
          <w:sz w:val="16"/>
          <w:szCs w:val="16"/>
          <w:color w:val="auto"/>
        </w:rPr>
        <w:t>Some reinsurance contracts issued contain profit commission arrangements. Under these agreements, there is a guaranteed minimum amount that the policyholder will always receive, whether in the form of profit commission, claims, or other contractual payment, regardless of whether the insured event occurs.</w:t>
      </w:r>
    </w:p>
    <w:p>
      <w:pPr>
        <w:spacing w:after="0" w:line="146" w:lineRule="exact"/>
        <w:rPr>
          <w:sz w:val="20"/>
          <w:szCs w:val="20"/>
          <w:color w:val="auto"/>
        </w:rPr>
      </w:pPr>
    </w:p>
    <w:p>
      <w:pPr>
        <w:ind w:left="6"/>
        <w:spacing w:after="0" w:line="241" w:lineRule="auto"/>
        <w:rPr>
          <w:sz w:val="20"/>
          <w:szCs w:val="20"/>
          <w:color w:val="auto"/>
        </w:rPr>
      </w:pPr>
      <w:r>
        <w:rPr>
          <w:rFonts w:ascii="Arial" w:cs="Arial" w:eastAsia="Arial" w:hAnsi="Arial"/>
          <w:sz w:val="16"/>
          <w:szCs w:val="16"/>
          <w:color w:val="auto"/>
        </w:rPr>
        <w:t>The components of the profit commission are assessed to be highly interrelated with the insurance component of reinsurance contracts so that they are considered non-distinct investment components so that separate accounting is not required. However, receipts and payments of these investment components are recognized outside of profit or loss.</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color w:val="auto"/>
        </w:rPr>
        <w:t>Aggregation level and classification –</w:t>
      </w:r>
    </w:p>
    <w:p>
      <w:pPr>
        <w:spacing w:after="0" w:line="166" w:lineRule="exact"/>
        <w:rPr>
          <w:sz w:val="20"/>
          <w:szCs w:val="20"/>
          <w:color w:val="auto"/>
        </w:rPr>
      </w:pPr>
    </w:p>
    <w:p>
      <w:pPr>
        <w:ind w:left="6" w:right="80"/>
        <w:spacing w:after="0" w:line="255" w:lineRule="auto"/>
        <w:rPr>
          <w:sz w:val="20"/>
          <w:szCs w:val="20"/>
          <w:color w:val="auto"/>
        </w:rPr>
      </w:pPr>
      <w:r>
        <w:rPr>
          <w:rFonts w:ascii="Arial" w:cs="Arial" w:eastAsia="Arial" w:hAnsi="Arial"/>
          <w:sz w:val="16"/>
          <w:szCs w:val="16"/>
          <w:color w:val="auto"/>
        </w:rPr>
        <w:t>The grouping of contracts into units of account is carried out based on the types of products, currency, cost and year of subscription; because they have similar risks, they are managed jointly, and no contract portfolio can contain contracts issued more than one year apart.</w:t>
      </w:r>
    </w:p>
    <w:p>
      <w:pPr>
        <w:spacing w:after="0" w:line="134" w:lineRule="exact"/>
        <w:rPr>
          <w:sz w:val="20"/>
          <w:szCs w:val="20"/>
          <w:color w:val="auto"/>
        </w:rPr>
      </w:pPr>
    </w:p>
    <w:p>
      <w:pPr>
        <w:ind w:left="6" w:right="460"/>
        <w:spacing w:after="0" w:line="255" w:lineRule="auto"/>
        <w:rPr>
          <w:sz w:val="20"/>
          <w:szCs w:val="20"/>
          <w:color w:val="auto"/>
        </w:rPr>
      </w:pPr>
      <w:r>
        <w:rPr>
          <w:rFonts w:ascii="Arial" w:cs="Arial" w:eastAsia="Arial" w:hAnsi="Arial"/>
          <w:sz w:val="16"/>
          <w:szCs w:val="16"/>
          <w:color w:val="auto"/>
        </w:rPr>
        <w:t>The Group classifies a portfolio of insurance and reinsurance contracts into two categories based on the expected profitability at the policy or contract level at the time of its recognition based on reasonable and sustainable information in:</w:t>
      </w:r>
    </w:p>
    <w:p>
      <w:pPr>
        <w:spacing w:after="0" w:line="134" w:lineRule="exact"/>
        <w:rPr>
          <w:sz w:val="20"/>
          <w:szCs w:val="20"/>
          <w:color w:val="auto"/>
        </w:rPr>
      </w:pPr>
    </w:p>
    <w:p>
      <w:pPr>
        <w:ind w:left="286" w:right="20" w:hanging="286"/>
        <w:spacing w:after="0" w:line="255" w:lineRule="auto"/>
        <w:tabs>
          <w:tab w:leader="none" w:pos="2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Onerous contracts: A contract will be classified as onerous initial recognition date the present value of the expected outflows is greater than the inflows.</w:t>
      </w:r>
    </w:p>
    <w:p>
      <w:pPr>
        <w:spacing w:after="0" w:line="134" w:lineRule="exact"/>
        <w:rPr>
          <w:rFonts w:ascii="Arial" w:cs="Arial" w:eastAsia="Arial" w:hAnsi="Arial"/>
          <w:sz w:val="16"/>
          <w:szCs w:val="16"/>
          <w:color w:val="auto"/>
        </w:rPr>
      </w:pPr>
    </w:p>
    <w:p>
      <w:pPr>
        <w:ind w:left="286" w:hanging="286"/>
        <w:spacing w:after="0" w:line="255" w:lineRule="auto"/>
        <w:tabs>
          <w:tab w:leader="none" w:pos="2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Non-onerous contracts: Will contain contracts for which, at initial recognition, the present value of the expected outflows is less than the present value of the inflows.</w:t>
      </w:r>
    </w:p>
    <w:p>
      <w:pPr>
        <w:spacing w:after="0" w:line="134" w:lineRule="exact"/>
        <w:rPr>
          <w:sz w:val="20"/>
          <w:szCs w:val="20"/>
          <w:color w:val="auto"/>
        </w:rPr>
      </w:pPr>
    </w:p>
    <w:p>
      <w:pPr>
        <w:ind w:left="6" w:right="860"/>
        <w:spacing w:after="0" w:line="255" w:lineRule="auto"/>
        <w:rPr>
          <w:sz w:val="20"/>
          <w:szCs w:val="20"/>
          <w:color w:val="auto"/>
        </w:rPr>
      </w:pPr>
      <w:r>
        <w:rPr>
          <w:rFonts w:ascii="Arial" w:cs="Arial" w:eastAsia="Arial" w:hAnsi="Arial"/>
          <w:sz w:val="16"/>
          <w:szCs w:val="16"/>
          <w:color w:val="auto"/>
        </w:rPr>
        <w:t>It should be noted that a contract for accounting purposes may differ from what is considered a contract for other purposes (i.e. legal or management).</w:t>
      </w:r>
    </w:p>
    <w:p>
      <w:pPr>
        <w:spacing w:after="0" w:line="134" w:lineRule="exact"/>
        <w:rPr>
          <w:sz w:val="20"/>
          <w:szCs w:val="20"/>
          <w:color w:val="auto"/>
        </w:rPr>
      </w:pPr>
    </w:p>
    <w:p>
      <w:pPr>
        <w:ind w:left="6" w:right="420"/>
        <w:spacing w:after="0" w:line="255" w:lineRule="auto"/>
        <w:rPr>
          <w:sz w:val="20"/>
          <w:szCs w:val="20"/>
          <w:color w:val="auto"/>
        </w:rPr>
      </w:pPr>
      <w:r>
        <w:rPr>
          <w:rFonts w:ascii="Arial" w:cs="Arial" w:eastAsia="Arial" w:hAnsi="Arial"/>
          <w:sz w:val="16"/>
          <w:szCs w:val="16"/>
          <w:color w:val="auto"/>
        </w:rPr>
        <w:t>The expected return of these portfolios at inception is determined based on existing actuarial valuation models that consider new and existing businesses.</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Recognition of insurance and reinsurance contracts –</w:t>
      </w:r>
    </w:p>
    <w:p>
      <w:pPr>
        <w:spacing w:after="0" w:line="313"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26"/>
          </w:cols>
          <w:pgMar w:left="1434" w:top="124" w:right="339" w:bottom="1440" w:gutter="0" w:footer="0" w:header="0"/>
        </w:sectPr>
      </w:pPr>
    </w:p>
    <w:bookmarkStart w:id="30" w:name="page31"/>
    <w:bookmarkEnd w:id="30"/>
    <w:p>
      <w:pPr>
        <w:ind w:left="6"/>
        <w:spacing w:after="0"/>
        <w:rPr>
          <w:sz w:val="20"/>
          <w:szCs w:val="20"/>
          <w:color w:val="auto"/>
        </w:rPr>
      </w:pPr>
      <w:r>
        <w:rPr>
          <w:rFonts w:ascii="Arial" w:cs="Arial" w:eastAsia="Arial" w:hAnsi="Arial"/>
          <w:sz w:val="16"/>
          <w:szCs w:val="16"/>
          <w:color w:val="auto"/>
        </w:rPr>
        <w:t>The Group recognizes the groups of insurance contracts it issues starting from the first of the following:</w:t>
      </w:r>
    </w:p>
    <w:p>
      <w:pPr>
        <w:spacing w:after="0" w:line="167" w:lineRule="exact"/>
        <w:rPr>
          <w:sz w:val="20"/>
          <w:szCs w:val="20"/>
          <w:color w:val="auto"/>
        </w:rPr>
      </w:pPr>
    </w:p>
    <w:p>
      <w:pPr>
        <w:ind w:left="286" w:hanging="286"/>
        <w:spacing w:after="0"/>
        <w:tabs>
          <w:tab w:leader="none" w:pos="28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beginning of the coverage period of the group of contracts.</w:t>
      </w:r>
    </w:p>
    <w:p>
      <w:pPr>
        <w:spacing w:after="0" w:line="5" w:lineRule="exact"/>
        <w:rPr>
          <w:rFonts w:ascii="Arial" w:cs="Arial" w:eastAsia="Arial" w:hAnsi="Arial"/>
          <w:sz w:val="16"/>
          <w:szCs w:val="16"/>
          <w:color w:val="auto"/>
        </w:rPr>
      </w:pPr>
    </w:p>
    <w:p>
      <w:pPr>
        <w:ind w:left="286" w:hanging="286"/>
        <w:spacing w:after="0" w:line="228" w:lineRule="auto"/>
        <w:tabs>
          <w:tab w:leader="none" w:pos="28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due date of the first payment from a policyholder in the group becomes due.</w:t>
      </w:r>
    </w:p>
    <w:p>
      <w:pPr>
        <w:ind w:left="286" w:hanging="286"/>
        <w:spacing w:after="0"/>
        <w:tabs>
          <w:tab w:leader="none" w:pos="286"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a group of onerous contracts, when the group becomes onerous.</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Group recognizes a group of reinsurance contracts that it has entered into from the earliest of the following:</w:t>
      </w:r>
    </w:p>
    <w:p>
      <w:pPr>
        <w:spacing w:after="0" w:line="166" w:lineRule="exact"/>
        <w:rPr>
          <w:sz w:val="20"/>
          <w:szCs w:val="20"/>
          <w:color w:val="auto"/>
        </w:rPr>
      </w:pPr>
    </w:p>
    <w:p>
      <w:pPr>
        <w:ind w:left="286" w:hanging="286"/>
        <w:spacing w:after="0"/>
        <w:tabs>
          <w:tab w:leader="none" w:pos="286"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all other cases from the beginning of the coverage period of the group of reinsurance contracts held.</w:t>
      </w:r>
    </w:p>
    <w:p>
      <w:pPr>
        <w:spacing w:after="0" w:line="5" w:lineRule="exact"/>
        <w:rPr>
          <w:rFonts w:ascii="Arial" w:cs="Arial" w:eastAsia="Arial" w:hAnsi="Arial"/>
          <w:sz w:val="16"/>
          <w:szCs w:val="16"/>
          <w:color w:val="auto"/>
        </w:rPr>
      </w:pPr>
    </w:p>
    <w:p>
      <w:pPr>
        <w:ind w:left="286" w:right="140" w:hanging="286"/>
        <w:spacing w:after="0" w:line="228" w:lineRule="auto"/>
        <w:tabs>
          <w:tab w:leader="none" w:pos="286"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the Group recognizes an onerous group of underlying insurance contracts if the Group entered into the related reinsurance contract held in the group of reinsurance contracts held at or before that date.</w:t>
      </w:r>
    </w:p>
    <w:p>
      <w:pPr>
        <w:ind w:left="286" w:right="360" w:hanging="286"/>
        <w:spacing w:after="0" w:line="238" w:lineRule="auto"/>
        <w:tabs>
          <w:tab w:leader="none" w:pos="28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Whether the reinsurance contracts held provide proportional coverage at the beginning of the coverage period of the group of reinsurance contracts held or at the initial recognition of any underlying contract, whichever is later.</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color w:val="auto"/>
        </w:rPr>
        <w:t>Contract boundary –</w:t>
      </w:r>
    </w:p>
    <w:p>
      <w:pPr>
        <w:spacing w:after="0" w:line="166" w:lineRule="exact"/>
        <w:rPr>
          <w:sz w:val="20"/>
          <w:szCs w:val="20"/>
          <w:color w:val="auto"/>
        </w:rPr>
      </w:pPr>
    </w:p>
    <w:p>
      <w:pPr>
        <w:ind w:left="6"/>
        <w:spacing w:after="0" w:line="241" w:lineRule="auto"/>
        <w:rPr>
          <w:sz w:val="20"/>
          <w:szCs w:val="20"/>
          <w:color w:val="auto"/>
        </w:rPr>
      </w:pPr>
      <w:r>
        <w:rPr>
          <w:rFonts w:ascii="Arial" w:cs="Arial" w:eastAsia="Arial" w:hAnsi="Arial"/>
          <w:sz w:val="16"/>
          <w:szCs w:val="16"/>
          <w:color w:val="auto"/>
        </w:rPr>
        <w:t>The Group includes in the measurement of a group of insurance contracts all future cash flows within the limit of each contract in the group. Cash flows are within the limits of an insurance contract if they arise from substantive rights and obligations that exist during the reporting period in which the Group has a substantive obligation to provide the policyholder with insurance services insurance contract.</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substantive obligation to provide the services of the insurance contract ends when:</w:t>
      </w:r>
    </w:p>
    <w:p>
      <w:pPr>
        <w:spacing w:after="0" w:line="166" w:lineRule="exact"/>
        <w:rPr>
          <w:sz w:val="20"/>
          <w:szCs w:val="20"/>
          <w:color w:val="auto"/>
        </w:rPr>
      </w:pPr>
    </w:p>
    <w:p>
      <w:pPr>
        <w:ind w:left="286" w:right="100" w:hanging="286"/>
        <w:spacing w:after="0" w:line="255" w:lineRule="auto"/>
        <w:tabs>
          <w:tab w:leader="none" w:pos="2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Group has the practical ability to reassess the risks of the particular policyholder and, as a result, can establish a price or level of benefits that fully reflects those risks.</w:t>
      </w:r>
    </w:p>
    <w:p>
      <w:pPr>
        <w:spacing w:after="0" w:line="134" w:lineRule="exact"/>
        <w:rPr>
          <w:rFonts w:ascii="Arial" w:cs="Arial" w:eastAsia="Arial" w:hAnsi="Arial"/>
          <w:sz w:val="16"/>
          <w:szCs w:val="16"/>
          <w:color w:val="auto"/>
        </w:rPr>
      </w:pPr>
    </w:p>
    <w:p>
      <w:pPr>
        <w:ind w:left="286" w:hanging="286"/>
        <w:spacing w:after="0"/>
        <w:tabs>
          <w:tab w:leader="none" w:pos="2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following two criteria are met:</w:t>
      </w:r>
    </w:p>
    <w:p>
      <w:pPr>
        <w:spacing w:after="0" w:line="166" w:lineRule="exact"/>
        <w:rPr>
          <w:rFonts w:ascii="Arial" w:cs="Arial" w:eastAsia="Arial" w:hAnsi="Arial"/>
          <w:sz w:val="16"/>
          <w:szCs w:val="16"/>
          <w:color w:val="auto"/>
        </w:rPr>
      </w:pPr>
    </w:p>
    <w:p>
      <w:pPr>
        <w:ind w:left="566" w:right="240" w:hanging="286"/>
        <w:spacing w:after="0" w:line="237" w:lineRule="auto"/>
        <w:tabs>
          <w:tab w:leader="none" w:pos="5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Group has the practical ability to reassess the risks of the portfolio of insurance contracts contained in the contract and, as a result, can establish a price or profit level that fully reflects the risk of that portfolio.</w:t>
      </w:r>
    </w:p>
    <w:p>
      <w:pPr>
        <w:ind w:left="566" w:right="480" w:hanging="286"/>
        <w:spacing w:after="0" w:line="238" w:lineRule="auto"/>
        <w:tabs>
          <w:tab w:leader="none" w:pos="5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price of the premium until the date of re-evaluation of the risks does not consider the risks that relate to periods after the date of reassessment.</w:t>
      </w:r>
    </w:p>
    <w:p>
      <w:pPr>
        <w:spacing w:after="0" w:line="146" w:lineRule="exact"/>
        <w:rPr>
          <w:sz w:val="20"/>
          <w:szCs w:val="20"/>
          <w:color w:val="auto"/>
        </w:rPr>
      </w:pPr>
    </w:p>
    <w:p>
      <w:pPr>
        <w:ind w:left="6" w:right="360"/>
        <w:spacing w:after="0" w:line="255" w:lineRule="auto"/>
        <w:rPr>
          <w:sz w:val="20"/>
          <w:szCs w:val="20"/>
          <w:color w:val="auto"/>
        </w:rPr>
      </w:pPr>
      <w:r>
        <w:rPr>
          <w:rFonts w:ascii="Arial" w:cs="Arial" w:eastAsia="Arial" w:hAnsi="Arial"/>
          <w:sz w:val="16"/>
          <w:szCs w:val="16"/>
          <w:color w:val="auto"/>
        </w:rPr>
        <w:t>A liability or asset related to expected premiums or claims outside the limit of the insurance contract is not recognized. These amounts refer to future insurance contracts.</w:t>
      </w:r>
    </w:p>
    <w:p>
      <w:pPr>
        <w:spacing w:after="0" w:line="134" w:lineRule="exact"/>
        <w:rPr>
          <w:sz w:val="20"/>
          <w:szCs w:val="20"/>
          <w:color w:val="auto"/>
        </w:rPr>
      </w:pPr>
    </w:p>
    <w:p>
      <w:pPr>
        <w:ind w:left="6" w:right="240"/>
        <w:spacing w:after="0" w:line="255" w:lineRule="auto"/>
        <w:rPr>
          <w:sz w:val="20"/>
          <w:szCs w:val="20"/>
          <w:color w:val="auto"/>
        </w:rPr>
      </w:pPr>
      <w:r>
        <w:rPr>
          <w:rFonts w:ascii="Arial" w:cs="Arial" w:eastAsia="Arial" w:hAnsi="Arial"/>
          <w:sz w:val="16"/>
          <w:szCs w:val="16"/>
          <w:color w:val="auto"/>
        </w:rPr>
        <w:t>For life contracts with renewal periods, the Group assesses whether the premiums and related cash flows arising from the renewed contract are within the contract boundary.</w:t>
      </w:r>
    </w:p>
    <w:p>
      <w:pPr>
        <w:spacing w:after="0" w:line="134" w:lineRule="exact"/>
        <w:rPr>
          <w:sz w:val="20"/>
          <w:szCs w:val="20"/>
          <w:color w:val="auto"/>
        </w:rPr>
      </w:pPr>
    </w:p>
    <w:p>
      <w:pPr>
        <w:ind w:left="6" w:right="500"/>
        <w:spacing w:after="0" w:line="255" w:lineRule="auto"/>
        <w:rPr>
          <w:sz w:val="20"/>
          <w:szCs w:val="20"/>
          <w:color w:val="auto"/>
        </w:rPr>
      </w:pPr>
      <w:r>
        <w:rPr>
          <w:rFonts w:ascii="Arial" w:cs="Arial" w:eastAsia="Arial" w:hAnsi="Arial"/>
          <w:sz w:val="16"/>
          <w:szCs w:val="16"/>
          <w:color w:val="auto"/>
        </w:rPr>
        <w:t>Renewal prices are established by the Group considering all risks covered for the insured that would be considered when signing equivalent contracts on the renewal dates of the remaining service.</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Group re-evaluates each group's contract boundary at the end of each reporting period.</w:t>
      </w:r>
    </w:p>
    <w:p>
      <w:pPr>
        <w:spacing w:after="0" w:line="313"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06"/>
          </w:cols>
          <w:pgMar w:left="1434" w:top="124" w:right="359" w:bottom="1440" w:gutter="0" w:footer="0" w:header="0"/>
        </w:sectPr>
      </w:pPr>
    </w:p>
    <w:bookmarkStart w:id="31" w:name="page32"/>
    <w:bookmarkEnd w:id="31"/>
    <w:p>
      <w:pPr>
        <w:ind w:left="6"/>
        <w:spacing w:after="0"/>
        <w:rPr>
          <w:sz w:val="20"/>
          <w:szCs w:val="20"/>
          <w:color w:val="auto"/>
        </w:rPr>
      </w:pPr>
      <w:r>
        <w:rPr>
          <w:rFonts w:ascii="Arial" w:cs="Arial" w:eastAsia="Arial" w:hAnsi="Arial"/>
          <w:sz w:val="16"/>
          <w:szCs w:val="16"/>
          <w:color w:val="auto"/>
        </w:rPr>
        <w:t>Measurement at initial recognition –</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6"/>
          <w:szCs w:val="16"/>
          <w:color w:val="auto"/>
        </w:rPr>
        <w:t>General model (BBA) – Insurance contracts</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general model measures a group of insurance contracts as the total of:</w:t>
      </w:r>
    </w:p>
    <w:p>
      <w:pPr>
        <w:spacing w:after="0" w:line="166" w:lineRule="exact"/>
        <w:rPr>
          <w:sz w:val="20"/>
          <w:szCs w:val="20"/>
          <w:color w:val="auto"/>
        </w:rPr>
      </w:pPr>
    </w:p>
    <w:p>
      <w:pPr>
        <w:ind w:left="286" w:hanging="286"/>
        <w:spacing w:after="0"/>
        <w:tabs>
          <w:tab w:leader="none" w:pos="2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Fulfillment cash flows.</w:t>
      </w:r>
    </w:p>
    <w:p>
      <w:pPr>
        <w:spacing w:after="0" w:line="5" w:lineRule="exact"/>
        <w:rPr>
          <w:rFonts w:ascii="Arial" w:cs="Arial" w:eastAsia="Arial" w:hAnsi="Arial"/>
          <w:sz w:val="16"/>
          <w:szCs w:val="16"/>
          <w:color w:val="auto"/>
        </w:rPr>
      </w:pPr>
    </w:p>
    <w:p>
      <w:pPr>
        <w:ind w:left="286" w:hanging="286"/>
        <w:spacing w:after="0" w:line="228" w:lineRule="auto"/>
        <w:tabs>
          <w:tab w:leader="none" w:pos="2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risk adjustment for non-financial risk.</w:t>
      </w:r>
    </w:p>
    <w:p>
      <w:pPr>
        <w:ind w:left="286" w:hanging="286"/>
        <w:spacing w:after="0" w:line="238" w:lineRule="auto"/>
        <w:tabs>
          <w:tab w:leader="none" w:pos="2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contractual service margin (CSM) which represents the unearned technical profit that the Group will recognize as it provides services in the future.</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color w:val="auto"/>
        </w:rPr>
        <w:t>Compliance cash flows comprise:</w:t>
      </w:r>
    </w:p>
    <w:p>
      <w:pPr>
        <w:spacing w:after="0" w:line="166" w:lineRule="exact"/>
        <w:rPr>
          <w:sz w:val="20"/>
          <w:szCs w:val="20"/>
          <w:color w:val="auto"/>
        </w:rPr>
      </w:pPr>
    </w:p>
    <w:p>
      <w:pPr>
        <w:ind w:left="286" w:hanging="286"/>
        <w:spacing w:after="0"/>
        <w:tabs>
          <w:tab w:leader="none" w:pos="2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Estimates of future cash flows considering their probability of occurrence.</w:t>
      </w:r>
    </w:p>
    <w:p>
      <w:pPr>
        <w:spacing w:after="0" w:line="5" w:lineRule="exact"/>
        <w:rPr>
          <w:rFonts w:ascii="Arial" w:cs="Arial" w:eastAsia="Arial" w:hAnsi="Arial"/>
          <w:sz w:val="16"/>
          <w:szCs w:val="16"/>
          <w:color w:val="auto"/>
        </w:rPr>
      </w:pPr>
    </w:p>
    <w:p>
      <w:pPr>
        <w:ind w:left="286" w:hanging="286"/>
        <w:spacing w:after="0"/>
        <w:tabs>
          <w:tab w:leader="none" w:pos="2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adjustment to reflect the time value of money and the financial risks related to future cash flows.</w:t>
      </w:r>
    </w:p>
    <w:p>
      <w:pPr>
        <w:spacing w:after="0" w:line="152" w:lineRule="exact"/>
        <w:rPr>
          <w:sz w:val="20"/>
          <w:szCs w:val="20"/>
          <w:color w:val="auto"/>
        </w:rPr>
      </w:pPr>
    </w:p>
    <w:p>
      <w:pPr>
        <w:ind w:left="6" w:right="20"/>
        <w:spacing w:after="0" w:line="255" w:lineRule="auto"/>
        <w:rPr>
          <w:sz w:val="20"/>
          <w:szCs w:val="20"/>
          <w:color w:val="auto"/>
        </w:rPr>
      </w:pPr>
      <w:r>
        <w:rPr>
          <w:rFonts w:ascii="Arial" w:cs="Arial" w:eastAsia="Arial" w:hAnsi="Arial"/>
          <w:sz w:val="16"/>
          <w:szCs w:val="16"/>
          <w:color w:val="auto"/>
        </w:rPr>
        <w:t>The cash flows for each scenario are weighted according to the probability of their occurrence based on the experience of the Group's portfolio and are discounted using current interest rate assumptions (risk-free curve + Matching Adjustment).</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When estimating future cash flows, the Group includes all cash flows that are within the contract boundary, including:</w:t>
      </w:r>
    </w:p>
    <w:p>
      <w:pPr>
        <w:spacing w:after="0" w:line="166" w:lineRule="exact"/>
        <w:rPr>
          <w:sz w:val="20"/>
          <w:szCs w:val="20"/>
          <w:color w:val="auto"/>
        </w:rPr>
      </w:pPr>
    </w:p>
    <w:p>
      <w:pPr>
        <w:ind w:left="286" w:hanging="286"/>
        <w:spacing w:after="0"/>
        <w:tabs>
          <w:tab w:leader="none" w:pos="2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Premiums and related cash flows.</w:t>
      </w:r>
    </w:p>
    <w:p>
      <w:pPr>
        <w:spacing w:after="0" w:line="5" w:lineRule="exact"/>
        <w:rPr>
          <w:rFonts w:ascii="Arial" w:cs="Arial" w:eastAsia="Arial" w:hAnsi="Arial"/>
          <w:sz w:val="16"/>
          <w:szCs w:val="16"/>
          <w:color w:val="auto"/>
        </w:rPr>
      </w:pPr>
    </w:p>
    <w:p>
      <w:pPr>
        <w:ind w:left="286" w:hanging="286"/>
        <w:spacing w:after="0"/>
        <w:tabs>
          <w:tab w:leader="none" w:pos="2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Expected future claims and benefits:</w:t>
      </w:r>
    </w:p>
    <w:p>
      <w:pPr>
        <w:spacing w:after="0" w:line="152" w:lineRule="exact"/>
        <w:rPr>
          <w:rFonts w:ascii="Arial" w:cs="Arial" w:eastAsia="Arial" w:hAnsi="Arial"/>
          <w:sz w:val="16"/>
          <w:szCs w:val="16"/>
          <w:color w:val="auto"/>
        </w:rPr>
      </w:pPr>
    </w:p>
    <w:p>
      <w:pPr>
        <w:ind w:left="566" w:hanging="286"/>
        <w:spacing w:after="0"/>
        <w:tabs>
          <w:tab w:leader="none" w:pos="566" w:val="left"/>
        </w:tabs>
        <w:numPr>
          <w:ilvl w:val="1"/>
          <w:numId w:val="27"/>
        </w:numPr>
        <w:rPr>
          <w:rFonts w:ascii="Arial" w:cs="Arial" w:eastAsia="Arial" w:hAnsi="Arial"/>
          <w:sz w:val="16"/>
          <w:szCs w:val="16"/>
          <w:color w:val="auto"/>
        </w:rPr>
      </w:pPr>
      <w:r>
        <w:rPr>
          <w:rFonts w:ascii="Arial" w:cs="Arial" w:eastAsia="Arial" w:hAnsi="Arial"/>
          <w:sz w:val="16"/>
          <w:szCs w:val="16"/>
          <w:color w:val="auto"/>
        </w:rPr>
        <w:t>Payments to beneficiaries for the occurrence of insured events.</w:t>
      </w:r>
    </w:p>
    <w:p>
      <w:pPr>
        <w:spacing w:after="0" w:line="5" w:lineRule="exact"/>
        <w:rPr>
          <w:rFonts w:ascii="Arial" w:cs="Arial" w:eastAsia="Arial" w:hAnsi="Arial"/>
          <w:sz w:val="16"/>
          <w:szCs w:val="16"/>
          <w:color w:val="auto"/>
        </w:rPr>
      </w:pPr>
    </w:p>
    <w:p>
      <w:pPr>
        <w:ind w:left="566" w:hanging="286"/>
        <w:spacing w:after="0" w:line="228" w:lineRule="auto"/>
        <w:tabs>
          <w:tab w:leader="none" w:pos="566" w:val="left"/>
        </w:tabs>
        <w:numPr>
          <w:ilvl w:val="1"/>
          <w:numId w:val="27"/>
        </w:numPr>
        <w:rPr>
          <w:rFonts w:ascii="Arial" w:cs="Arial" w:eastAsia="Arial" w:hAnsi="Arial"/>
          <w:sz w:val="16"/>
          <w:szCs w:val="16"/>
          <w:color w:val="auto"/>
        </w:rPr>
      </w:pPr>
      <w:r>
        <w:rPr>
          <w:rFonts w:ascii="Arial" w:cs="Arial" w:eastAsia="Arial" w:hAnsi="Arial"/>
          <w:sz w:val="16"/>
          <w:szCs w:val="16"/>
          <w:color w:val="auto"/>
        </w:rPr>
        <w:t>Payments to policyholders resulting from the incorporated surrender and maturity options.</w:t>
      </w:r>
    </w:p>
    <w:p>
      <w:pPr>
        <w:ind w:left="566" w:hanging="286"/>
        <w:spacing w:after="0" w:line="228" w:lineRule="auto"/>
        <w:tabs>
          <w:tab w:leader="none" w:pos="566" w:val="left"/>
        </w:tabs>
        <w:numPr>
          <w:ilvl w:val="1"/>
          <w:numId w:val="27"/>
        </w:numPr>
        <w:rPr>
          <w:rFonts w:ascii="Arial" w:cs="Arial" w:eastAsia="Arial" w:hAnsi="Arial"/>
          <w:sz w:val="16"/>
          <w:szCs w:val="16"/>
          <w:color w:val="auto"/>
        </w:rPr>
      </w:pPr>
      <w:r>
        <w:rPr>
          <w:rFonts w:ascii="Arial" w:cs="Arial" w:eastAsia="Arial" w:hAnsi="Arial"/>
          <w:sz w:val="16"/>
          <w:szCs w:val="16"/>
          <w:color w:val="auto"/>
        </w:rPr>
        <w:t>Acquisition expenses attributable to the portfolio to which the contract belongs.</w:t>
      </w:r>
    </w:p>
    <w:p>
      <w:pPr>
        <w:ind w:left="566" w:hanging="286"/>
        <w:spacing w:after="0" w:line="228" w:lineRule="auto"/>
        <w:tabs>
          <w:tab w:leader="none" w:pos="566" w:val="left"/>
        </w:tabs>
        <w:numPr>
          <w:ilvl w:val="1"/>
          <w:numId w:val="27"/>
        </w:numPr>
        <w:rPr>
          <w:rFonts w:ascii="Arial" w:cs="Arial" w:eastAsia="Arial" w:hAnsi="Arial"/>
          <w:sz w:val="16"/>
          <w:szCs w:val="16"/>
          <w:color w:val="auto"/>
        </w:rPr>
      </w:pPr>
      <w:r>
        <w:rPr>
          <w:rFonts w:ascii="Arial" w:cs="Arial" w:eastAsia="Arial" w:hAnsi="Arial"/>
          <w:sz w:val="16"/>
          <w:szCs w:val="16"/>
          <w:color w:val="auto"/>
        </w:rPr>
        <w:t>Claim settlement expenses.</w:t>
      </w:r>
    </w:p>
    <w:p>
      <w:pPr>
        <w:ind w:left="566" w:hanging="286"/>
        <w:spacing w:after="0" w:line="228" w:lineRule="auto"/>
        <w:tabs>
          <w:tab w:leader="none" w:pos="566" w:val="left"/>
        </w:tabs>
        <w:numPr>
          <w:ilvl w:val="1"/>
          <w:numId w:val="27"/>
        </w:numPr>
        <w:rPr>
          <w:rFonts w:ascii="Arial" w:cs="Arial" w:eastAsia="Arial" w:hAnsi="Arial"/>
          <w:sz w:val="16"/>
          <w:szCs w:val="16"/>
          <w:color w:val="auto"/>
        </w:rPr>
      </w:pPr>
      <w:r>
        <w:rPr>
          <w:rFonts w:ascii="Arial" w:cs="Arial" w:eastAsia="Arial" w:hAnsi="Arial"/>
          <w:sz w:val="16"/>
          <w:szCs w:val="16"/>
          <w:color w:val="auto"/>
        </w:rPr>
        <w:t>Attributable policy maintenance expenses, including recurring commissions expected to be paid to intermediaries.</w:t>
      </w:r>
    </w:p>
    <w:p>
      <w:pPr>
        <w:ind w:left="566" w:hanging="286"/>
        <w:spacing w:after="0"/>
        <w:tabs>
          <w:tab w:leader="none" w:pos="566"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 allocation of fixed and variable overhead expenses directly attributable to compliance with insurance contracts.</w:t>
      </w:r>
    </w:p>
    <w:p>
      <w:pPr>
        <w:spacing w:after="0" w:line="152" w:lineRule="exact"/>
        <w:rPr>
          <w:sz w:val="20"/>
          <w:szCs w:val="20"/>
          <w:color w:val="auto"/>
        </w:rPr>
      </w:pPr>
    </w:p>
    <w:p>
      <w:pPr>
        <w:ind w:left="6" w:right="460"/>
        <w:spacing w:after="0" w:line="326" w:lineRule="auto"/>
        <w:rPr>
          <w:sz w:val="20"/>
          <w:szCs w:val="20"/>
          <w:color w:val="auto"/>
        </w:rPr>
      </w:pPr>
      <w:r>
        <w:rPr>
          <w:rFonts w:ascii="Arial" w:cs="Arial" w:eastAsia="Arial" w:hAnsi="Arial"/>
          <w:sz w:val="14"/>
          <w:szCs w:val="14"/>
          <w:color w:val="auto"/>
        </w:rPr>
        <w:t>If the initial estimate of the cash flows of a group of contracts results in a net loss, these contracts become onerous contracts and a liability is recognized at that initial moment in the consolidated statement of financial position as a “loss component” or “Loss Component”.</w:t>
      </w:r>
    </w:p>
    <w:p>
      <w:pPr>
        <w:spacing w:after="0" w:line="88" w:lineRule="exact"/>
        <w:rPr>
          <w:sz w:val="20"/>
          <w:szCs w:val="20"/>
          <w:color w:val="auto"/>
        </w:rPr>
      </w:pPr>
    </w:p>
    <w:p>
      <w:pPr>
        <w:ind w:left="6" w:right="480"/>
        <w:spacing w:after="0" w:line="255" w:lineRule="auto"/>
        <w:rPr>
          <w:sz w:val="20"/>
          <w:szCs w:val="20"/>
          <w:color w:val="auto"/>
        </w:rPr>
      </w:pPr>
      <w:r>
        <w:rPr>
          <w:rFonts w:ascii="Arial" w:cs="Arial" w:eastAsia="Arial" w:hAnsi="Arial"/>
          <w:sz w:val="16"/>
          <w:szCs w:val="16"/>
          <w:color w:val="auto"/>
        </w:rPr>
        <w:t>A group of contracts that were not onerous on initial recognition may subsequently become onerous if assumptions change, even though the classification of their grouping or Unit of Account remains unchanged.</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Simplified Model – initial recognition</w:t>
      </w:r>
    </w:p>
    <w:p>
      <w:pPr>
        <w:spacing w:after="0" w:line="166" w:lineRule="exact"/>
        <w:rPr>
          <w:sz w:val="20"/>
          <w:szCs w:val="20"/>
          <w:color w:val="auto"/>
        </w:rPr>
      </w:pPr>
    </w:p>
    <w:p>
      <w:pPr>
        <w:ind w:left="6" w:right="340"/>
        <w:spacing w:after="0" w:line="241" w:lineRule="auto"/>
        <w:rPr>
          <w:sz w:val="20"/>
          <w:szCs w:val="20"/>
          <w:color w:val="auto"/>
        </w:rPr>
      </w:pPr>
      <w:r>
        <w:rPr>
          <w:rFonts w:ascii="Arial" w:cs="Arial" w:eastAsia="Arial" w:hAnsi="Arial"/>
          <w:sz w:val="16"/>
          <w:szCs w:val="16"/>
          <w:color w:val="auto"/>
        </w:rPr>
        <w:t>The simplified model of the general method is the Premium Allocation Approach (PAA), which is applied by the Group for insurance and reinsurance contracts with a boundary equal to or less than one year or for which the amount of the provision does not differ significantly of the general model.</w:t>
      </w:r>
    </w:p>
    <w:p>
      <w:pPr>
        <w:spacing w:after="0" w:line="146" w:lineRule="exact"/>
        <w:rPr>
          <w:sz w:val="20"/>
          <w:szCs w:val="20"/>
          <w:color w:val="auto"/>
        </w:rPr>
      </w:pPr>
    </w:p>
    <w:p>
      <w:pPr>
        <w:ind w:left="6" w:right="80"/>
        <w:spacing w:after="0" w:line="255" w:lineRule="auto"/>
        <w:rPr>
          <w:sz w:val="20"/>
          <w:szCs w:val="20"/>
          <w:color w:val="auto"/>
        </w:rPr>
      </w:pPr>
      <w:r>
        <w:rPr>
          <w:rFonts w:ascii="Arial" w:cs="Arial" w:eastAsia="Arial" w:hAnsi="Arial"/>
          <w:sz w:val="16"/>
          <w:szCs w:val="16"/>
          <w:color w:val="auto"/>
        </w:rPr>
        <w:t>If significant variability in cash flows from compliance is initially expected that would affect the measurement of the remaining coverage liability, the simplified method cannot be applied.</w:t>
      </w:r>
    </w:p>
    <w:p>
      <w:pPr>
        <w:spacing w:after="0" w:line="281"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26"/>
          </w:cols>
          <w:pgMar w:left="1434" w:top="124" w:right="339" w:bottom="1440" w:gutter="0" w:footer="0" w:header="0"/>
        </w:sectPr>
      </w:pPr>
    </w:p>
    <w:bookmarkStart w:id="32" w:name="page33"/>
    <w:bookmarkEnd w:id="32"/>
    <w:p>
      <w:pPr>
        <w:jc w:val="both"/>
        <w:ind w:left="6" w:right="100"/>
        <w:spacing w:after="0" w:line="294" w:lineRule="auto"/>
        <w:rPr>
          <w:sz w:val="20"/>
          <w:szCs w:val="20"/>
          <w:color w:val="auto"/>
        </w:rPr>
      </w:pPr>
      <w:r>
        <w:rPr>
          <w:rFonts w:ascii="Arial" w:cs="Arial" w:eastAsia="Arial" w:hAnsi="Arial"/>
          <w:sz w:val="14"/>
          <w:szCs w:val="14"/>
          <w:color w:val="auto"/>
        </w:rPr>
        <w:t>Under the premium allocation approach, the Group will assume that no contract is onerous unless the facts and circumstances indicate otherwise, which is why initially all contracts are grouped based on risk and how they are managed. To evaluate this possibility, a premium sufficiency test will be used that will evaluate the need to provide an additional provision and classify the Group of contracts as onerous (Onerousness Test).</w:t>
      </w:r>
    </w:p>
    <w:p>
      <w:pPr>
        <w:spacing w:after="0" w:line="110" w:lineRule="exact"/>
        <w:rPr>
          <w:sz w:val="20"/>
          <w:szCs w:val="20"/>
          <w:color w:val="auto"/>
        </w:rPr>
      </w:pPr>
    </w:p>
    <w:p>
      <w:pPr>
        <w:ind w:left="6" w:right="180"/>
        <w:spacing w:after="0" w:line="255" w:lineRule="auto"/>
        <w:rPr>
          <w:sz w:val="20"/>
          <w:szCs w:val="20"/>
          <w:color w:val="auto"/>
        </w:rPr>
      </w:pPr>
      <w:r>
        <w:rPr>
          <w:rFonts w:ascii="Arial" w:cs="Arial" w:eastAsia="Arial" w:hAnsi="Arial"/>
          <w:sz w:val="16"/>
          <w:szCs w:val="16"/>
          <w:color w:val="auto"/>
        </w:rPr>
        <w:t>For insurance contracts that apply the PAA approach, the Group initially recognizes written premiums net of commissions and deferred premiums as provision of remaining coverage (Liability for Remaining Coverage, LRC).</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Post measurement – insurance​ contracts</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carrying amount of a group of insurance contracts after initial recognition will consist of:</w:t>
      </w:r>
    </w:p>
    <w:p>
      <w:pPr>
        <w:spacing w:after="0" w:line="166" w:lineRule="exact"/>
        <w:rPr>
          <w:sz w:val="20"/>
          <w:szCs w:val="20"/>
          <w:color w:val="auto"/>
        </w:rPr>
      </w:pPr>
    </w:p>
    <w:p>
      <w:pPr>
        <w:ind w:left="426" w:right="300" w:hanging="426"/>
        <w:spacing w:after="0" w:line="255" w:lineRule="auto"/>
        <w:tabs>
          <w:tab w:leader="none" w:pos="4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Liability for Remaining Coverage (LRC) comprising compliance cash flows, risk adjustment for non-financial risk and CSM of the Contract Group at the end of the reporting period.</w:t>
      </w:r>
    </w:p>
    <w:p>
      <w:pPr>
        <w:spacing w:after="0" w:line="134" w:lineRule="exact"/>
        <w:rPr>
          <w:rFonts w:ascii="Arial" w:cs="Arial" w:eastAsia="Arial" w:hAnsi="Arial"/>
          <w:sz w:val="16"/>
          <w:szCs w:val="16"/>
          <w:color w:val="auto"/>
        </w:rPr>
      </w:pPr>
    </w:p>
    <w:p>
      <w:pPr>
        <w:ind w:left="426" w:right="360" w:hanging="426"/>
        <w:spacing w:after="0" w:line="255" w:lineRule="auto"/>
        <w:tabs>
          <w:tab w:leader="none" w:pos="4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Incurred claims liability, which comprises compliance cash flows relating to the payment of reported and pending claims, incurred but not reported claims (IBNR) and claim settlement expenses. A risk adjustment for non-financial risk is also included.</w:t>
      </w:r>
    </w:p>
    <w:p>
      <w:pPr>
        <w:spacing w:after="0" w:line="134" w:lineRule="exact"/>
        <w:rPr>
          <w:sz w:val="20"/>
          <w:szCs w:val="20"/>
          <w:color w:val="auto"/>
        </w:rPr>
      </w:pPr>
    </w:p>
    <w:p>
      <w:pPr>
        <w:ind w:left="6" w:right="280"/>
        <w:spacing w:after="0" w:line="255" w:lineRule="auto"/>
        <w:rPr>
          <w:sz w:val="20"/>
          <w:szCs w:val="20"/>
          <w:color w:val="auto"/>
        </w:rPr>
      </w:pPr>
      <w:r>
        <w:rPr>
          <w:rFonts w:ascii="Arial" w:cs="Arial" w:eastAsia="Arial" w:hAnsi="Arial"/>
          <w:sz w:val="16"/>
          <w:szCs w:val="16"/>
          <w:color w:val="auto"/>
        </w:rPr>
        <w:t>The Group will recognize income or expenses for the variation in the carrying amount of the Liability for Remaining Coverage and the liability for claims incurred:</w:t>
      </w:r>
    </w:p>
    <w:p>
      <w:pPr>
        <w:spacing w:after="0" w:line="134" w:lineRule="exact"/>
        <w:rPr>
          <w:sz w:val="20"/>
          <w:szCs w:val="20"/>
          <w:color w:val="auto"/>
        </w:rPr>
      </w:pPr>
    </w:p>
    <w:p>
      <w:pPr>
        <w:ind w:left="426" w:hanging="426"/>
        <w:spacing w:after="0"/>
        <w:tabs>
          <w:tab w:leader="none" w:pos="4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Income from insurance activity: the reduction of the liability for the service provided in the period.</w:t>
      </w:r>
    </w:p>
    <w:p>
      <w:pPr>
        <w:spacing w:after="0" w:line="166" w:lineRule="exact"/>
        <w:rPr>
          <w:rFonts w:ascii="Arial" w:cs="Arial" w:eastAsia="Arial" w:hAnsi="Arial"/>
          <w:sz w:val="16"/>
          <w:szCs w:val="16"/>
          <w:color w:val="auto"/>
        </w:rPr>
      </w:pPr>
    </w:p>
    <w:p>
      <w:pPr>
        <w:ind w:left="426" w:right="100"/>
        <w:spacing w:after="0" w:line="255" w:lineRule="auto"/>
        <w:rPr>
          <w:rFonts w:ascii="Arial" w:cs="Arial" w:eastAsia="Arial" w:hAnsi="Arial"/>
          <w:sz w:val="16"/>
          <w:szCs w:val="16"/>
          <w:color w:val="auto"/>
        </w:rPr>
      </w:pPr>
      <w:r>
        <w:rPr>
          <w:rFonts w:ascii="Arial" w:cs="Arial" w:eastAsia="Arial" w:hAnsi="Arial"/>
          <w:sz w:val="16"/>
          <w:szCs w:val="16"/>
          <w:color w:val="auto"/>
        </w:rPr>
        <w:t>The CSM at the end of the reporting period represents the gain in the Insurance Contract Group that has not yet been recognized in profit or loss, because it relates to the future service to be provided.</w:t>
      </w:r>
    </w:p>
    <w:p>
      <w:pPr>
        <w:spacing w:after="0" w:line="134" w:lineRule="exact"/>
        <w:rPr>
          <w:rFonts w:ascii="Arial" w:cs="Arial" w:eastAsia="Arial" w:hAnsi="Arial"/>
          <w:sz w:val="16"/>
          <w:szCs w:val="16"/>
          <w:color w:val="auto"/>
        </w:rPr>
      </w:pPr>
    </w:p>
    <w:p>
      <w:pPr>
        <w:ind w:left="426" w:right="40"/>
        <w:spacing w:after="0" w:line="255" w:lineRule="auto"/>
        <w:rPr>
          <w:rFonts w:ascii="Arial" w:cs="Arial" w:eastAsia="Arial" w:hAnsi="Arial"/>
          <w:sz w:val="16"/>
          <w:szCs w:val="16"/>
          <w:color w:val="auto"/>
        </w:rPr>
      </w:pPr>
      <w:r>
        <w:rPr>
          <w:rFonts w:ascii="Arial" w:cs="Arial" w:eastAsia="Arial" w:hAnsi="Arial"/>
          <w:sz w:val="16"/>
          <w:szCs w:val="16"/>
          <w:color w:val="auto"/>
        </w:rPr>
        <w:t>For a group of insurance contracts without direct participation components, the carrying value of the CSM at the end of the reporting period is equal to the carrying value at the beginning of the reporting period adjusted as follows:</w:t>
      </w:r>
    </w:p>
    <w:p>
      <w:pPr>
        <w:spacing w:after="0" w:line="134" w:lineRule="exact"/>
        <w:rPr>
          <w:rFonts w:ascii="Arial" w:cs="Arial" w:eastAsia="Arial" w:hAnsi="Arial"/>
          <w:sz w:val="16"/>
          <w:szCs w:val="16"/>
          <w:color w:val="auto"/>
        </w:rPr>
      </w:pPr>
    </w:p>
    <w:p>
      <w:pPr>
        <w:ind w:left="706" w:right="680" w:hanging="286"/>
        <w:spacing w:after="0" w:line="255" w:lineRule="auto"/>
        <w:tabs>
          <w:tab w:leader="none" w:pos="706"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effect of new contracts added to the group. interest accrued on the carrying amount of the CSM during the reporting period, measured at the discount rates at initial recognition.</w:t>
      </w:r>
    </w:p>
    <w:p>
      <w:pPr>
        <w:spacing w:after="0" w:line="134" w:lineRule="exact"/>
        <w:rPr>
          <w:rFonts w:ascii="Arial" w:cs="Arial" w:eastAsia="Arial" w:hAnsi="Arial"/>
          <w:sz w:val="16"/>
          <w:szCs w:val="16"/>
          <w:color w:val="auto"/>
        </w:rPr>
      </w:pPr>
    </w:p>
    <w:p>
      <w:pPr>
        <w:ind w:left="706" w:hanging="286"/>
        <w:spacing w:after="0"/>
        <w:tabs>
          <w:tab w:leader="none" w:pos="706" w:val="left"/>
        </w:tabs>
        <w:numPr>
          <w:ilvl w:val="1"/>
          <w:numId w:val="29"/>
        </w:numPr>
        <w:rPr>
          <w:rFonts w:ascii="Arial" w:cs="Arial" w:eastAsia="Arial" w:hAnsi="Arial"/>
          <w:sz w:val="16"/>
          <w:szCs w:val="16"/>
          <w:color w:val="auto"/>
        </w:rPr>
      </w:pPr>
      <w:r>
        <w:rPr>
          <w:rFonts w:ascii="Arial" w:cs="Arial" w:eastAsia="Arial" w:hAnsi="Arial"/>
          <w:sz w:val="16"/>
          <w:szCs w:val="16"/>
          <w:color w:val="auto"/>
        </w:rPr>
        <w:t>Changes in compliance cash flows related to future service such as:</w:t>
      </w:r>
    </w:p>
    <w:p>
      <w:pPr>
        <w:spacing w:after="0" w:line="166" w:lineRule="exact"/>
        <w:rPr>
          <w:rFonts w:ascii="Arial" w:cs="Arial" w:eastAsia="Arial" w:hAnsi="Arial"/>
          <w:sz w:val="16"/>
          <w:szCs w:val="16"/>
          <w:color w:val="auto"/>
        </w:rPr>
      </w:pPr>
    </w:p>
    <w:p>
      <w:pPr>
        <w:ind w:left="986" w:right="440" w:hanging="280"/>
        <w:spacing w:after="0" w:line="255" w:lineRule="auto"/>
        <w:rPr>
          <w:rFonts w:ascii="Arial" w:cs="Arial" w:eastAsia="Arial" w:hAnsi="Arial"/>
          <w:sz w:val="16"/>
          <w:szCs w:val="16"/>
          <w:color w:val="auto"/>
        </w:rPr>
      </w:pPr>
      <w:r>
        <w:rPr>
          <w:rFonts w:ascii="Arial" w:cs="Arial" w:eastAsia="Arial" w:hAnsi="Arial"/>
          <w:sz w:val="16"/>
          <w:szCs w:val="16"/>
          <w:color w:val="auto"/>
        </w:rPr>
        <w:t>o Adjustment for experience: it must be disaggregated to reflect the different factors that cause such adjustments in the expected future benefits of the Group:</w:t>
      </w:r>
    </w:p>
    <w:p>
      <w:pPr>
        <w:spacing w:after="0" w:line="134" w:lineRule="exact"/>
        <w:rPr>
          <w:rFonts w:ascii="Arial" w:cs="Arial" w:eastAsia="Arial" w:hAnsi="Arial"/>
          <w:sz w:val="16"/>
          <w:szCs w:val="16"/>
          <w:color w:val="auto"/>
        </w:rPr>
      </w:pPr>
    </w:p>
    <w:p>
      <w:pPr>
        <w:ind w:left="1266" w:hanging="286"/>
        <w:spacing w:after="0" w:line="241" w:lineRule="auto"/>
        <w:tabs>
          <w:tab w:leader="none" w:pos="1266" w:val="left"/>
        </w:tabs>
        <w:numPr>
          <w:ilvl w:val="2"/>
          <w:numId w:val="29"/>
        </w:numPr>
        <w:rPr>
          <w:rFonts w:ascii="Arial" w:cs="Arial" w:eastAsia="Arial" w:hAnsi="Arial"/>
          <w:sz w:val="16"/>
          <w:szCs w:val="16"/>
          <w:color w:val="auto"/>
        </w:rPr>
      </w:pPr>
      <w:r>
        <w:rPr>
          <w:rFonts w:ascii="Arial" w:cs="Arial" w:eastAsia="Arial" w:hAnsi="Arial"/>
          <w:sz w:val="16"/>
          <w:szCs w:val="16"/>
          <w:color w:val="auto"/>
        </w:rPr>
        <w:t>Adjustment in compliance flows due to claims experience is the variation in actual claims compared to expected claims. Likewise, this variation in the accident rate may lead to changes in the expected compliance flows. This variation will be recorded in a change in the CSM amount.</w:t>
      </w:r>
    </w:p>
    <w:p>
      <w:pPr>
        <w:spacing w:after="0" w:line="145" w:lineRule="exact"/>
        <w:rPr>
          <w:rFonts w:ascii="Arial" w:cs="Arial" w:eastAsia="Arial" w:hAnsi="Arial"/>
          <w:sz w:val="16"/>
          <w:szCs w:val="16"/>
          <w:color w:val="auto"/>
        </w:rPr>
      </w:pPr>
    </w:p>
    <w:p>
      <w:pPr>
        <w:ind w:left="1266" w:right="400" w:hanging="286"/>
        <w:spacing w:after="0" w:line="241" w:lineRule="auto"/>
        <w:tabs>
          <w:tab w:leader="none" w:pos="1266" w:val="left"/>
        </w:tabs>
        <w:numPr>
          <w:ilvl w:val="2"/>
          <w:numId w:val="29"/>
        </w:numPr>
        <w:rPr>
          <w:rFonts w:ascii="Arial" w:cs="Arial" w:eastAsia="Arial" w:hAnsi="Arial"/>
          <w:sz w:val="16"/>
          <w:szCs w:val="16"/>
          <w:color w:val="auto"/>
        </w:rPr>
      </w:pPr>
      <w:r>
        <w:rPr>
          <w:rFonts w:ascii="Arial" w:cs="Arial" w:eastAsia="Arial" w:hAnsi="Arial"/>
          <w:sz w:val="16"/>
          <w:szCs w:val="16"/>
          <w:color w:val="auto"/>
        </w:rPr>
        <w:t>Adjustment for variation in operating assumptions - A variation in the projection operating assumptions (mortality, expenses, rescues, etc.) will be recorded against the CSM for the period. This change will be cumulative with the adjustments made previously.</w:t>
      </w:r>
    </w:p>
    <w:p>
      <w:pPr>
        <w:spacing w:after="0" w:line="293"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46"/>
          </w:cols>
          <w:pgMar w:left="1434" w:top="124" w:right="319" w:bottom="1440" w:gutter="0" w:footer="0" w:header="0"/>
        </w:sectPr>
      </w:pPr>
    </w:p>
    <w:bookmarkStart w:id="33" w:name="page34"/>
    <w:bookmarkEnd w:id="33"/>
    <w:p>
      <w:pPr>
        <w:ind w:left="1266" w:right="40" w:hanging="286"/>
        <w:spacing w:after="0" w:line="235" w:lineRule="auto"/>
        <w:tabs>
          <w:tab w:leader="none" w:pos="1266" w:val="left"/>
        </w:tabs>
        <w:numPr>
          <w:ilvl w:val="1"/>
          <w:numId w:val="30"/>
        </w:numPr>
        <w:rPr>
          <w:rFonts w:ascii="Arial" w:cs="Arial" w:eastAsia="Arial" w:hAnsi="Arial"/>
          <w:sz w:val="16"/>
          <w:szCs w:val="16"/>
          <w:color w:val="auto"/>
        </w:rPr>
      </w:pPr>
      <w:r>
        <w:rPr>
          <w:rFonts w:ascii="Arial" w:cs="Arial" w:eastAsia="Arial" w:hAnsi="Arial"/>
          <w:sz w:val="16"/>
          <w:szCs w:val="16"/>
          <w:color w:val="auto"/>
        </w:rPr>
        <w:t>Adjustment for premiums collected: Insurance premiums that relate to future service that have been received in the period require an adjustment to the contractual service margin. Likewise, an additional analysis must be carried out on the extraordinary contributions that the policyholder may make. Whether these new contributions made by the insured, different from regular premiums, should be considered new contracts or part of existing contracts. Therefore, it must be evaluated whether the new contributions are valued using the same conditions as at the beginning of the contract or if they are modified (mortality table, administration expenses, guaranteed rates, etc.).</w:t>
      </w:r>
    </w:p>
    <w:p>
      <w:pPr>
        <w:spacing w:after="0" w:line="145" w:lineRule="exact"/>
        <w:rPr>
          <w:rFonts w:ascii="Arial" w:cs="Arial" w:eastAsia="Arial" w:hAnsi="Arial"/>
          <w:sz w:val="16"/>
          <w:szCs w:val="16"/>
          <w:color w:val="auto"/>
        </w:rPr>
      </w:pPr>
    </w:p>
    <w:p>
      <w:pPr>
        <w:ind w:left="706" w:right="60" w:hanging="286"/>
        <w:spacing w:after="0" w:line="241" w:lineRule="auto"/>
        <w:tabs>
          <w:tab w:leader="none" w:pos="7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event that the conditions of the contract are not modified in the extraordinary contribution, that is, it has the same conditions as the original contribution, it is considered that the cash flows are within the limits of the contract, and therefore Both the variation in expected cash flows will be considered as a variation in experience.</w:t>
      </w:r>
    </w:p>
    <w:p>
      <w:pPr>
        <w:spacing w:after="0" w:line="145" w:lineRule="exact"/>
        <w:rPr>
          <w:rFonts w:ascii="Arial" w:cs="Arial" w:eastAsia="Arial" w:hAnsi="Arial"/>
          <w:sz w:val="16"/>
          <w:szCs w:val="16"/>
          <w:color w:val="auto"/>
        </w:rPr>
      </w:pPr>
    </w:p>
    <w:p>
      <w:pPr>
        <w:ind w:left="706" w:hanging="286"/>
        <w:spacing w:after="0"/>
        <w:tabs>
          <w:tab w:leader="none" w:pos="7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estimates of the present value of future cash inflows in the remaining coverage liability measured at discount rates.</w:t>
      </w:r>
    </w:p>
    <w:p>
      <w:pPr>
        <w:spacing w:after="0" w:line="166" w:lineRule="exact"/>
        <w:rPr>
          <w:rFonts w:ascii="Arial" w:cs="Arial" w:eastAsia="Arial" w:hAnsi="Arial"/>
          <w:sz w:val="16"/>
          <w:szCs w:val="16"/>
          <w:color w:val="auto"/>
        </w:rPr>
      </w:pPr>
    </w:p>
    <w:p>
      <w:pPr>
        <w:ind w:left="706" w:right="760" w:hanging="286"/>
        <w:spacing w:after="0" w:line="255" w:lineRule="auto"/>
        <w:tabs>
          <w:tab w:leader="none" w:pos="7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Differences between the investment components that are expected to become payable in the period and the actual investment component that becomes payable in the period, measured at discount rates.</w:t>
      </w:r>
    </w:p>
    <w:p>
      <w:pPr>
        <w:spacing w:after="0" w:line="134" w:lineRule="exact"/>
        <w:rPr>
          <w:rFonts w:ascii="Arial" w:cs="Arial" w:eastAsia="Arial" w:hAnsi="Arial"/>
          <w:sz w:val="16"/>
          <w:szCs w:val="16"/>
          <w:color w:val="auto"/>
        </w:rPr>
      </w:pPr>
    </w:p>
    <w:p>
      <w:pPr>
        <w:ind w:left="706" w:hanging="286"/>
        <w:spacing w:after="0"/>
        <w:tabs>
          <w:tab w:leader="none" w:pos="7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risk adjustment for non-financial risk that relates to future service.</w:t>
      </w:r>
    </w:p>
    <w:p>
      <w:pPr>
        <w:spacing w:after="0" w:line="166" w:lineRule="exact"/>
        <w:rPr>
          <w:rFonts w:ascii="Arial" w:cs="Arial" w:eastAsia="Arial" w:hAnsi="Arial"/>
          <w:sz w:val="16"/>
          <w:szCs w:val="16"/>
          <w:color w:val="auto"/>
        </w:rPr>
      </w:pPr>
    </w:p>
    <w:p>
      <w:pPr>
        <w:ind w:left="706" w:hanging="286"/>
        <w:spacing w:after="0"/>
        <w:tabs>
          <w:tab w:leader="none" w:pos="7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effect of currency exchange differences on the CSM.</w:t>
      </w:r>
    </w:p>
    <w:p>
      <w:pPr>
        <w:spacing w:after="0" w:line="166" w:lineRule="exact"/>
        <w:rPr>
          <w:rFonts w:ascii="Arial" w:cs="Arial" w:eastAsia="Arial" w:hAnsi="Arial"/>
          <w:sz w:val="16"/>
          <w:szCs w:val="16"/>
          <w:color w:val="auto"/>
        </w:rPr>
      </w:pPr>
    </w:p>
    <w:p>
      <w:pPr>
        <w:ind w:left="706" w:hanging="286"/>
        <w:spacing w:after="0" w:line="326" w:lineRule="auto"/>
        <w:tabs>
          <w:tab w:leader="none" w:pos="70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 recognized as insurance income due to the transfer of insurance contract services in the period, determined by the allocation of the remaining CSM at the end of the reporting period (before any allocation) during the current coverage period and remaining.</w:t>
      </w:r>
    </w:p>
    <w:p>
      <w:pPr>
        <w:spacing w:after="0" w:line="88" w:lineRule="exact"/>
        <w:rPr>
          <w:sz w:val="20"/>
          <w:szCs w:val="20"/>
          <w:color w:val="auto"/>
        </w:rPr>
      </w:pPr>
    </w:p>
    <w:p>
      <w:pPr>
        <w:ind w:left="426" w:right="280"/>
        <w:spacing w:after="0" w:line="241" w:lineRule="auto"/>
        <w:rPr>
          <w:sz w:val="20"/>
          <w:szCs w:val="20"/>
          <w:color w:val="auto"/>
        </w:rPr>
      </w:pPr>
      <w:r>
        <w:rPr>
          <w:rFonts w:ascii="Arial" w:cs="Arial" w:eastAsia="Arial" w:hAnsi="Arial"/>
          <w:sz w:val="16"/>
          <w:szCs w:val="16"/>
          <w:color w:val="auto"/>
        </w:rPr>
        <w:t>The locked-in discount rate is the weighted average of the rates applicable at the date of initial recognition of contracts that joined a group over a 12-month period. The discount rate used for accretion of interest on the CSM is determined using the bottom-up approach at inception.</w:t>
      </w:r>
    </w:p>
    <w:p>
      <w:pPr>
        <w:spacing w:after="0" w:line="146" w:lineRule="exact"/>
        <w:rPr>
          <w:sz w:val="20"/>
          <w:szCs w:val="20"/>
          <w:color w:val="auto"/>
        </w:rPr>
      </w:pPr>
    </w:p>
    <w:p>
      <w:pPr>
        <w:ind w:left="426" w:right="200"/>
        <w:spacing w:after="0" w:line="255" w:lineRule="auto"/>
        <w:rPr>
          <w:sz w:val="20"/>
          <w:szCs w:val="20"/>
          <w:color w:val="auto"/>
        </w:rPr>
      </w:pPr>
      <w:r>
        <w:rPr>
          <w:rFonts w:ascii="Arial" w:cs="Arial" w:eastAsia="Arial" w:hAnsi="Arial"/>
          <w:sz w:val="16"/>
          <w:szCs w:val="16"/>
          <w:color w:val="auto"/>
        </w:rPr>
        <w:t>For a group of insurance contracts with direct participation components, the amount of CSM to be reported in the books will be obtained by applying a series of adjustments to the value of the CSM of the previous period:</w:t>
      </w:r>
    </w:p>
    <w:p>
      <w:pPr>
        <w:spacing w:after="0" w:line="134" w:lineRule="exact"/>
        <w:rPr>
          <w:sz w:val="20"/>
          <w:szCs w:val="20"/>
          <w:color w:val="auto"/>
        </w:rPr>
      </w:pPr>
    </w:p>
    <w:p>
      <w:pPr>
        <w:ind w:left="706" w:hanging="286"/>
        <w:spacing w:after="0"/>
        <w:tabs>
          <w:tab w:leader="none" w:pos="70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effect of the new contracts added to the group.</w:t>
      </w:r>
    </w:p>
    <w:p>
      <w:pPr>
        <w:spacing w:after="0" w:line="166" w:lineRule="exact"/>
        <w:rPr>
          <w:rFonts w:ascii="Arial" w:cs="Arial" w:eastAsia="Arial" w:hAnsi="Arial"/>
          <w:sz w:val="16"/>
          <w:szCs w:val="16"/>
          <w:color w:val="auto"/>
        </w:rPr>
      </w:pPr>
    </w:p>
    <w:p>
      <w:pPr>
        <w:ind w:left="706" w:hanging="286"/>
        <w:spacing w:after="0"/>
        <w:tabs>
          <w:tab w:leader="none" w:pos="70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entity's participation in the change in the fair value of the underlying elements.</w:t>
      </w:r>
    </w:p>
    <w:p>
      <w:pPr>
        <w:spacing w:after="0" w:line="166" w:lineRule="exact"/>
        <w:rPr>
          <w:rFonts w:ascii="Arial" w:cs="Arial" w:eastAsia="Arial" w:hAnsi="Arial"/>
          <w:sz w:val="16"/>
          <w:szCs w:val="16"/>
          <w:color w:val="auto"/>
        </w:rPr>
      </w:pPr>
    </w:p>
    <w:p>
      <w:pPr>
        <w:ind w:left="706" w:right="60" w:hanging="286"/>
        <w:spacing w:after="0" w:line="255" w:lineRule="auto"/>
        <w:tabs>
          <w:tab w:leader="none" w:pos="706" w:val="left"/>
        </w:tabs>
        <w:numPr>
          <w:ilvl w:val="1"/>
          <w:numId w:val="31"/>
        </w:numPr>
        <w:rPr>
          <w:rFonts w:ascii="Arial" w:cs="Arial" w:eastAsia="Arial" w:hAnsi="Arial"/>
          <w:sz w:val="16"/>
          <w:szCs w:val="16"/>
          <w:color w:val="auto"/>
        </w:rPr>
      </w:pPr>
      <w:r>
        <w:rPr>
          <w:rFonts w:ascii="Arial" w:cs="Arial" w:eastAsia="Arial" w:hAnsi="Arial"/>
          <w:sz w:val="16"/>
          <w:szCs w:val="16"/>
          <w:color w:val="auto"/>
        </w:rPr>
        <w:t>Changes in compliance cash flows, such as a change in the entity's loss experience and future expenses compared to those expected in the previous period.</w:t>
      </w:r>
    </w:p>
    <w:p>
      <w:pPr>
        <w:spacing w:after="0" w:line="134" w:lineRule="exact"/>
        <w:rPr>
          <w:rFonts w:ascii="Arial" w:cs="Arial" w:eastAsia="Arial" w:hAnsi="Arial"/>
          <w:sz w:val="16"/>
          <w:szCs w:val="16"/>
          <w:color w:val="auto"/>
        </w:rPr>
      </w:pPr>
    </w:p>
    <w:p>
      <w:pPr>
        <w:ind w:left="706" w:hanging="286"/>
        <w:spacing w:after="0"/>
        <w:tabs>
          <w:tab w:leader="none" w:pos="70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effect of currency exchange differences on the CSM.</w:t>
      </w:r>
    </w:p>
    <w:p>
      <w:pPr>
        <w:spacing w:after="0" w:line="166" w:lineRule="exact"/>
        <w:rPr>
          <w:rFonts w:ascii="Arial" w:cs="Arial" w:eastAsia="Arial" w:hAnsi="Arial"/>
          <w:sz w:val="16"/>
          <w:szCs w:val="16"/>
          <w:color w:val="auto"/>
        </w:rPr>
      </w:pPr>
    </w:p>
    <w:p>
      <w:pPr>
        <w:ind w:left="706" w:right="240" w:hanging="286"/>
        <w:spacing w:after="0" w:line="241" w:lineRule="auto"/>
        <w:tabs>
          <w:tab w:leader="none" w:pos="70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amount recognized as revenue from ordinary insurance activities due to the transfer of services in the period, determined by allocating the remaining contractual service margin at the end of the reporting period (before any allocation) over the current coverage period.</w:t>
      </w:r>
    </w:p>
    <w:p>
      <w:pPr>
        <w:spacing w:after="0" w:line="145" w:lineRule="exact"/>
        <w:rPr>
          <w:rFonts w:ascii="Arial" w:cs="Arial" w:eastAsia="Arial" w:hAnsi="Arial"/>
          <w:sz w:val="16"/>
          <w:szCs w:val="16"/>
          <w:color w:val="auto"/>
        </w:rPr>
      </w:pPr>
    </w:p>
    <w:p>
      <w:pPr>
        <w:ind w:left="426" w:hanging="426"/>
        <w:spacing w:after="0"/>
        <w:tabs>
          <w:tab w:leader="none" w:pos="426"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Insurance activity expenses: for losses in onerous contract groups and reversals of these losses.</w:t>
      </w:r>
    </w:p>
    <w:p>
      <w:pPr>
        <w:spacing w:after="0" w:line="166" w:lineRule="exact"/>
        <w:rPr>
          <w:rFonts w:ascii="Arial" w:cs="Arial" w:eastAsia="Arial" w:hAnsi="Arial"/>
          <w:sz w:val="16"/>
          <w:szCs w:val="16"/>
          <w:color w:val="auto"/>
        </w:rPr>
      </w:pPr>
    </w:p>
    <w:p>
      <w:pPr>
        <w:ind w:left="426" w:right="380"/>
        <w:spacing w:after="0" w:line="255" w:lineRule="auto"/>
        <w:rPr>
          <w:rFonts w:ascii="Arial" w:cs="Arial" w:eastAsia="Arial" w:hAnsi="Arial"/>
          <w:sz w:val="16"/>
          <w:szCs w:val="16"/>
          <w:color w:val="auto"/>
        </w:rPr>
      </w:pPr>
      <w:r>
        <w:rPr>
          <w:rFonts w:ascii="Arial" w:cs="Arial" w:eastAsia="Arial" w:hAnsi="Arial"/>
          <w:sz w:val="16"/>
          <w:szCs w:val="16"/>
          <w:color w:val="auto"/>
        </w:rPr>
        <w:t>The Group will recognize a loss in the period's results for the net outflow for the Group of onerous contracts, causing the Group's liability book amount to equal the cash flows from compliance, with the Group's contractual service margin being zero.</w:t>
      </w:r>
    </w:p>
    <w:p>
      <w:pPr>
        <w:spacing w:after="0" w:line="281"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46"/>
          </w:cols>
          <w:pgMar w:left="1434" w:top="124" w:right="319" w:bottom="1440" w:gutter="0" w:footer="0" w:header="0"/>
        </w:sectPr>
      </w:pPr>
    </w:p>
    <w:bookmarkStart w:id="34" w:name="page35"/>
    <w:bookmarkEnd w:id="34"/>
    <w:p>
      <w:pPr>
        <w:ind w:left="426" w:right="120"/>
        <w:spacing w:after="0" w:line="257" w:lineRule="auto"/>
        <w:rPr>
          <w:sz w:val="20"/>
          <w:szCs w:val="20"/>
          <w:color w:val="auto"/>
        </w:rPr>
      </w:pPr>
      <w:r>
        <w:rPr>
          <w:rFonts w:ascii="Arial" w:cs="Arial" w:eastAsia="Arial" w:hAnsi="Arial"/>
          <w:sz w:val="16"/>
          <w:szCs w:val="16"/>
          <w:color w:val="auto"/>
        </w:rPr>
        <w:t>The loss component is released based on a systematic allocation of subsequent changes related to future service in compliance cash flows to:</w:t>
      </w:r>
    </w:p>
    <w:p>
      <w:pPr>
        <w:spacing w:after="0" w:line="132" w:lineRule="exact"/>
        <w:rPr>
          <w:sz w:val="20"/>
          <w:szCs w:val="20"/>
          <w:color w:val="auto"/>
        </w:rPr>
      </w:pPr>
    </w:p>
    <w:p>
      <w:pPr>
        <w:ind w:left="706" w:hanging="286"/>
        <w:spacing w:after="0"/>
        <w:tabs>
          <w:tab w:leader="none" w:pos="7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loss component; and</w:t>
      </w:r>
    </w:p>
    <w:p>
      <w:pPr>
        <w:spacing w:after="0" w:line="166" w:lineRule="exact"/>
        <w:rPr>
          <w:rFonts w:ascii="Arial" w:cs="Arial" w:eastAsia="Arial" w:hAnsi="Arial"/>
          <w:sz w:val="16"/>
          <w:szCs w:val="16"/>
          <w:color w:val="auto"/>
        </w:rPr>
      </w:pPr>
    </w:p>
    <w:p>
      <w:pPr>
        <w:ind w:left="706" w:right="200" w:hanging="286"/>
        <w:spacing w:after="0" w:line="255" w:lineRule="auto"/>
        <w:tabs>
          <w:tab w:leader="none" w:pos="7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remaining coverage liability excluding the loss component. The loss component is also updated for subsequent changes related to future service in estimates of compliance cash flows and risk adjustment for non-financial risk.</w:t>
      </w:r>
    </w:p>
    <w:p>
      <w:pPr>
        <w:spacing w:after="0" w:line="134" w:lineRule="exact"/>
        <w:rPr>
          <w:sz w:val="20"/>
          <w:szCs w:val="20"/>
          <w:color w:val="auto"/>
        </w:rPr>
      </w:pPr>
    </w:p>
    <w:p>
      <w:pPr>
        <w:ind w:left="426" w:right="200"/>
        <w:spacing w:after="0" w:line="255" w:lineRule="auto"/>
        <w:rPr>
          <w:sz w:val="20"/>
          <w:szCs w:val="20"/>
          <w:color w:val="auto"/>
        </w:rPr>
      </w:pPr>
      <w:r>
        <w:rPr>
          <w:rFonts w:ascii="Arial" w:cs="Arial" w:eastAsia="Arial" w:hAnsi="Arial"/>
          <w:sz w:val="16"/>
          <w:szCs w:val="16"/>
          <w:color w:val="auto"/>
        </w:rPr>
        <w:t>Systematic allocation of subsequent changes to the loss component results in total amounts allocated to the loss component being zero at the end of the coverage period of a contract group.</w:t>
      </w:r>
    </w:p>
    <w:p>
      <w:pPr>
        <w:spacing w:after="0" w:line="134" w:lineRule="exact"/>
        <w:rPr>
          <w:sz w:val="20"/>
          <w:szCs w:val="20"/>
          <w:color w:val="auto"/>
        </w:rPr>
      </w:pPr>
    </w:p>
    <w:p>
      <w:pPr>
        <w:ind w:left="426" w:hanging="426"/>
        <w:spacing w:after="0"/>
        <w:tabs>
          <w:tab w:leader="none" w:pos="4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Financial expenses and income from insurance: for the time value of money and financial risk effect.</w:t>
      </w:r>
    </w:p>
    <w:p>
      <w:pPr>
        <w:spacing w:after="0" w:line="166" w:lineRule="exact"/>
        <w:rPr>
          <w:rFonts w:ascii="Arial" w:cs="Arial" w:eastAsia="Arial" w:hAnsi="Arial"/>
          <w:sz w:val="16"/>
          <w:szCs w:val="16"/>
          <w:color w:val="auto"/>
        </w:rPr>
      </w:pPr>
    </w:p>
    <w:p>
      <w:pPr>
        <w:ind w:left="426" w:right="460"/>
        <w:spacing w:after="0" w:line="255" w:lineRule="auto"/>
        <w:rPr>
          <w:rFonts w:ascii="Arial" w:cs="Arial" w:eastAsia="Arial" w:hAnsi="Arial"/>
          <w:sz w:val="16"/>
          <w:szCs w:val="16"/>
          <w:color w:val="auto"/>
        </w:rPr>
      </w:pPr>
      <w:r>
        <w:rPr>
          <w:rFonts w:ascii="Arial" w:cs="Arial" w:eastAsia="Arial" w:hAnsi="Arial"/>
          <w:sz w:val="16"/>
          <w:szCs w:val="16"/>
          <w:color w:val="auto"/>
        </w:rPr>
        <w:t>The Group disaggregates financial income or expenses for insurance contracts issued for its immediate annuity and term life portfolios between profit or loss and OCI.</w:t>
      </w:r>
    </w:p>
    <w:p>
      <w:pPr>
        <w:spacing w:after="0" w:line="134" w:lineRule="exact"/>
        <w:rPr>
          <w:rFonts w:ascii="Arial" w:cs="Arial" w:eastAsia="Arial" w:hAnsi="Arial"/>
          <w:sz w:val="16"/>
          <w:szCs w:val="16"/>
          <w:color w:val="auto"/>
        </w:rPr>
      </w:pPr>
    </w:p>
    <w:p>
      <w:pPr>
        <w:ind w:left="426" w:right="80"/>
        <w:spacing w:after="0" w:line="236" w:lineRule="auto"/>
        <w:rPr>
          <w:rFonts w:ascii="Arial" w:cs="Arial" w:eastAsia="Arial" w:hAnsi="Arial"/>
          <w:sz w:val="16"/>
          <w:szCs w:val="16"/>
          <w:color w:val="auto"/>
        </w:rPr>
      </w:pPr>
      <w:r>
        <w:rPr>
          <w:rFonts w:ascii="Arial" w:cs="Arial" w:eastAsia="Arial" w:hAnsi="Arial"/>
          <w:sz w:val="16"/>
          <w:szCs w:val="16"/>
          <w:color w:val="auto"/>
        </w:rPr>
        <w:t>The impact of changes in market interest rates on the value of life insurance and related reinsurance assets and liabilities is reflected in OCI to minimize accounting mismatches between the accounting for financial assets and insurance assets and liabilities. The Group financial assets supporting the insurance portfolios issued are predominantly measured at amortized cost or fair value with changes in other comprehensive income. Financial income or expenses from reinsurance contracts issued by the Group are not disaggregated because the related financial assets are managed on a fair value basis and are measured at fair value with changes in income.</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color w:val="auto"/>
        </w:rPr>
        <w:t>Simplified model (premium allocation approach) –</w:t>
      </w:r>
    </w:p>
    <w:p>
      <w:pPr>
        <w:spacing w:after="0" w:line="166" w:lineRule="exact"/>
        <w:rPr>
          <w:sz w:val="20"/>
          <w:szCs w:val="20"/>
          <w:color w:val="auto"/>
        </w:rPr>
      </w:pPr>
    </w:p>
    <w:p>
      <w:pPr>
        <w:ind w:left="6" w:right="300"/>
        <w:spacing w:after="0" w:line="255" w:lineRule="auto"/>
        <w:rPr>
          <w:sz w:val="20"/>
          <w:szCs w:val="20"/>
          <w:color w:val="auto"/>
        </w:rPr>
      </w:pPr>
      <w:r>
        <w:rPr>
          <w:rFonts w:ascii="Arial" w:cs="Arial" w:eastAsia="Arial" w:hAnsi="Arial"/>
          <w:sz w:val="16"/>
          <w:szCs w:val="16"/>
          <w:color w:val="auto"/>
        </w:rPr>
        <w:t>The Group measures the carrying amount of the liability for remaining coverage at the end of each reporting period as the liability for remaining coverage at the beginning of the period:</w:t>
      </w:r>
    </w:p>
    <w:p>
      <w:pPr>
        <w:spacing w:after="0" w:line="134" w:lineRule="exact"/>
        <w:rPr>
          <w:sz w:val="20"/>
          <w:szCs w:val="20"/>
          <w:color w:val="auto"/>
        </w:rPr>
      </w:pPr>
    </w:p>
    <w:p>
      <w:pPr>
        <w:ind w:left="426" w:hanging="426"/>
        <w:spacing w:after="0"/>
        <w:tabs>
          <w:tab w:leader="none" w:pos="4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Plus, premiums received in the period.</w:t>
      </w:r>
    </w:p>
    <w:p>
      <w:pPr>
        <w:spacing w:after="0" w:line="166" w:lineRule="exact"/>
        <w:rPr>
          <w:rFonts w:ascii="Arial" w:cs="Arial" w:eastAsia="Arial" w:hAnsi="Arial"/>
          <w:sz w:val="16"/>
          <w:szCs w:val="16"/>
          <w:color w:val="auto"/>
        </w:rPr>
      </w:pPr>
    </w:p>
    <w:p>
      <w:pPr>
        <w:ind w:left="426" w:right="500" w:hanging="426"/>
        <w:spacing w:after="0" w:line="255" w:lineRule="auto"/>
        <w:tabs>
          <w:tab w:leader="none" w:pos="4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Minus insurance acquisition cash flows, with the exception of property insurance product line for which the Group chooses to expense insurance acquisition cash flows as they occur.</w:t>
      </w:r>
    </w:p>
    <w:p>
      <w:pPr>
        <w:spacing w:after="0" w:line="134" w:lineRule="exact"/>
        <w:rPr>
          <w:rFonts w:ascii="Arial" w:cs="Arial" w:eastAsia="Arial" w:hAnsi="Arial"/>
          <w:sz w:val="16"/>
          <w:szCs w:val="16"/>
          <w:color w:val="auto"/>
        </w:rPr>
      </w:pPr>
    </w:p>
    <w:p>
      <w:pPr>
        <w:ind w:left="426" w:right="140" w:hanging="426"/>
        <w:spacing w:after="0" w:line="255" w:lineRule="auto"/>
        <w:tabs>
          <w:tab w:leader="none" w:pos="4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Plus, any amounts relating to the amortization of the insurance acquisition cash flows. recognized as an expense in the reporting period for the group.</w:t>
      </w:r>
    </w:p>
    <w:p>
      <w:pPr>
        <w:spacing w:after="0" w:line="134" w:lineRule="exact"/>
        <w:rPr>
          <w:rFonts w:ascii="Arial" w:cs="Arial" w:eastAsia="Arial" w:hAnsi="Arial"/>
          <w:sz w:val="16"/>
          <w:szCs w:val="16"/>
          <w:color w:val="auto"/>
        </w:rPr>
      </w:pPr>
    </w:p>
    <w:p>
      <w:pPr>
        <w:ind w:left="426" w:hanging="426"/>
        <w:spacing w:after="0"/>
        <w:tabs>
          <w:tab w:leader="none" w:pos="4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Minus the amount recognized as insurance revenue for the services provided in the period.</w:t>
      </w:r>
    </w:p>
    <w:p>
      <w:pPr>
        <w:spacing w:after="0" w:line="166" w:lineRule="exact"/>
        <w:rPr>
          <w:sz w:val="20"/>
          <w:szCs w:val="20"/>
          <w:color w:val="auto"/>
        </w:rPr>
      </w:pPr>
    </w:p>
    <w:p>
      <w:pPr>
        <w:ind w:left="6" w:right="80"/>
        <w:spacing w:after="0" w:line="236" w:lineRule="auto"/>
        <w:rPr>
          <w:sz w:val="20"/>
          <w:szCs w:val="20"/>
          <w:color w:val="auto"/>
        </w:rPr>
      </w:pPr>
      <w:r>
        <w:rPr>
          <w:rFonts w:ascii="Arial" w:cs="Arial" w:eastAsia="Arial" w:hAnsi="Arial"/>
          <w:sz w:val="16"/>
          <w:szCs w:val="16"/>
          <w:color w:val="auto"/>
        </w:rPr>
        <w:t>The Group estimates the liability for incurred claims as the fulfilment cash flows related to incurred claims. The fulfilment cash flows incorporate, in an unbiased way, all reasonable and supportable information available without undue cost or effort about the amount, timing and uncertainty of those future cash flows, they reflect current estimates from the perspective of the Group and include an explicit adjustment for non-financial risk (the risk adjustment). The Group does not adjust the future cash flows for the time value of money and the effect of financial risk for the measurement of liability for incurred claims that are expected to be paid within one year of being incurred.</w:t>
      </w:r>
    </w:p>
    <w:p>
      <w:pPr>
        <w:spacing w:after="0" w:line="146" w:lineRule="exact"/>
        <w:rPr>
          <w:sz w:val="20"/>
          <w:szCs w:val="20"/>
          <w:color w:val="auto"/>
        </w:rPr>
      </w:pPr>
    </w:p>
    <w:p>
      <w:pPr>
        <w:ind w:left="6"/>
        <w:spacing w:after="0" w:line="241" w:lineRule="auto"/>
        <w:rPr>
          <w:sz w:val="20"/>
          <w:szCs w:val="20"/>
          <w:color w:val="auto"/>
        </w:rPr>
      </w:pPr>
      <w:r>
        <w:rPr>
          <w:rFonts w:ascii="Arial" w:cs="Arial" w:eastAsia="Arial" w:hAnsi="Arial"/>
          <w:sz w:val="16"/>
          <w:szCs w:val="16"/>
          <w:color w:val="auto"/>
        </w:rPr>
        <w:t>Where, during the coverage period, facts and circumstances indicate that a group of insurance contracts is onerous, the Group recognizes a loss in profit or loss for the net outflow, resulting in the carrying amount of the liability for the group being equal to the fulfilment cash flows. A loss component is established by the Group for the liability for remaining coverage for such onerous group depicting the losses recognized.</w:t>
      </w:r>
    </w:p>
    <w:p>
      <w:pPr>
        <w:spacing w:after="0" w:line="293"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06"/>
          </w:cols>
          <w:pgMar w:left="1434" w:top="124" w:right="359" w:bottom="1440" w:gutter="0" w:footer="0" w:header="0"/>
        </w:sectPr>
      </w:pPr>
    </w:p>
    <w:bookmarkStart w:id="35" w:name="page36"/>
    <w:bookmarkEnd w:id="35"/>
    <w:p>
      <w:pPr>
        <w:ind w:left="6" w:right="320"/>
        <w:spacing w:after="0" w:line="257" w:lineRule="auto"/>
        <w:rPr>
          <w:sz w:val="20"/>
          <w:szCs w:val="20"/>
          <w:color w:val="auto"/>
        </w:rPr>
      </w:pPr>
      <w:r>
        <w:rPr>
          <w:rFonts w:ascii="Arial" w:cs="Arial" w:eastAsia="Arial" w:hAnsi="Arial"/>
          <w:sz w:val="16"/>
          <w:szCs w:val="16"/>
          <w:color w:val="auto"/>
        </w:rPr>
        <w:t>The subsequent measurement of reinsurance contracts held follows the same principles as those for insurance contracts issued and has been adapted to reflect the specific features of reinsurance held.</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6"/>
          <w:szCs w:val="16"/>
          <w:color w:val="auto"/>
        </w:rPr>
        <w:t>Presentation –</w:t>
      </w:r>
    </w:p>
    <w:p>
      <w:pPr>
        <w:spacing w:after="0" w:line="166" w:lineRule="exact"/>
        <w:rPr>
          <w:sz w:val="20"/>
          <w:szCs w:val="20"/>
          <w:color w:val="auto"/>
        </w:rPr>
      </w:pPr>
    </w:p>
    <w:p>
      <w:pPr>
        <w:ind w:left="6" w:right="220"/>
        <w:spacing w:after="0" w:line="255" w:lineRule="auto"/>
        <w:rPr>
          <w:sz w:val="20"/>
          <w:szCs w:val="20"/>
          <w:color w:val="auto"/>
        </w:rPr>
      </w:pPr>
      <w:r>
        <w:rPr>
          <w:rFonts w:ascii="Arial" w:cs="Arial" w:eastAsia="Arial" w:hAnsi="Arial"/>
          <w:sz w:val="16"/>
          <w:szCs w:val="16"/>
          <w:color w:val="auto"/>
        </w:rPr>
        <w:t>For presentation in the consolidated statement of financial position, the Group aggregates insurance and reinsurance contract portfolios that are assets or liabilities and presents them separately in the following items:</w:t>
      </w:r>
    </w:p>
    <w:p>
      <w:pPr>
        <w:spacing w:after="0" w:line="134" w:lineRule="exact"/>
        <w:rPr>
          <w:sz w:val="20"/>
          <w:szCs w:val="20"/>
          <w:color w:val="auto"/>
        </w:rPr>
      </w:pPr>
    </w:p>
    <w:p>
      <w:pPr>
        <w:ind w:left="426" w:hanging="426"/>
        <w:spacing w:after="0"/>
        <w:tabs>
          <w:tab w:leader="none" w:pos="426"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Reinsurance Contract Assets.</w:t>
      </w:r>
    </w:p>
    <w:p>
      <w:pPr>
        <w:spacing w:after="0" w:line="5" w:lineRule="exact"/>
        <w:rPr>
          <w:rFonts w:ascii="Arial" w:cs="Arial" w:eastAsia="Arial" w:hAnsi="Arial"/>
          <w:sz w:val="16"/>
          <w:szCs w:val="16"/>
          <w:color w:val="auto"/>
        </w:rPr>
      </w:pPr>
    </w:p>
    <w:p>
      <w:pPr>
        <w:ind w:left="426" w:hanging="426"/>
        <w:spacing w:after="0"/>
        <w:tabs>
          <w:tab w:leader="none" w:pos="42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Insurance Contract Libility.</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presentation in the consolidated statement of comprehensive income is as follows:</w:t>
      </w:r>
    </w:p>
    <w:p>
      <w:pPr>
        <w:spacing w:after="0" w:line="166" w:lineRule="exact"/>
        <w:rPr>
          <w:sz w:val="20"/>
          <w:szCs w:val="20"/>
          <w:color w:val="auto"/>
        </w:rPr>
      </w:pPr>
    </w:p>
    <w:p>
      <w:pPr>
        <w:ind w:left="426" w:hanging="426"/>
        <w:spacing w:after="0"/>
        <w:tabs>
          <w:tab w:leader="none" w:pos="42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Insurance service result (including insurance service income and expenses).</w:t>
      </w:r>
    </w:p>
    <w:p>
      <w:pPr>
        <w:spacing w:after="0" w:line="5" w:lineRule="exact"/>
        <w:rPr>
          <w:rFonts w:ascii="Arial" w:cs="Arial" w:eastAsia="Arial" w:hAnsi="Arial"/>
          <w:sz w:val="16"/>
          <w:szCs w:val="16"/>
          <w:color w:val="auto"/>
        </w:rPr>
      </w:pPr>
    </w:p>
    <w:p>
      <w:pPr>
        <w:ind w:left="426" w:hanging="426"/>
        <w:spacing w:after="0" w:line="228" w:lineRule="auto"/>
        <w:tabs>
          <w:tab w:leader="none" w:pos="426"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Reinsurance service result (including income and expenses from reinsurance contracts).</w:t>
      </w:r>
    </w:p>
    <w:p>
      <w:pPr>
        <w:ind w:left="426" w:hanging="426"/>
        <w:spacing w:after="0"/>
        <w:tabs>
          <w:tab w:leader="none" w:pos="426"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Net financial expenses from insurance activity, presented in interest and similar expenses, see Note 19.</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6"/>
          <w:szCs w:val="16"/>
          <w:color w:val="auto"/>
        </w:rPr>
        <w:t>Significant judgments and estimates –</w:t>
      </w:r>
    </w:p>
    <w:p>
      <w:pPr>
        <w:spacing w:after="0" w:line="166" w:lineRule="exact"/>
        <w:rPr>
          <w:sz w:val="20"/>
          <w:szCs w:val="20"/>
          <w:color w:val="auto"/>
        </w:rPr>
      </w:pPr>
    </w:p>
    <w:p>
      <w:pPr>
        <w:ind w:left="6" w:right="420"/>
        <w:spacing w:after="0" w:line="241" w:lineRule="auto"/>
        <w:rPr>
          <w:sz w:val="20"/>
          <w:szCs w:val="20"/>
          <w:color w:val="auto"/>
        </w:rPr>
      </w:pPr>
      <w:r>
        <w:rPr>
          <w:rFonts w:ascii="Arial" w:cs="Arial" w:eastAsia="Arial" w:hAnsi="Arial"/>
          <w:sz w:val="16"/>
          <w:szCs w:val="16"/>
          <w:color w:val="auto"/>
        </w:rPr>
        <w:t>The Group bases its assumptions and estimates on parameters derived from portfolio experience and these are used to prepare the financial statements. However, existing circumstances and assumptions about future developments could change due to changes in the market or circumstances beyond the Group's control. Parameters are updated to reflect such changes in assumptions as necessary.</w:t>
      </w:r>
    </w:p>
    <w:p>
      <w:pPr>
        <w:spacing w:after="0" w:line="146" w:lineRule="exact"/>
        <w:rPr>
          <w:sz w:val="20"/>
          <w:szCs w:val="20"/>
          <w:color w:val="auto"/>
        </w:rPr>
      </w:pPr>
    </w:p>
    <w:p>
      <w:pPr>
        <w:ind w:left="6" w:right="40"/>
        <w:spacing w:after="0" w:line="241" w:lineRule="auto"/>
        <w:rPr>
          <w:sz w:val="20"/>
          <w:szCs w:val="20"/>
          <w:color w:val="auto"/>
        </w:rPr>
      </w:pPr>
      <w:r>
        <w:rPr>
          <w:rFonts w:ascii="Arial" w:cs="Arial" w:eastAsia="Arial" w:hAnsi="Arial"/>
          <w:sz w:val="16"/>
          <w:szCs w:val="16"/>
          <w:color w:val="auto"/>
        </w:rPr>
        <w:t>The Group reevaluates the CSM in each period with adjustment for the entity's experience and adjustment for change of assumptions if necessary. The parameters used for the estimation of future cash flows are derived from the actual experience of the company's policy portfolios and the following assumptions are evaluated: mortality, longevity, disability, claims, expenses and declines.</w:t>
      </w:r>
    </w:p>
    <w:p>
      <w:pPr>
        <w:spacing w:after="0" w:line="146" w:lineRule="exact"/>
        <w:rPr>
          <w:sz w:val="20"/>
          <w:szCs w:val="20"/>
          <w:color w:val="auto"/>
        </w:rPr>
      </w:pPr>
    </w:p>
    <w:p>
      <w:pPr>
        <w:ind w:left="6" w:right="300"/>
        <w:spacing w:after="0" w:line="255" w:lineRule="auto"/>
        <w:rPr>
          <w:sz w:val="20"/>
          <w:szCs w:val="20"/>
          <w:color w:val="auto"/>
        </w:rPr>
      </w:pPr>
      <w:r>
        <w:rPr>
          <w:rFonts w:ascii="Arial" w:cs="Arial" w:eastAsia="Arial" w:hAnsi="Arial"/>
          <w:sz w:val="16"/>
          <w:szCs w:val="16"/>
          <w:color w:val="auto"/>
        </w:rPr>
        <w:t>For the measurement of the present value of future cash flows, it is necessary to define discount rates that consistently reflect the time value of money.</w:t>
      </w:r>
    </w:p>
    <w:p>
      <w:pPr>
        <w:spacing w:after="0" w:line="134" w:lineRule="exact"/>
        <w:rPr>
          <w:sz w:val="20"/>
          <w:szCs w:val="20"/>
          <w:color w:val="auto"/>
        </w:rPr>
      </w:pPr>
    </w:p>
    <w:p>
      <w:pPr>
        <w:ind w:left="6"/>
        <w:spacing w:after="0" w:line="255" w:lineRule="auto"/>
        <w:rPr>
          <w:sz w:val="20"/>
          <w:szCs w:val="20"/>
          <w:color w:val="auto"/>
        </w:rPr>
      </w:pPr>
      <w:r>
        <w:rPr>
          <w:rFonts w:ascii="Arial" w:cs="Arial" w:eastAsia="Arial" w:hAnsi="Arial"/>
          <w:sz w:val="16"/>
          <w:szCs w:val="16"/>
          <w:color w:val="auto"/>
        </w:rPr>
        <w:t>For the general model, it should be noted that in each valuation, it will be necessary to have two types of differentiated interest rates for discounting cash flows:</w:t>
      </w:r>
    </w:p>
    <w:p>
      <w:pPr>
        <w:spacing w:after="0" w:line="134" w:lineRule="exact"/>
        <w:rPr>
          <w:sz w:val="20"/>
          <w:szCs w:val="20"/>
          <w:color w:val="auto"/>
        </w:rPr>
      </w:pPr>
    </w:p>
    <w:p>
      <w:pPr>
        <w:ind w:left="426" w:right="520" w:hanging="426"/>
        <w:spacing w:after="0" w:line="326" w:lineRule="auto"/>
        <w:tabs>
          <w:tab w:leader="none" w:pos="426"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Market rate or current valuation rate: the interest rate obtained from current market data and assumptions. The discount rate as of the valuation date will be equal to the risk-free rate of the corresponding currency plus the Matching Adjustment described later.</w:t>
      </w:r>
    </w:p>
    <w:p>
      <w:pPr>
        <w:spacing w:after="0" w:line="87" w:lineRule="exact"/>
        <w:rPr>
          <w:rFonts w:ascii="Arial" w:cs="Arial" w:eastAsia="Arial" w:hAnsi="Arial"/>
          <w:sz w:val="14"/>
          <w:szCs w:val="14"/>
          <w:color w:val="auto"/>
        </w:rPr>
      </w:pPr>
    </w:p>
    <w:p>
      <w:pPr>
        <w:ind w:left="426" w:right="380" w:hanging="426"/>
        <w:spacing w:after="0" w:line="255" w:lineRule="auto"/>
        <w:tabs>
          <w:tab w:leader="none" w:pos="42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Established initial rate or Locked-In Rate (LiR): an interest rate defined at the time of initial recognition of the insurance contract and will remain fixed until the termination of it, and will be used to:</w:t>
      </w:r>
    </w:p>
    <w:p>
      <w:pPr>
        <w:spacing w:after="0" w:line="134" w:lineRule="exact"/>
        <w:rPr>
          <w:rFonts w:ascii="Arial" w:cs="Arial" w:eastAsia="Arial" w:hAnsi="Arial"/>
          <w:sz w:val="16"/>
          <w:szCs w:val="16"/>
          <w:color w:val="auto"/>
        </w:rPr>
      </w:pPr>
    </w:p>
    <w:p>
      <w:pPr>
        <w:ind w:left="706" w:hanging="286"/>
        <w:spacing w:after="0"/>
        <w:tabs>
          <w:tab w:leader="none" w:pos="706" w:val="left"/>
        </w:tabs>
        <w:numPr>
          <w:ilvl w:val="1"/>
          <w:numId w:val="37"/>
        </w:numPr>
        <w:rPr>
          <w:rFonts w:ascii="Arial" w:cs="Arial" w:eastAsia="Arial" w:hAnsi="Arial"/>
          <w:sz w:val="16"/>
          <w:szCs w:val="16"/>
          <w:color w:val="auto"/>
        </w:rPr>
      </w:pPr>
      <w:r>
        <w:rPr>
          <w:rFonts w:ascii="Arial" w:cs="Arial" w:eastAsia="Arial" w:hAnsi="Arial"/>
          <w:sz w:val="16"/>
          <w:szCs w:val="16"/>
          <w:color w:val="auto"/>
        </w:rPr>
        <w:t>Measuring cash flows from fulfillment at initial valuation;</w:t>
      </w:r>
    </w:p>
    <w:p>
      <w:pPr>
        <w:spacing w:after="0" w:line="5" w:lineRule="exact"/>
        <w:rPr>
          <w:rFonts w:ascii="Arial" w:cs="Arial" w:eastAsia="Arial" w:hAnsi="Arial"/>
          <w:sz w:val="16"/>
          <w:szCs w:val="16"/>
          <w:color w:val="auto"/>
        </w:rPr>
      </w:pPr>
    </w:p>
    <w:p>
      <w:pPr>
        <w:ind w:left="706" w:hanging="286"/>
        <w:spacing w:after="0" w:line="228" w:lineRule="auto"/>
        <w:tabs>
          <w:tab w:leader="none" w:pos="70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Determining the amount of financial expenses or income from insurance included in the income statement for the period;</w:t>
      </w:r>
    </w:p>
    <w:p>
      <w:pPr>
        <w:ind w:left="706" w:hanging="286"/>
        <w:spacing w:after="0" w:line="228" w:lineRule="auto"/>
        <w:tabs>
          <w:tab w:leader="none" w:pos="70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Determining accrued interest on the CSM;</w:t>
      </w:r>
    </w:p>
    <w:p>
      <w:pPr>
        <w:ind w:left="706" w:hanging="286"/>
        <w:spacing w:after="0" w:line="228" w:lineRule="auto"/>
        <w:tabs>
          <w:tab w:leader="none" w:pos="70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Determining the portion of the financial effect on Cashflows that will be imputed to interest on liabilities;</w:t>
      </w:r>
    </w:p>
    <w:p>
      <w:pPr>
        <w:ind w:left="706" w:hanging="286"/>
        <w:spacing w:after="0"/>
        <w:tabs>
          <w:tab w:leader="none" w:pos="706" w:val="left"/>
        </w:tabs>
        <w:numPr>
          <w:ilvl w:val="1"/>
          <w:numId w:val="37"/>
        </w:numPr>
        <w:rPr>
          <w:rFonts w:ascii="Arial" w:cs="Arial" w:eastAsia="Arial" w:hAnsi="Arial"/>
          <w:sz w:val="16"/>
          <w:szCs w:val="16"/>
          <w:color w:val="auto"/>
        </w:rPr>
      </w:pPr>
      <w:r>
        <w:rPr>
          <w:rFonts w:ascii="Arial" w:cs="Arial" w:eastAsia="Arial" w:hAnsi="Arial"/>
          <w:sz w:val="16"/>
          <w:szCs w:val="16"/>
          <w:color w:val="auto"/>
        </w:rPr>
        <w:t>Measuring changes in the contractual service margin.</w:t>
      </w:r>
    </w:p>
    <w:p>
      <w:pPr>
        <w:spacing w:after="0" w:line="299"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06"/>
          </w:cols>
          <w:pgMar w:left="1434" w:top="124" w:right="359" w:bottom="1440" w:gutter="0" w:footer="0" w:header="0"/>
        </w:sectPr>
      </w:pPr>
    </w:p>
    <w:bookmarkStart w:id="36" w:name="page37"/>
    <w:bookmarkEnd w:id="36"/>
    <w:p>
      <w:pPr>
        <w:ind w:right="420"/>
        <w:spacing w:after="0" w:line="242" w:lineRule="auto"/>
        <w:rPr>
          <w:sz w:val="20"/>
          <w:szCs w:val="20"/>
          <w:color w:val="auto"/>
        </w:rPr>
      </w:pPr>
      <w:r>
        <w:rPr>
          <w:rFonts w:ascii="Arial" w:cs="Arial" w:eastAsia="Arial" w:hAnsi="Arial"/>
          <w:sz w:val="16"/>
          <w:szCs w:val="16"/>
          <w:color w:val="auto"/>
        </w:rPr>
        <w:t>Insurance contract liabilities are calculated by discounting the expected future cash flows at a risk-free rate, plus an illiquidity premium when applicable. The risk-free rates are determined by reference to interest rate curves published by the SBS for contracts issued in soles and VAC soles, and by reference to U.S. Treasury bond yields for contracts issued in U.S. dollars.</w:t>
      </w:r>
    </w:p>
    <w:p>
      <w:pPr>
        <w:spacing w:after="0" w:line="145" w:lineRule="exact"/>
        <w:rPr>
          <w:sz w:val="20"/>
          <w:szCs w:val="20"/>
          <w:color w:val="auto"/>
        </w:rPr>
      </w:pPr>
    </w:p>
    <w:p>
      <w:pPr>
        <w:ind w:right="260"/>
        <w:spacing w:after="0" w:line="236" w:lineRule="auto"/>
        <w:rPr>
          <w:sz w:val="20"/>
          <w:szCs w:val="20"/>
          <w:color w:val="auto"/>
        </w:rPr>
      </w:pPr>
      <w:r>
        <w:rPr>
          <w:rFonts w:ascii="Arial" w:cs="Arial" w:eastAsia="Arial" w:hAnsi="Arial"/>
          <w:sz w:val="16"/>
          <w:szCs w:val="16"/>
          <w:color w:val="auto"/>
        </w:rPr>
        <w:t>To determine the discount curve of the initial rate established on the date of initial recognition of the contract, the liquidity premium is determined using the Matching Adjustment methodology. This methodology is based on the assets themselves that cover the Group's liabilities and is calculated as the IRR of the de-risked assets minus the IRR of the liabilities, minus the average “Cost of Downgrade” of the portfolio and an adjustment for the portfolio's sub-investment grade investments. The Matching Adjustment is determined by product type and currency. The discount rates applied to discount future cash flows are summarized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1 year</w:t>
            </w: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3 years</w:t>
            </w: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5 years</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1060" w:type="dxa"/>
            <w:vAlign w:val="bottom"/>
          </w:tcPr>
          <w:p>
            <w:pPr>
              <w:spacing w:after="0"/>
              <w:rPr>
                <w:sz w:val="17"/>
                <w:szCs w:val="17"/>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1020" w:type="dxa"/>
            <w:vAlign w:val="bottom"/>
            <w:tcBorders>
              <w:top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2023</w:t>
            </w:r>
          </w:p>
        </w:tc>
        <w:tc>
          <w:tcPr>
            <w:tcW w:w="82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1020" w:type="dxa"/>
            <w:vAlign w:val="bottom"/>
            <w:tcBorders>
              <w:top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r>
      <w:tr>
        <w:trPr>
          <w:trHeight w:val="296"/>
        </w:trPr>
        <w:tc>
          <w:tcPr>
            <w:tcW w:w="1060" w:type="dxa"/>
            <w:vAlign w:val="bottom"/>
          </w:tcPr>
          <w:p>
            <w:pPr>
              <w:spacing w:after="0"/>
              <w:rPr>
                <w:sz w:val="20"/>
                <w:szCs w:val="20"/>
                <w:color w:val="auto"/>
              </w:rPr>
            </w:pPr>
            <w:r>
              <w:rPr>
                <w:rFonts w:ascii="Arial" w:cs="Arial" w:eastAsia="Arial" w:hAnsi="Arial"/>
                <w:sz w:val="16"/>
                <w:szCs w:val="16"/>
                <w:color w:val="auto"/>
              </w:rPr>
              <w:t>Soles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4.86%</w:t>
            </w:r>
          </w:p>
        </w:tc>
        <w:tc>
          <w:tcPr>
            <w:tcW w:w="1020" w:type="dxa"/>
            <w:vAlign w:val="bottom"/>
          </w:tcPr>
          <w:p>
            <w:pPr>
              <w:jc w:val="right"/>
              <w:spacing w:after="0"/>
              <w:rPr>
                <w:sz w:val="20"/>
                <w:szCs w:val="20"/>
                <w:color w:val="auto"/>
              </w:rPr>
            </w:pPr>
            <w:r>
              <w:rPr>
                <w:rFonts w:ascii="Arial" w:cs="Arial" w:eastAsia="Arial" w:hAnsi="Arial"/>
                <w:sz w:val="16"/>
                <w:szCs w:val="16"/>
                <w:color w:val="auto"/>
              </w:rPr>
              <w:t>5.98%</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6.75%</w:t>
            </w:r>
          </w:p>
        </w:tc>
        <w:tc>
          <w:tcPr>
            <w:tcW w:w="960" w:type="dxa"/>
            <w:vAlign w:val="bottom"/>
          </w:tcPr>
          <w:p>
            <w:pPr>
              <w:jc w:val="right"/>
              <w:spacing w:after="0"/>
              <w:rPr>
                <w:sz w:val="20"/>
                <w:szCs w:val="20"/>
                <w:color w:val="auto"/>
              </w:rPr>
            </w:pPr>
            <w:r>
              <w:rPr>
                <w:rFonts w:ascii="Arial" w:cs="Arial" w:eastAsia="Arial" w:hAnsi="Arial"/>
                <w:sz w:val="16"/>
                <w:szCs w:val="16"/>
                <w:color w:val="auto"/>
              </w:rPr>
              <w:t>5.41%</w:t>
            </w:r>
          </w:p>
        </w:tc>
        <w:tc>
          <w:tcPr>
            <w:tcW w:w="1020" w:type="dxa"/>
            <w:vAlign w:val="bottom"/>
          </w:tcPr>
          <w:p>
            <w:pPr>
              <w:jc w:val="right"/>
              <w:spacing w:after="0"/>
              <w:rPr>
                <w:sz w:val="20"/>
                <w:szCs w:val="20"/>
                <w:color w:val="auto"/>
              </w:rPr>
            </w:pPr>
            <w:r>
              <w:rPr>
                <w:rFonts w:ascii="Arial" w:cs="Arial" w:eastAsia="Arial" w:hAnsi="Arial"/>
                <w:sz w:val="16"/>
                <w:szCs w:val="16"/>
                <w:color w:val="auto"/>
              </w:rPr>
              <w:t>6.18%</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7.05%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6.20%</w:t>
            </w: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7.59%</w:t>
            </w:r>
          </w:p>
        </w:tc>
      </w:tr>
      <w:tr>
        <w:trPr>
          <w:trHeight w:val="175"/>
        </w:trPr>
        <w:tc>
          <w:tcPr>
            <w:tcW w:w="1060" w:type="dxa"/>
            <w:vAlign w:val="bottom"/>
          </w:tcPr>
          <w:p>
            <w:pPr>
              <w:spacing w:after="0" w:line="175" w:lineRule="exact"/>
              <w:rPr>
                <w:sz w:val="20"/>
                <w:szCs w:val="20"/>
                <w:color w:val="auto"/>
              </w:rPr>
            </w:pPr>
            <w:r>
              <w:rPr>
                <w:rFonts w:ascii="Arial" w:cs="Arial" w:eastAsia="Arial" w:hAnsi="Arial"/>
                <w:sz w:val="16"/>
                <w:szCs w:val="16"/>
                <w:color w:val="auto"/>
              </w:rPr>
              <w:t>Soles VAC</w:t>
            </w:r>
          </w:p>
        </w:tc>
        <w:tc>
          <w:tcPr>
            <w:tcW w:w="9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1.69%</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1.44%</w:t>
            </w:r>
          </w:p>
        </w:tc>
        <w:tc>
          <w:tcPr>
            <w:tcW w:w="10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1.73%</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2.59%</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3.13%</w:t>
            </w:r>
          </w:p>
        </w:tc>
        <w:tc>
          <w:tcPr>
            <w:tcW w:w="10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3.44%</w:t>
            </w:r>
          </w:p>
        </w:tc>
        <w:tc>
          <w:tcPr>
            <w:tcW w:w="1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3.18%</w:t>
            </w:r>
          </w:p>
        </w:tc>
        <w:tc>
          <w:tcPr>
            <w:tcW w:w="480" w:type="dxa"/>
            <w:vAlign w:val="bottom"/>
          </w:tcPr>
          <w:p>
            <w:pPr>
              <w:spacing w:after="0"/>
              <w:rPr>
                <w:sz w:val="15"/>
                <w:szCs w:val="15"/>
                <w:color w:val="auto"/>
              </w:rPr>
            </w:pPr>
          </w:p>
        </w:tc>
        <w:tc>
          <w:tcPr>
            <w:tcW w:w="560" w:type="dxa"/>
            <w:vAlign w:val="bottom"/>
          </w:tcPr>
          <w:p>
            <w:pPr>
              <w:jc w:val="right"/>
              <w:spacing w:after="0" w:line="175" w:lineRule="exact"/>
              <w:rPr>
                <w:sz w:val="20"/>
                <w:szCs w:val="20"/>
                <w:color w:val="auto"/>
              </w:rPr>
            </w:pPr>
            <w:r>
              <w:rPr>
                <w:rFonts w:ascii="Arial" w:cs="Arial" w:eastAsia="Arial" w:hAnsi="Arial"/>
                <w:sz w:val="16"/>
                <w:szCs w:val="16"/>
                <w:color w:val="auto"/>
              </w:rPr>
              <w:t>3.58%</w:t>
            </w:r>
          </w:p>
        </w:tc>
        <w:tc>
          <w:tcPr>
            <w:tcW w:w="9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4.19%</w:t>
            </w:r>
          </w:p>
        </w:tc>
      </w:tr>
      <w:tr>
        <w:trPr>
          <w:trHeight w:val="205"/>
        </w:trPr>
        <w:tc>
          <w:tcPr>
            <w:tcW w:w="1060" w:type="dxa"/>
            <w:vAlign w:val="bottom"/>
          </w:tcPr>
          <w:p>
            <w:pPr>
              <w:spacing w:after="0"/>
              <w:rPr>
                <w:sz w:val="20"/>
                <w:szCs w:val="20"/>
                <w:color w:val="auto"/>
              </w:rPr>
            </w:pPr>
            <w:r>
              <w:rPr>
                <w:rFonts w:ascii="Arial" w:cs="Arial" w:eastAsia="Arial" w:hAnsi="Arial"/>
                <w:sz w:val="16"/>
                <w:szCs w:val="16"/>
                <w:color w:val="auto"/>
              </w:rPr>
              <w:t>Dollars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5.71%</w:t>
            </w:r>
          </w:p>
        </w:tc>
        <w:tc>
          <w:tcPr>
            <w:tcW w:w="1020" w:type="dxa"/>
            <w:vAlign w:val="bottom"/>
          </w:tcPr>
          <w:p>
            <w:pPr>
              <w:jc w:val="right"/>
              <w:spacing w:after="0"/>
              <w:rPr>
                <w:sz w:val="20"/>
                <w:szCs w:val="20"/>
                <w:color w:val="auto"/>
              </w:rPr>
            </w:pPr>
            <w:r>
              <w:rPr>
                <w:rFonts w:ascii="Arial" w:cs="Arial" w:eastAsia="Arial" w:hAnsi="Arial"/>
                <w:sz w:val="16"/>
                <w:szCs w:val="16"/>
                <w:color w:val="auto"/>
              </w:rPr>
              <w:t>6.52%</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7.21%</w:t>
            </w:r>
          </w:p>
        </w:tc>
        <w:tc>
          <w:tcPr>
            <w:tcW w:w="960" w:type="dxa"/>
            <w:vAlign w:val="bottom"/>
          </w:tcPr>
          <w:p>
            <w:pPr>
              <w:jc w:val="right"/>
              <w:spacing w:after="0"/>
              <w:rPr>
                <w:sz w:val="20"/>
                <w:szCs w:val="20"/>
                <w:color w:val="auto"/>
              </w:rPr>
            </w:pPr>
            <w:r>
              <w:rPr>
                <w:rFonts w:ascii="Arial" w:cs="Arial" w:eastAsia="Arial" w:hAnsi="Arial"/>
                <w:sz w:val="16"/>
                <w:szCs w:val="16"/>
                <w:color w:val="auto"/>
              </w:rPr>
              <w:t>5.82%</w:t>
            </w:r>
          </w:p>
        </w:tc>
        <w:tc>
          <w:tcPr>
            <w:tcW w:w="1020" w:type="dxa"/>
            <w:vAlign w:val="bottom"/>
          </w:tcPr>
          <w:p>
            <w:pPr>
              <w:jc w:val="right"/>
              <w:spacing w:after="0"/>
              <w:rPr>
                <w:sz w:val="20"/>
                <w:szCs w:val="20"/>
                <w:color w:val="auto"/>
              </w:rPr>
            </w:pPr>
            <w:r>
              <w:rPr>
                <w:rFonts w:ascii="Arial" w:cs="Arial" w:eastAsia="Arial" w:hAnsi="Arial"/>
                <w:sz w:val="16"/>
                <w:szCs w:val="16"/>
                <w:color w:val="auto"/>
              </w:rPr>
              <w:t>5.74%</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6.70%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5.93%</w:t>
            </w:r>
          </w:p>
        </w:tc>
        <w:tc>
          <w:tcPr>
            <w:tcW w:w="4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6.47%</w:t>
            </w:r>
          </w:p>
        </w:tc>
      </w:tr>
      <w:tr>
        <w:trPr>
          <w:trHeight w:val="335"/>
        </w:trPr>
        <w:tc>
          <w:tcPr>
            <w:tcW w:w="10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10 years</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b w:val="1"/>
                <w:bCs w:val="1"/>
                <w:color w:val="auto"/>
              </w:rPr>
              <w:t>20 years</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6"/>
        </w:trPr>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2024</w:t>
            </w:r>
          </w:p>
        </w:tc>
        <w:tc>
          <w:tcPr>
            <w:tcW w:w="1020" w:type="dxa"/>
            <w:vAlign w:val="bottom"/>
            <w:tcBorders>
              <w:top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820" w:type="dxa"/>
            <w:vAlign w:val="bottom"/>
            <w:tcBorders>
              <w:top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7"/>
                <w:szCs w:val="17"/>
                <w:color w:val="auto"/>
              </w:rPr>
            </w:pPr>
          </w:p>
        </w:tc>
        <w:tc>
          <w:tcPr>
            <w:tcW w:w="960" w:type="dxa"/>
            <w:vAlign w:val="bottom"/>
            <w:tcBorders>
              <w:top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2024</w:t>
            </w:r>
          </w:p>
        </w:tc>
        <w:tc>
          <w:tcPr>
            <w:tcW w:w="1020" w:type="dxa"/>
            <w:vAlign w:val="bottom"/>
            <w:tcBorders>
              <w:top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top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96"/>
        </w:trPr>
        <w:tc>
          <w:tcPr>
            <w:tcW w:w="1060" w:type="dxa"/>
            <w:vAlign w:val="bottom"/>
          </w:tcPr>
          <w:p>
            <w:pPr>
              <w:spacing w:after="0"/>
              <w:rPr>
                <w:sz w:val="20"/>
                <w:szCs w:val="20"/>
                <w:color w:val="auto"/>
              </w:rPr>
            </w:pPr>
            <w:r>
              <w:rPr>
                <w:rFonts w:ascii="Arial" w:cs="Arial" w:eastAsia="Arial" w:hAnsi="Arial"/>
                <w:sz w:val="16"/>
                <w:szCs w:val="16"/>
                <w:color w:val="auto"/>
              </w:rPr>
              <w:t>Soles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7.40%</w:t>
            </w:r>
          </w:p>
        </w:tc>
        <w:tc>
          <w:tcPr>
            <w:tcW w:w="1020" w:type="dxa"/>
            <w:vAlign w:val="bottom"/>
          </w:tcPr>
          <w:p>
            <w:pPr>
              <w:jc w:val="right"/>
              <w:spacing w:after="0"/>
              <w:rPr>
                <w:sz w:val="20"/>
                <w:szCs w:val="20"/>
                <w:color w:val="auto"/>
              </w:rPr>
            </w:pPr>
            <w:r>
              <w:rPr>
                <w:rFonts w:ascii="Arial" w:cs="Arial" w:eastAsia="Arial" w:hAnsi="Arial"/>
                <w:sz w:val="16"/>
                <w:szCs w:val="16"/>
                <w:color w:val="auto"/>
              </w:rPr>
              <w:t>7.12%</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8.23%</w:t>
            </w:r>
          </w:p>
        </w:tc>
        <w:tc>
          <w:tcPr>
            <w:tcW w:w="960" w:type="dxa"/>
            <w:vAlign w:val="bottom"/>
          </w:tcPr>
          <w:p>
            <w:pPr>
              <w:jc w:val="right"/>
              <w:spacing w:after="0"/>
              <w:rPr>
                <w:sz w:val="20"/>
                <w:szCs w:val="20"/>
                <w:color w:val="auto"/>
              </w:rPr>
            </w:pPr>
            <w:r>
              <w:rPr>
                <w:rFonts w:ascii="Arial" w:cs="Arial" w:eastAsia="Arial" w:hAnsi="Arial"/>
                <w:sz w:val="16"/>
                <w:szCs w:val="16"/>
                <w:color w:val="auto"/>
              </w:rPr>
              <w:t>7.88%</w:t>
            </w:r>
          </w:p>
        </w:tc>
        <w:tc>
          <w:tcPr>
            <w:tcW w:w="1020" w:type="dxa"/>
            <w:vAlign w:val="bottom"/>
          </w:tcPr>
          <w:p>
            <w:pPr>
              <w:jc w:val="right"/>
              <w:spacing w:after="0"/>
              <w:rPr>
                <w:sz w:val="20"/>
                <w:szCs w:val="20"/>
                <w:color w:val="auto"/>
              </w:rPr>
            </w:pPr>
            <w:r>
              <w:rPr>
                <w:rFonts w:ascii="Arial" w:cs="Arial" w:eastAsia="Arial" w:hAnsi="Arial"/>
                <w:sz w:val="16"/>
                <w:szCs w:val="16"/>
                <w:color w:val="auto"/>
              </w:rPr>
              <w:t>7.41%</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8.37%</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5"/>
        </w:trPr>
        <w:tc>
          <w:tcPr>
            <w:tcW w:w="1060" w:type="dxa"/>
            <w:vAlign w:val="bottom"/>
          </w:tcPr>
          <w:p>
            <w:pPr>
              <w:spacing w:after="0" w:line="175" w:lineRule="exact"/>
              <w:rPr>
                <w:sz w:val="20"/>
                <w:szCs w:val="20"/>
                <w:color w:val="auto"/>
              </w:rPr>
            </w:pPr>
            <w:r>
              <w:rPr>
                <w:rFonts w:ascii="Arial" w:cs="Arial" w:eastAsia="Arial" w:hAnsi="Arial"/>
                <w:sz w:val="16"/>
                <w:szCs w:val="16"/>
                <w:color w:val="auto"/>
              </w:rPr>
              <w:t>Soles VAC</w:t>
            </w:r>
          </w:p>
        </w:tc>
        <w:tc>
          <w:tcPr>
            <w:tcW w:w="9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3.66%</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3.91%</w:t>
            </w:r>
          </w:p>
        </w:tc>
        <w:tc>
          <w:tcPr>
            <w:tcW w:w="10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4.72%</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3.91%</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4.08%</w:t>
            </w:r>
          </w:p>
        </w:tc>
        <w:tc>
          <w:tcPr>
            <w:tcW w:w="10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4.97%</w:t>
            </w: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5"/>
        </w:trPr>
        <w:tc>
          <w:tcPr>
            <w:tcW w:w="1060" w:type="dxa"/>
            <w:vAlign w:val="bottom"/>
          </w:tcPr>
          <w:p>
            <w:pPr>
              <w:spacing w:after="0"/>
              <w:rPr>
                <w:sz w:val="20"/>
                <w:szCs w:val="20"/>
                <w:color w:val="auto"/>
              </w:rPr>
            </w:pPr>
            <w:r>
              <w:rPr>
                <w:rFonts w:ascii="Arial" w:cs="Arial" w:eastAsia="Arial" w:hAnsi="Arial"/>
                <w:sz w:val="16"/>
                <w:szCs w:val="16"/>
                <w:color w:val="auto"/>
              </w:rPr>
              <w:t>Dollars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6.13%</w:t>
            </w:r>
          </w:p>
        </w:tc>
        <w:tc>
          <w:tcPr>
            <w:tcW w:w="1020" w:type="dxa"/>
            <w:vAlign w:val="bottom"/>
          </w:tcPr>
          <w:p>
            <w:pPr>
              <w:jc w:val="right"/>
              <w:spacing w:after="0"/>
              <w:rPr>
                <w:sz w:val="20"/>
                <w:szCs w:val="20"/>
                <w:color w:val="auto"/>
              </w:rPr>
            </w:pPr>
            <w:r>
              <w:rPr>
                <w:rFonts w:ascii="Arial" w:cs="Arial" w:eastAsia="Arial" w:hAnsi="Arial"/>
                <w:sz w:val="16"/>
                <w:szCs w:val="16"/>
                <w:color w:val="auto"/>
              </w:rPr>
              <w:t>5.61%</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6.36%</w:t>
            </w:r>
          </w:p>
        </w:tc>
        <w:tc>
          <w:tcPr>
            <w:tcW w:w="960" w:type="dxa"/>
            <w:vAlign w:val="bottom"/>
          </w:tcPr>
          <w:p>
            <w:pPr>
              <w:jc w:val="right"/>
              <w:spacing w:after="0"/>
              <w:rPr>
                <w:sz w:val="20"/>
                <w:szCs w:val="20"/>
                <w:color w:val="auto"/>
              </w:rPr>
            </w:pPr>
            <w:r>
              <w:rPr>
                <w:rFonts w:ascii="Arial" w:cs="Arial" w:eastAsia="Arial" w:hAnsi="Arial"/>
                <w:sz w:val="16"/>
                <w:szCs w:val="16"/>
                <w:color w:val="auto"/>
              </w:rPr>
              <w:t>6.41%</w:t>
            </w:r>
          </w:p>
        </w:tc>
        <w:tc>
          <w:tcPr>
            <w:tcW w:w="1020" w:type="dxa"/>
            <w:vAlign w:val="bottom"/>
          </w:tcPr>
          <w:p>
            <w:pPr>
              <w:jc w:val="right"/>
              <w:spacing w:after="0"/>
              <w:rPr>
                <w:sz w:val="20"/>
                <w:szCs w:val="20"/>
                <w:color w:val="auto"/>
              </w:rPr>
            </w:pPr>
            <w:r>
              <w:rPr>
                <w:rFonts w:ascii="Arial" w:cs="Arial" w:eastAsia="Arial" w:hAnsi="Arial"/>
                <w:sz w:val="16"/>
                <w:szCs w:val="16"/>
                <w:color w:val="auto"/>
              </w:rPr>
              <w:t>5.93%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6.62%</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other assumptions used in the determination of expected cash flows are: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Mortality and morbidity rates</w:t>
      </w:r>
    </w:p>
    <w:p>
      <w:pPr>
        <w:spacing w:after="0" w:line="166"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The assumptions are based on standard industry tables, depending on the type of contract entered into. They reflect recent historical experience and are adjusted where appropriate to reflect the Group's own experiences. Mortality assumptions are differentiated in some products by gender of the insured, underwriting class and contract type.</w:t>
      </w:r>
    </w:p>
    <w:p>
      <w:pPr>
        <w:spacing w:after="0" w:line="146"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An increase in expected mortality and morbidity rates would increase the expected cost of life insurance claims, which would reduce the Group's expected future earnings.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 Longevity</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Assumptions are based on industry standard Peruvian regulatory tables, adjusted where appropriate to reflect the Group's own risk experience. For pensions, expected future longevity improvements are considered. Assumptions are differentiated by a number of factors including (but not limited to) policyholder gender, risk class and contract type. An increase in expected longevity rates would lead to an increase in the expected cost of immediate and future annuity payments, which would reduce the Group's expected future earnings.</w:t>
      </w:r>
    </w:p>
    <w:p>
      <w:pPr>
        <w:spacing w:after="0" w:line="292" w:lineRule="exact"/>
        <w:rPr>
          <w:sz w:val="20"/>
          <w:szCs w:val="20"/>
          <w:color w:val="auto"/>
        </w:rPr>
      </w:pPr>
    </w:p>
    <w:p>
      <w:pPr>
        <w:ind w:left="440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36195</wp:posOffset>
            </wp:positionV>
            <wp:extent cx="715073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40"/>
          </w:cols>
          <w:pgMar w:left="1440" w:top="124" w:right="319" w:bottom="1440" w:gutter="0" w:footer="0" w:header="0"/>
        </w:sectPr>
      </w:pPr>
    </w:p>
    <w:bookmarkStart w:id="37" w:name="page38"/>
    <w:bookmarkEnd w:id="37"/>
    <w:p>
      <w:pPr>
        <w:ind w:left="286"/>
        <w:spacing w:after="0"/>
        <w:rPr>
          <w:sz w:val="20"/>
          <w:szCs w:val="20"/>
          <w:color w:val="auto"/>
        </w:rPr>
      </w:pPr>
      <w:r>
        <w:rPr>
          <w:rFonts w:ascii="Arial" w:cs="Arial" w:eastAsia="Arial" w:hAnsi="Arial"/>
          <w:sz w:val="16"/>
          <w:szCs w:val="16"/>
          <w:color w:val="auto"/>
        </w:rPr>
        <w:t>- Expenses</w:t>
      </w:r>
    </w:p>
    <w:p>
      <w:pPr>
        <w:spacing w:after="0" w:line="167" w:lineRule="exact"/>
        <w:rPr>
          <w:sz w:val="20"/>
          <w:szCs w:val="20"/>
          <w:color w:val="auto"/>
        </w:rPr>
      </w:pPr>
    </w:p>
    <w:p>
      <w:pPr>
        <w:ind w:left="286"/>
        <w:spacing w:after="0" w:line="236" w:lineRule="auto"/>
        <w:rPr>
          <w:sz w:val="20"/>
          <w:szCs w:val="20"/>
          <w:color w:val="auto"/>
        </w:rPr>
      </w:pPr>
      <w:r>
        <w:rPr>
          <w:rFonts w:ascii="Arial" w:cs="Arial" w:eastAsia="Arial" w:hAnsi="Arial"/>
          <w:sz w:val="16"/>
          <w:szCs w:val="16"/>
          <w:color w:val="auto"/>
        </w:rPr>
        <w:t>Operating expense assumptions reflect the projected costs of maintaining and servicing in-force policies and associated overhead. The current level of expenses is taken as an appropriate expense base, adjusted for expected expense inflation if applicable. An increase in the expected level of expenses would reduce the Group's expected future earnings. Cash flows within the contract boundary include an allocation of fixed and variable overhead expenses directly attributable to the performance of the insurance contracts. Such overheads are allocated to groups of contracts using methods that are systematic and rational and are applied consistently to all costs that have similar characteristics.</w:t>
      </w:r>
    </w:p>
    <w:p>
      <w:pPr>
        <w:spacing w:after="0" w:line="14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 Lapse rates and surrenders</w:t>
      </w:r>
    </w:p>
    <w:p>
      <w:pPr>
        <w:spacing w:after="0" w:line="166" w:lineRule="exact"/>
        <w:rPr>
          <w:sz w:val="20"/>
          <w:szCs w:val="20"/>
          <w:color w:val="auto"/>
        </w:rPr>
      </w:pPr>
    </w:p>
    <w:p>
      <w:pPr>
        <w:ind w:left="286" w:right="220"/>
        <w:spacing w:after="0" w:line="238" w:lineRule="auto"/>
        <w:rPr>
          <w:sz w:val="20"/>
          <w:szCs w:val="20"/>
          <w:color w:val="auto"/>
        </w:rPr>
      </w:pPr>
      <w:r>
        <w:rPr>
          <w:rFonts w:ascii="Arial" w:cs="Arial" w:eastAsia="Arial" w:hAnsi="Arial"/>
          <w:sz w:val="16"/>
          <w:szCs w:val="16"/>
          <w:color w:val="auto"/>
        </w:rPr>
        <w:t>Forfeitures relate to the termination of policies due to non-payment of premiums. Surrenders relate to the voluntary termination of policies by policyholders to withdraw the surrender value of contracts. Policy termination assumptions are determined using statistical measures based on the Group's experience and vary by product type, policy duration, distribution channel and market interest rate trends. An increase in lapse rates early in the life of the policy would tend to reduce the Group's earnings, but subsequent increases have a broadly neutral effect.</w:t>
      </w:r>
    </w:p>
    <w:p>
      <w:pPr>
        <w:spacing w:after="0" w:line="145" w:lineRule="exact"/>
        <w:rPr>
          <w:sz w:val="20"/>
          <w:szCs w:val="20"/>
          <w:color w:val="auto"/>
        </w:rPr>
      </w:pPr>
    </w:p>
    <w:p>
      <w:pPr>
        <w:ind w:left="286" w:hanging="286"/>
        <w:spacing w:after="0"/>
        <w:tabs>
          <w:tab w:leader="none" w:pos="2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Financial instruments: Initial recognition and subsequent measurement –</w:t>
      </w:r>
    </w:p>
    <w:p>
      <w:pPr>
        <w:spacing w:after="0" w:line="166" w:lineRule="exact"/>
        <w:rPr>
          <w:rFonts w:ascii="Arial" w:cs="Arial" w:eastAsia="Arial" w:hAnsi="Arial"/>
          <w:sz w:val="16"/>
          <w:szCs w:val="16"/>
          <w:color w:val="auto"/>
        </w:rPr>
      </w:pPr>
    </w:p>
    <w:p>
      <w:pPr>
        <w:ind w:left="286" w:right="300"/>
        <w:spacing w:after="0" w:line="456" w:lineRule="auto"/>
        <w:rPr>
          <w:rFonts w:ascii="Arial" w:cs="Arial" w:eastAsia="Arial" w:hAnsi="Arial"/>
          <w:sz w:val="16"/>
          <w:szCs w:val="16"/>
          <w:color w:val="auto"/>
        </w:rPr>
      </w:pPr>
      <w:r>
        <w:rPr>
          <w:rFonts w:ascii="Arial" w:cs="Arial" w:eastAsia="Arial" w:hAnsi="Arial"/>
          <w:sz w:val="16"/>
          <w:szCs w:val="16"/>
          <w:color w:val="auto"/>
        </w:rPr>
        <w:t>A financial instrument is any agreement that gives rise to a financial asset of one entity and a financial liability or equity instrument of another entity. The Group determines the classification of its financial instruments at the time of initial recognition.</w:t>
      </w:r>
    </w:p>
    <w:p>
      <w:pPr>
        <w:spacing w:after="0" w:line="1" w:lineRule="exact"/>
        <w:rPr>
          <w:rFonts w:ascii="Arial" w:cs="Arial" w:eastAsia="Arial" w:hAnsi="Arial"/>
          <w:sz w:val="16"/>
          <w:szCs w:val="16"/>
          <w:color w:val="auto"/>
        </w:rPr>
      </w:pPr>
    </w:p>
    <w:p>
      <w:pPr>
        <w:ind w:left="286" w:right="40"/>
        <w:spacing w:after="0" w:line="255" w:lineRule="auto"/>
        <w:rPr>
          <w:rFonts w:ascii="Arial" w:cs="Arial" w:eastAsia="Arial" w:hAnsi="Arial"/>
          <w:sz w:val="16"/>
          <w:szCs w:val="16"/>
          <w:color w:val="auto"/>
        </w:rPr>
      </w:pPr>
      <w:r>
        <w:rPr>
          <w:rFonts w:ascii="Arial" w:cs="Arial" w:eastAsia="Arial" w:hAnsi="Arial"/>
          <w:sz w:val="16"/>
          <w:szCs w:val="16"/>
          <w:color w:val="auto"/>
        </w:rPr>
        <w:t>All financial instruments are initially recognized at their fair value plus the incremental costs related to the transaction that are directly attributable to the purchase or issuance of the instrument, except in the case of financial assets or liabilities carried at fair value through profit or loss.</w:t>
      </w:r>
    </w:p>
    <w:p>
      <w:pPr>
        <w:spacing w:after="0" w:line="134" w:lineRule="exact"/>
        <w:rPr>
          <w:rFonts w:ascii="Arial" w:cs="Arial" w:eastAsia="Arial" w:hAnsi="Arial"/>
          <w:sz w:val="16"/>
          <w:szCs w:val="16"/>
          <w:color w:val="auto"/>
        </w:rPr>
      </w:pPr>
    </w:p>
    <w:p>
      <w:pPr>
        <w:ind w:left="286" w:right="120"/>
        <w:spacing w:after="0" w:line="326" w:lineRule="auto"/>
        <w:rPr>
          <w:rFonts w:ascii="Arial" w:cs="Arial" w:eastAsia="Arial" w:hAnsi="Arial"/>
          <w:sz w:val="16"/>
          <w:szCs w:val="16"/>
          <w:color w:val="auto"/>
        </w:rPr>
      </w:pPr>
      <w:r>
        <w:rPr>
          <w:rFonts w:ascii="Arial" w:cs="Arial" w:eastAsia="Arial" w:hAnsi="Arial"/>
          <w:sz w:val="14"/>
          <w:szCs w:val="14"/>
          <w:color w:val="auto"/>
        </w:rPr>
        <w:t>Purchases or sales of financial assets that require delivery of the assets within a period established in accordance with regulations or conventions in the market (regular way purchases or sales) are recognized at the trade date, that is, the date on which the Group undertakes to buy or sell the asset.</w:t>
      </w:r>
    </w:p>
    <w:p>
      <w:pPr>
        <w:spacing w:after="0" w:line="87" w:lineRule="exact"/>
        <w:rPr>
          <w:rFonts w:ascii="Arial" w:cs="Arial" w:eastAsia="Arial" w:hAnsi="Arial"/>
          <w:sz w:val="16"/>
          <w:szCs w:val="16"/>
          <w:color w:val="auto"/>
        </w:rPr>
      </w:pPr>
    </w:p>
    <w:p>
      <w:pPr>
        <w:ind w:left="286" w:right="180"/>
        <w:spacing w:after="0" w:line="255" w:lineRule="auto"/>
        <w:rPr>
          <w:rFonts w:ascii="Arial" w:cs="Arial" w:eastAsia="Arial" w:hAnsi="Arial"/>
          <w:sz w:val="16"/>
          <w:szCs w:val="16"/>
          <w:color w:val="auto"/>
        </w:rPr>
      </w:pPr>
      <w:r>
        <w:rPr>
          <w:rFonts w:ascii="Arial" w:cs="Arial" w:eastAsia="Arial" w:hAnsi="Arial"/>
          <w:sz w:val="16"/>
          <w:szCs w:val="16"/>
          <w:color w:val="auto"/>
        </w:rPr>
        <w:t>As of December 31, 2024 and 2023, the Group classified financial assets into one of the categories defined by IFRS 9: financial assets i) at fair value through profit or loss, ii) at fair value through other comprehensive income or iii) at amortized cost based on:</w:t>
      </w:r>
    </w:p>
    <w:p>
      <w:pPr>
        <w:spacing w:after="0" w:line="134" w:lineRule="exact"/>
        <w:rPr>
          <w:rFonts w:ascii="Arial" w:cs="Arial" w:eastAsia="Arial" w:hAnsi="Arial"/>
          <w:sz w:val="16"/>
          <w:szCs w:val="16"/>
          <w:color w:val="auto"/>
        </w:rPr>
      </w:pPr>
    </w:p>
    <w:p>
      <w:pPr>
        <w:ind w:left="706" w:hanging="426"/>
        <w:spacing w:after="0"/>
        <w:tabs>
          <w:tab w:leader="none" w:pos="706"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business model to manage financial assets and</w:t>
      </w:r>
    </w:p>
    <w:p>
      <w:pPr>
        <w:spacing w:after="0" w:line="5" w:lineRule="exact"/>
        <w:rPr>
          <w:rFonts w:ascii="Arial" w:cs="Arial" w:eastAsia="Arial" w:hAnsi="Arial"/>
          <w:sz w:val="16"/>
          <w:szCs w:val="16"/>
          <w:color w:val="auto"/>
        </w:rPr>
      </w:pPr>
    </w:p>
    <w:p>
      <w:pPr>
        <w:ind w:left="706" w:hanging="426"/>
        <w:spacing w:after="0"/>
        <w:tabs>
          <w:tab w:leader="none" w:pos="706"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characteristics of the contractual cash flows of the financial asset</w:t>
      </w:r>
    </w:p>
    <w:p>
      <w:pPr>
        <w:spacing w:after="0" w:line="152" w:lineRule="exact"/>
        <w:rPr>
          <w:sz w:val="20"/>
          <w:szCs w:val="20"/>
          <w:color w:val="auto"/>
        </w:rPr>
      </w:pPr>
    </w:p>
    <w:p>
      <w:pPr>
        <w:ind w:left="286"/>
        <w:spacing w:after="0"/>
        <w:rPr>
          <w:sz w:val="20"/>
          <w:szCs w:val="20"/>
          <w:color w:val="auto"/>
        </w:rPr>
      </w:pPr>
      <w:r>
        <w:rPr>
          <w:rFonts w:ascii="Arial" w:cs="Arial" w:eastAsia="Arial" w:hAnsi="Arial"/>
          <w:sz w:val="16"/>
          <w:szCs w:val="16"/>
          <w:color w:val="auto"/>
        </w:rPr>
        <w:t>Business model -</w:t>
      </w:r>
    </w:p>
    <w:p>
      <w:pPr>
        <w:spacing w:after="0" w:line="166" w:lineRule="exact"/>
        <w:rPr>
          <w:sz w:val="20"/>
          <w:szCs w:val="20"/>
          <w:color w:val="auto"/>
        </w:rPr>
      </w:pPr>
    </w:p>
    <w:p>
      <w:pPr>
        <w:ind w:left="286" w:right="80"/>
        <w:spacing w:after="0" w:line="241" w:lineRule="auto"/>
        <w:rPr>
          <w:sz w:val="20"/>
          <w:szCs w:val="20"/>
          <w:color w:val="auto"/>
        </w:rPr>
      </w:pPr>
      <w:r>
        <w:rPr>
          <w:rFonts w:ascii="Arial" w:cs="Arial" w:eastAsia="Arial" w:hAnsi="Arial"/>
          <w:sz w:val="16"/>
          <w:szCs w:val="16"/>
          <w:color w:val="auto"/>
        </w:rPr>
        <w:t>It represents how financial assets are managed to generate cash flows and is not dependent on Management's intention with respect to an individual instrument. Financial assets can be managed for the purpose of: i) obtaining contractual cash flows; ii) obtaining contractual cash flows and sale; or iii) others. To evaluate business models, the Group considers:</w:t>
      </w:r>
    </w:p>
    <w:p>
      <w:pPr>
        <w:spacing w:after="0" w:line="146" w:lineRule="exact"/>
        <w:rPr>
          <w:sz w:val="20"/>
          <w:szCs w:val="20"/>
          <w:color w:val="auto"/>
        </w:rPr>
      </w:pPr>
    </w:p>
    <w:p>
      <w:pPr>
        <w:ind w:left="706" w:hanging="426"/>
        <w:spacing w:after="0"/>
        <w:tabs>
          <w:tab w:leader="none" w:pos="70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risks that affect the performance of the business model and, in particular, the way in which these risks are managed.</w:t>
      </w:r>
    </w:p>
    <w:p>
      <w:pPr>
        <w:spacing w:after="0" w:line="5" w:lineRule="exact"/>
        <w:rPr>
          <w:rFonts w:ascii="Arial" w:cs="Arial" w:eastAsia="Arial" w:hAnsi="Arial"/>
          <w:sz w:val="16"/>
          <w:szCs w:val="16"/>
          <w:color w:val="auto"/>
        </w:rPr>
      </w:pPr>
    </w:p>
    <w:p>
      <w:pPr>
        <w:ind w:left="706" w:right="240" w:hanging="426"/>
        <w:spacing w:after="0" w:line="238" w:lineRule="auto"/>
        <w:tabs>
          <w:tab w:leader="none" w:pos="706" w:val="left"/>
        </w:tabs>
        <w:numPr>
          <w:ilvl w:val="0"/>
          <w:numId w:val="39"/>
        </w:numPr>
        <w:rPr>
          <w:rFonts w:ascii="Arial" w:cs="Arial" w:eastAsia="Arial" w:hAnsi="Arial"/>
          <w:sz w:val="16"/>
          <w:szCs w:val="16"/>
          <w:color w:val="auto"/>
        </w:rPr>
      </w:pPr>
      <w:r>
        <w:rPr>
          <w:rFonts w:ascii="Arial" w:cs="Arial" w:eastAsia="Arial" w:hAnsi="Arial"/>
          <w:sz w:val="16"/>
          <w:szCs w:val="16"/>
          <w:color w:val="auto"/>
        </w:rPr>
        <w:t>How the performance of the business model and the financial assets held within this business model are evaluated and reported to key Group management personnel.</w:t>
      </w:r>
    </w:p>
    <w:p>
      <w:pPr>
        <w:spacing w:after="0" w:line="146" w:lineRule="exact"/>
        <w:rPr>
          <w:sz w:val="20"/>
          <w:szCs w:val="20"/>
          <w:color w:val="auto"/>
        </w:rPr>
      </w:pPr>
    </w:p>
    <w:p>
      <w:pPr>
        <w:ind w:left="286" w:right="40"/>
        <w:spacing w:after="0" w:line="255" w:lineRule="auto"/>
        <w:rPr>
          <w:sz w:val="20"/>
          <w:szCs w:val="20"/>
          <w:color w:val="auto"/>
        </w:rPr>
      </w:pPr>
      <w:r>
        <w:rPr>
          <w:rFonts w:ascii="Arial" w:cs="Arial" w:eastAsia="Arial" w:hAnsi="Arial"/>
          <w:sz w:val="16"/>
          <w:szCs w:val="16"/>
          <w:color w:val="auto"/>
        </w:rPr>
        <w:t>If cash flows after initial recognition are realized differently from the Group's expectations, the classification of the remaining financial assets held in this business model is not modified.</w:t>
      </w:r>
    </w:p>
    <w:p>
      <w:pPr>
        <w:spacing w:after="0" w:line="134" w:lineRule="exact"/>
        <w:rPr>
          <w:sz w:val="20"/>
          <w:szCs w:val="20"/>
          <w:color w:val="auto"/>
        </w:rPr>
      </w:pPr>
    </w:p>
    <w:p>
      <w:pPr>
        <w:ind w:left="286"/>
        <w:spacing w:after="0"/>
        <w:rPr>
          <w:sz w:val="20"/>
          <w:szCs w:val="20"/>
          <w:color w:val="auto"/>
        </w:rPr>
      </w:pPr>
      <w:r>
        <w:rPr>
          <w:rFonts w:ascii="Arial" w:cs="Arial" w:eastAsia="Arial" w:hAnsi="Arial"/>
          <w:sz w:val="14"/>
          <w:szCs w:val="14"/>
          <w:color w:val="auto"/>
        </w:rPr>
        <w:t>When the financial asset is maintained in business models i) and ii) the application of the only principal and interest payments test is required - “SPPI”.</w:t>
      </w:r>
    </w:p>
    <w:p>
      <w:pPr>
        <w:spacing w:after="0" w:line="336" w:lineRule="exact"/>
        <w:rPr>
          <w:sz w:val="20"/>
          <w:szCs w:val="20"/>
          <w:color w:val="auto"/>
        </w:rPr>
      </w:pPr>
    </w:p>
    <w:p>
      <w:pPr>
        <w:jc w:val="center"/>
        <w:ind w:right="534"/>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38" w:name="page39"/>
    <w:bookmarkEnd w:id="38"/>
    <w:p>
      <w:pPr>
        <w:ind w:left="6"/>
        <w:spacing w:after="0"/>
        <w:rPr>
          <w:sz w:val="20"/>
          <w:szCs w:val="20"/>
          <w:color w:val="auto"/>
        </w:rPr>
      </w:pPr>
      <w:r>
        <w:rPr>
          <w:rFonts w:ascii="Arial" w:cs="Arial" w:eastAsia="Arial" w:hAnsi="Arial"/>
          <w:sz w:val="16"/>
          <w:szCs w:val="16"/>
          <w:color w:val="auto"/>
        </w:rPr>
        <w:t>SPPI Test (Solely Payments of Principal and Interest) –</w:t>
      </w:r>
    </w:p>
    <w:p>
      <w:pPr>
        <w:spacing w:after="0" w:line="167" w:lineRule="exact"/>
        <w:rPr>
          <w:sz w:val="20"/>
          <w:szCs w:val="20"/>
          <w:color w:val="auto"/>
        </w:rPr>
      </w:pPr>
    </w:p>
    <w:p>
      <w:pPr>
        <w:ind w:left="6"/>
        <w:spacing w:after="0" w:line="274" w:lineRule="auto"/>
        <w:rPr>
          <w:sz w:val="20"/>
          <w:szCs w:val="20"/>
          <w:color w:val="auto"/>
        </w:rPr>
      </w:pPr>
      <w:r>
        <w:rPr>
          <w:rFonts w:ascii="Arial" w:cs="Arial" w:eastAsia="Arial" w:hAnsi="Arial"/>
          <w:sz w:val="14"/>
          <w:szCs w:val="14"/>
          <w:color w:val="auto"/>
        </w:rPr>
        <w:t>This test consists in the evaluation of the cash flows generated by a financial instrument to verify whether the contractual conditions of the financial asset arise, on specified dates to cash flows that are solely payments of principal and interest. To adapt to this concept the cash flows must solely include the consideration of the time value of money and the credit risk. If the contractual terms introduce risk exposure or cash flow volatility, such as the exposure to changes in the prices of capital instruments or the prices of raw materials, the financial asset is classified as at fair value through profit or loss. Hybrid contracts must be evaluated as a whole, including all the integrated characteristics. The accounting of a hybrid contract that contains an embedded derivative is carried out jointly, in other words, the entire instrument is measured at fair value through profit or loss.</w:t>
      </w:r>
    </w:p>
    <w:p>
      <w:pPr>
        <w:spacing w:after="0" w:line="123" w:lineRule="exact"/>
        <w:rPr>
          <w:sz w:val="20"/>
          <w:szCs w:val="20"/>
          <w:color w:val="auto"/>
        </w:rPr>
      </w:pPr>
    </w:p>
    <w:p>
      <w:pPr>
        <w:ind w:left="426" w:hanging="426"/>
        <w:spacing w:after="0"/>
        <w:tabs>
          <w:tab w:leader="none" w:pos="426"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Financial assets at amortized cost –</w:t>
      </w:r>
    </w:p>
    <w:p>
      <w:pPr>
        <w:spacing w:after="0" w:line="166" w:lineRule="exact"/>
        <w:rPr>
          <w:rFonts w:ascii="Arial" w:cs="Arial" w:eastAsia="Arial" w:hAnsi="Arial"/>
          <w:sz w:val="16"/>
          <w:szCs w:val="16"/>
          <w:color w:val="auto"/>
        </w:rPr>
      </w:pPr>
    </w:p>
    <w:p>
      <w:pPr>
        <w:ind w:left="426"/>
        <w:spacing w:after="0"/>
        <w:rPr>
          <w:rFonts w:ascii="Arial" w:cs="Arial" w:eastAsia="Arial" w:hAnsi="Arial"/>
          <w:sz w:val="16"/>
          <w:szCs w:val="16"/>
          <w:color w:val="auto"/>
        </w:rPr>
      </w:pPr>
      <w:r>
        <w:rPr>
          <w:rFonts w:ascii="Arial" w:cs="Arial" w:eastAsia="Arial" w:hAnsi="Arial"/>
          <w:sz w:val="16"/>
          <w:szCs w:val="16"/>
          <w:color w:val="auto"/>
        </w:rPr>
        <w:t>A financial asset is classified as at amortized cost if the following conditions are met:</w:t>
      </w:r>
    </w:p>
    <w:p>
      <w:pPr>
        <w:spacing w:after="0" w:line="166" w:lineRule="exact"/>
        <w:rPr>
          <w:rFonts w:ascii="Arial" w:cs="Arial" w:eastAsia="Arial" w:hAnsi="Arial"/>
          <w:sz w:val="16"/>
          <w:szCs w:val="16"/>
          <w:color w:val="auto"/>
        </w:rPr>
      </w:pPr>
    </w:p>
    <w:p>
      <w:pPr>
        <w:ind w:left="706" w:hanging="286"/>
        <w:spacing w:after="0"/>
        <w:tabs>
          <w:tab w:leader="none" w:pos="706" w:val="left"/>
        </w:tabs>
        <w:numPr>
          <w:ilvl w:val="1"/>
          <w:numId w:val="40"/>
        </w:numPr>
        <w:rPr>
          <w:rFonts w:ascii="Arial" w:cs="Arial" w:eastAsia="Arial" w:hAnsi="Arial"/>
          <w:sz w:val="16"/>
          <w:szCs w:val="16"/>
          <w:color w:val="auto"/>
        </w:rPr>
      </w:pPr>
      <w:r>
        <w:rPr>
          <w:rFonts w:ascii="Arial" w:cs="Arial" w:eastAsia="Arial" w:hAnsi="Arial"/>
          <w:sz w:val="16"/>
          <w:szCs w:val="16"/>
          <w:color w:val="auto"/>
        </w:rPr>
        <w:t>It is held within a business model whose objective of which is to maintain the financial asset to obtain the contractual cash flows, and</w:t>
      </w:r>
    </w:p>
    <w:p>
      <w:pPr>
        <w:spacing w:after="0" w:line="5" w:lineRule="exact"/>
        <w:rPr>
          <w:rFonts w:ascii="Arial" w:cs="Arial" w:eastAsia="Arial" w:hAnsi="Arial"/>
          <w:sz w:val="16"/>
          <w:szCs w:val="16"/>
          <w:color w:val="auto"/>
        </w:rPr>
      </w:pPr>
    </w:p>
    <w:p>
      <w:pPr>
        <w:ind w:left="706" w:hanging="286"/>
        <w:spacing w:after="0"/>
        <w:tabs>
          <w:tab w:leader="none" w:pos="706"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contractual conditions give rise, on specified dates, to cash flows that are solely payments of the principal and interest.</w:t>
      </w:r>
    </w:p>
    <w:p>
      <w:pPr>
        <w:spacing w:after="0" w:line="152" w:lineRule="exact"/>
        <w:rPr>
          <w:sz w:val="20"/>
          <w:szCs w:val="20"/>
          <w:color w:val="auto"/>
        </w:rPr>
      </w:pPr>
    </w:p>
    <w:p>
      <w:pPr>
        <w:ind w:left="426" w:right="20"/>
        <w:spacing w:after="0" w:line="238" w:lineRule="auto"/>
        <w:rPr>
          <w:sz w:val="20"/>
          <w:szCs w:val="20"/>
          <w:color w:val="auto"/>
        </w:rPr>
      </w:pPr>
      <w:r>
        <w:rPr>
          <w:rFonts w:ascii="Arial" w:cs="Arial" w:eastAsia="Arial" w:hAnsi="Arial"/>
          <w:sz w:val="16"/>
          <w:szCs w:val="16"/>
          <w:color w:val="auto"/>
        </w:rPr>
        <w:t>After initial recognition, financial assets in this category are measured at amortized cost, using the effective interest rate method, less any credit loss provision. The amortized cost is calculated taking into account any discount or premium incurred in the acquisition and fees that constitute an integral part of the effective interest rate. Interest income is included in the “Interest and similar income” item in the consolidated statement of income.</w:t>
      </w:r>
    </w:p>
    <w:p>
      <w:pPr>
        <w:spacing w:after="0" w:line="145" w:lineRule="exact"/>
        <w:rPr>
          <w:sz w:val="20"/>
          <w:szCs w:val="20"/>
          <w:color w:val="auto"/>
        </w:rPr>
      </w:pPr>
    </w:p>
    <w:p>
      <w:pPr>
        <w:ind w:left="426" w:right="80"/>
        <w:spacing w:after="0" w:line="241" w:lineRule="auto"/>
        <w:rPr>
          <w:sz w:val="20"/>
          <w:szCs w:val="20"/>
          <w:color w:val="auto"/>
        </w:rPr>
      </w:pPr>
      <w:r>
        <w:rPr>
          <w:rFonts w:ascii="Arial" w:cs="Arial" w:eastAsia="Arial" w:hAnsi="Arial"/>
          <w:sz w:val="16"/>
          <w:szCs w:val="16"/>
          <w:color w:val="auto"/>
        </w:rPr>
        <w:t>Financial assets at amortized cost include direct credits that are recorded when the funds are disbursed to clients, and indirect credits (contingent) that are recorded when the documents that support said credit facilities are issued. Likewise, the Group considers as refinanced or restructured those loans that change their payment schedule due to difficulties in payment by the debtor.</w:t>
      </w:r>
    </w:p>
    <w:p>
      <w:pPr>
        <w:spacing w:after="0" w:line="146" w:lineRule="exact"/>
        <w:rPr>
          <w:sz w:val="20"/>
          <w:szCs w:val="20"/>
          <w:color w:val="auto"/>
        </w:rPr>
      </w:pPr>
    </w:p>
    <w:p>
      <w:pPr>
        <w:ind w:left="426" w:right="260"/>
        <w:spacing w:after="0" w:line="255" w:lineRule="auto"/>
        <w:rPr>
          <w:sz w:val="20"/>
          <w:szCs w:val="20"/>
          <w:color w:val="auto"/>
        </w:rPr>
      </w:pPr>
      <w:r>
        <w:rPr>
          <w:rFonts w:ascii="Arial" w:cs="Arial" w:eastAsia="Arial" w:hAnsi="Arial"/>
          <w:sz w:val="16"/>
          <w:szCs w:val="16"/>
          <w:color w:val="auto"/>
        </w:rPr>
        <w:t>The impairment loss is calculated using the expected loss approach and is recognized in the consolidated statement of income in the item “Net gain on securities” for investments and in the item “Provision for credit losses on loan portfolio” for credits.</w:t>
      </w:r>
    </w:p>
    <w:p>
      <w:pPr>
        <w:spacing w:after="0" w:line="134" w:lineRule="exact"/>
        <w:rPr>
          <w:sz w:val="20"/>
          <w:szCs w:val="20"/>
          <w:color w:val="auto"/>
        </w:rPr>
      </w:pPr>
    </w:p>
    <w:p>
      <w:pPr>
        <w:ind w:left="426" w:right="100"/>
        <w:spacing w:after="0" w:line="255" w:lineRule="auto"/>
        <w:rPr>
          <w:sz w:val="20"/>
          <w:szCs w:val="20"/>
          <w:color w:val="auto"/>
        </w:rPr>
      </w:pPr>
      <w:r>
        <w:rPr>
          <w:rFonts w:ascii="Arial" w:cs="Arial" w:eastAsia="Arial" w:hAnsi="Arial"/>
          <w:sz w:val="16"/>
          <w:szCs w:val="16"/>
          <w:color w:val="auto"/>
        </w:rPr>
        <w:t>The balance of financial assets, measured at amortized cost, is presented net of the provision for credit losses in the consolidated statement of financial position.</w:t>
      </w:r>
    </w:p>
    <w:p>
      <w:pPr>
        <w:spacing w:after="0" w:line="134" w:lineRule="exact"/>
        <w:rPr>
          <w:sz w:val="20"/>
          <w:szCs w:val="20"/>
          <w:color w:val="auto"/>
        </w:rPr>
      </w:pPr>
    </w:p>
    <w:p>
      <w:pPr>
        <w:ind w:left="426" w:hanging="426"/>
        <w:spacing w:after="0"/>
        <w:tabs>
          <w:tab w:leader="none" w:pos="426" w:val="left"/>
        </w:tabs>
        <w:numPr>
          <w:ilvl w:val="0"/>
          <w:numId w:val="41"/>
        </w:numPr>
        <w:rPr>
          <w:rFonts w:ascii="Arial" w:cs="Arial" w:eastAsia="Arial" w:hAnsi="Arial"/>
          <w:sz w:val="16"/>
          <w:szCs w:val="16"/>
          <w:color w:val="auto"/>
        </w:rPr>
      </w:pPr>
      <w:r>
        <w:rPr>
          <w:rFonts w:ascii="Arial" w:cs="Arial" w:eastAsia="Arial" w:hAnsi="Arial"/>
          <w:sz w:val="16"/>
          <w:szCs w:val="16"/>
          <w:color w:val="auto"/>
        </w:rPr>
        <w:t>Financial assets at fair value with changes in other comprehensive income –</w:t>
      </w:r>
    </w:p>
    <w:p>
      <w:pPr>
        <w:spacing w:after="0" w:line="166" w:lineRule="exact"/>
        <w:rPr>
          <w:rFonts w:ascii="Arial" w:cs="Arial" w:eastAsia="Arial" w:hAnsi="Arial"/>
          <w:sz w:val="16"/>
          <w:szCs w:val="16"/>
          <w:color w:val="auto"/>
        </w:rPr>
      </w:pPr>
    </w:p>
    <w:p>
      <w:pPr>
        <w:ind w:left="426" w:right="760"/>
        <w:spacing w:after="0" w:line="255" w:lineRule="auto"/>
        <w:rPr>
          <w:rFonts w:ascii="Arial" w:cs="Arial" w:eastAsia="Arial" w:hAnsi="Arial"/>
          <w:sz w:val="16"/>
          <w:szCs w:val="16"/>
          <w:color w:val="auto"/>
        </w:rPr>
      </w:pPr>
      <w:r>
        <w:rPr>
          <w:rFonts w:ascii="Arial" w:cs="Arial" w:eastAsia="Arial" w:hAnsi="Arial"/>
          <w:sz w:val="16"/>
          <w:szCs w:val="16"/>
          <w:color w:val="auto"/>
        </w:rPr>
        <w:t>The financial assets that the Group maintains in this category are: a) investments in debt instruments, and b) investments in equity instruments, for non-trading purposes, irrevocably designated as such at initial recognition.</w:t>
      </w:r>
    </w:p>
    <w:p>
      <w:pPr>
        <w:spacing w:after="0" w:line="134" w:lineRule="exact"/>
        <w:rPr>
          <w:rFonts w:ascii="Arial" w:cs="Arial" w:eastAsia="Arial" w:hAnsi="Arial"/>
          <w:sz w:val="16"/>
          <w:szCs w:val="16"/>
          <w:color w:val="auto"/>
        </w:rPr>
      </w:pPr>
    </w:p>
    <w:p>
      <w:pPr>
        <w:ind w:left="426"/>
        <w:spacing w:after="0"/>
        <w:rPr>
          <w:rFonts w:ascii="Arial" w:cs="Arial" w:eastAsia="Arial" w:hAnsi="Arial"/>
          <w:sz w:val="16"/>
          <w:szCs w:val="16"/>
          <w:color w:val="auto"/>
        </w:rPr>
      </w:pPr>
      <w:r>
        <w:rPr>
          <w:rFonts w:ascii="Arial" w:cs="Arial" w:eastAsia="Arial" w:hAnsi="Arial"/>
          <w:sz w:val="16"/>
          <w:szCs w:val="16"/>
          <w:color w:val="auto"/>
        </w:rPr>
        <w:t>Investments in debt instruments -</w:t>
      </w:r>
    </w:p>
    <w:p>
      <w:pPr>
        <w:spacing w:after="0" w:line="166" w:lineRule="exact"/>
        <w:rPr>
          <w:rFonts w:ascii="Arial" w:cs="Arial" w:eastAsia="Arial" w:hAnsi="Arial"/>
          <w:sz w:val="16"/>
          <w:szCs w:val="16"/>
          <w:color w:val="auto"/>
        </w:rPr>
      </w:pPr>
    </w:p>
    <w:p>
      <w:pPr>
        <w:ind w:left="426"/>
        <w:spacing w:after="0"/>
        <w:rPr>
          <w:rFonts w:ascii="Arial" w:cs="Arial" w:eastAsia="Arial" w:hAnsi="Arial"/>
          <w:sz w:val="16"/>
          <w:szCs w:val="16"/>
          <w:color w:val="auto"/>
        </w:rPr>
      </w:pPr>
      <w:r>
        <w:rPr>
          <w:rFonts w:ascii="Arial" w:cs="Arial" w:eastAsia="Arial" w:hAnsi="Arial"/>
          <w:sz w:val="16"/>
          <w:szCs w:val="16"/>
          <w:color w:val="auto"/>
        </w:rPr>
        <w:t>A financial asset is classified and measured at fair value through other comprehensive income when the following conditions are met:</w:t>
      </w:r>
    </w:p>
    <w:p>
      <w:pPr>
        <w:spacing w:after="0" w:line="166" w:lineRule="exact"/>
        <w:rPr>
          <w:rFonts w:ascii="Arial" w:cs="Arial" w:eastAsia="Arial" w:hAnsi="Arial"/>
          <w:sz w:val="16"/>
          <w:szCs w:val="16"/>
          <w:color w:val="auto"/>
        </w:rPr>
      </w:pPr>
    </w:p>
    <w:p>
      <w:pPr>
        <w:ind w:left="706" w:right="280" w:hanging="286"/>
        <w:spacing w:after="0" w:line="237" w:lineRule="auto"/>
        <w:tabs>
          <w:tab w:leader="none" w:pos="706"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financial asset is maintained within a business model whose objective is achieved by obtaining contractual cash flows and selling financial assets, and</w:t>
      </w:r>
    </w:p>
    <w:p>
      <w:pPr>
        <w:ind w:left="706" w:hanging="286"/>
        <w:spacing w:after="0"/>
        <w:tabs>
          <w:tab w:leader="none" w:pos="706"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contractual conditions give rise, on specified dates, to cash flows that are solely payments of principal and interest.</w:t>
      </w:r>
    </w:p>
    <w:p>
      <w:pPr>
        <w:spacing w:after="0" w:line="299"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46"/>
          </w:cols>
          <w:pgMar w:left="1434" w:top="124" w:right="319" w:bottom="1440" w:gutter="0" w:footer="0" w:header="0"/>
        </w:sectPr>
      </w:pPr>
    </w:p>
    <w:bookmarkStart w:id="39" w:name="page40"/>
    <w:bookmarkEnd w:id="39"/>
    <w:p>
      <w:pPr>
        <w:ind w:left="426"/>
        <w:spacing w:after="0" w:line="242" w:lineRule="auto"/>
        <w:rPr>
          <w:sz w:val="20"/>
          <w:szCs w:val="20"/>
          <w:color w:val="auto"/>
        </w:rPr>
      </w:pPr>
      <w:r>
        <w:rPr>
          <w:rFonts w:ascii="Arial" w:cs="Arial" w:eastAsia="Arial" w:hAnsi="Arial"/>
          <w:sz w:val="16"/>
          <w:szCs w:val="16"/>
          <w:color w:val="auto"/>
        </w:rPr>
        <w:t>After initial recognition, investments in debt instruments are measured at fair value, recording unrealized gains and losses in the consolidated statement of comprehensive income, net of the corresponding income tax and non-controlling interest, until the investment is sold; in which the accumulated gain or loss is recognized in the “Net gain on securities” item of the consolidated statement of income.</w:t>
      </w:r>
    </w:p>
    <w:p>
      <w:pPr>
        <w:spacing w:after="0" w:line="145" w:lineRule="exact"/>
        <w:rPr>
          <w:sz w:val="20"/>
          <w:szCs w:val="20"/>
          <w:color w:val="auto"/>
        </w:rPr>
      </w:pPr>
    </w:p>
    <w:p>
      <w:pPr>
        <w:ind w:left="426" w:right="280"/>
        <w:spacing w:after="0" w:line="255" w:lineRule="auto"/>
        <w:rPr>
          <w:sz w:val="20"/>
          <w:szCs w:val="20"/>
          <w:color w:val="auto"/>
        </w:rPr>
      </w:pPr>
      <w:r>
        <w:rPr>
          <w:rFonts w:ascii="Arial" w:cs="Arial" w:eastAsia="Arial" w:hAnsi="Arial"/>
          <w:sz w:val="16"/>
          <w:szCs w:val="16"/>
          <w:color w:val="auto"/>
        </w:rPr>
        <w:t>Interest is recognized in the consolidated statement of income in the item “Interest and similar income” and is reported as interest income using the effective interest rate method.</w:t>
      </w:r>
    </w:p>
    <w:p>
      <w:pPr>
        <w:spacing w:after="0" w:line="134" w:lineRule="exact"/>
        <w:rPr>
          <w:sz w:val="20"/>
          <w:szCs w:val="20"/>
          <w:color w:val="auto"/>
        </w:rPr>
      </w:pPr>
    </w:p>
    <w:p>
      <w:pPr>
        <w:ind w:left="426" w:right="400"/>
        <w:spacing w:after="0" w:line="255" w:lineRule="auto"/>
        <w:rPr>
          <w:sz w:val="20"/>
          <w:szCs w:val="20"/>
          <w:color w:val="auto"/>
        </w:rPr>
      </w:pPr>
      <w:r>
        <w:rPr>
          <w:rFonts w:ascii="Arial" w:cs="Arial" w:eastAsia="Arial" w:hAnsi="Arial"/>
          <w:sz w:val="16"/>
          <w:szCs w:val="16"/>
          <w:color w:val="auto"/>
        </w:rPr>
        <w:t>When a debt instrument is designated in a fair value hedging relationship, any change in fair value due to changes in the hedged risk is recognized in “Interest and similar income” in the consolidated statement of income.</w:t>
      </w:r>
    </w:p>
    <w:p>
      <w:pPr>
        <w:spacing w:after="0" w:line="134" w:lineRule="exact"/>
        <w:rPr>
          <w:sz w:val="20"/>
          <w:szCs w:val="20"/>
          <w:color w:val="auto"/>
        </w:rPr>
      </w:pPr>
    </w:p>
    <w:p>
      <w:pPr>
        <w:ind w:left="426" w:right="120"/>
        <w:spacing w:after="0" w:line="241" w:lineRule="auto"/>
        <w:rPr>
          <w:sz w:val="20"/>
          <w:szCs w:val="20"/>
          <w:color w:val="auto"/>
        </w:rPr>
      </w:pPr>
      <w:r>
        <w:rPr>
          <w:rFonts w:ascii="Arial" w:cs="Arial" w:eastAsia="Arial" w:hAnsi="Arial"/>
          <w:sz w:val="16"/>
          <w:szCs w:val="16"/>
          <w:color w:val="auto"/>
        </w:rPr>
        <w:t>Foreign exchange gains or losses related to the amortized cost of the debt instrument are recognized in the consolidated statement of income, and those related to differences between the amortized cost and the fair value are recognized as part of the unrealized gain or loss in the consolidated statement of comprehensive income.</w:t>
      </w:r>
    </w:p>
    <w:p>
      <w:pPr>
        <w:spacing w:after="0" w:line="146" w:lineRule="exact"/>
        <w:rPr>
          <w:sz w:val="20"/>
          <w:szCs w:val="20"/>
          <w:color w:val="auto"/>
        </w:rPr>
      </w:pPr>
    </w:p>
    <w:p>
      <w:pPr>
        <w:ind w:left="426" w:right="20"/>
        <w:spacing w:after="0" w:line="255" w:lineRule="auto"/>
        <w:rPr>
          <w:sz w:val="20"/>
          <w:szCs w:val="20"/>
          <w:color w:val="auto"/>
        </w:rPr>
      </w:pPr>
      <w:r>
        <w:rPr>
          <w:rFonts w:ascii="Arial" w:cs="Arial" w:eastAsia="Arial" w:hAnsi="Arial"/>
          <w:sz w:val="16"/>
          <w:szCs w:val="16"/>
          <w:color w:val="auto"/>
        </w:rPr>
        <w:t>The estimated fair value of investments in debt instruments is determined primarily based on quotes or, in the absence of these, on the basis of discounted cash flows using market rates consistent with the credit quality and maturity of the debt instruments.</w:t>
      </w:r>
    </w:p>
    <w:p>
      <w:pPr>
        <w:spacing w:after="0" w:line="134" w:lineRule="exact"/>
        <w:rPr>
          <w:sz w:val="20"/>
          <w:szCs w:val="20"/>
          <w:color w:val="auto"/>
        </w:rPr>
      </w:pPr>
    </w:p>
    <w:p>
      <w:pPr>
        <w:ind w:left="426" w:right="80"/>
        <w:spacing w:after="0" w:line="236" w:lineRule="auto"/>
        <w:rPr>
          <w:sz w:val="20"/>
          <w:szCs w:val="20"/>
          <w:color w:val="auto"/>
        </w:rPr>
      </w:pPr>
      <w:r>
        <w:rPr>
          <w:rFonts w:ascii="Arial" w:cs="Arial" w:eastAsia="Arial" w:hAnsi="Arial"/>
          <w:sz w:val="16"/>
          <w:szCs w:val="16"/>
          <w:color w:val="auto"/>
        </w:rPr>
        <w:t>An impairment loss of investments in debt instruments is calculated using the expected loss approach and is recognized in the consolidated statement of comprehensive income, charged to the item “Net gain on securities” in the consolidated statement of income, in this sense, it does not reduce the carrying amount of the financial asset in the consolidated statement of financial position, which is maintained at fair value. The impairment loss recognized in the consolidated statement of comprehensive income is reclassified to the consolidated statement of income when the debt instrument is derecognized.</w:t>
      </w:r>
    </w:p>
    <w:p>
      <w:pPr>
        <w:spacing w:after="0" w:line="146" w:lineRule="exact"/>
        <w:rPr>
          <w:sz w:val="20"/>
          <w:szCs w:val="20"/>
          <w:color w:val="auto"/>
        </w:rPr>
      </w:pPr>
    </w:p>
    <w:p>
      <w:pPr>
        <w:ind w:left="426" w:right="40"/>
        <w:spacing w:after="0" w:line="255" w:lineRule="auto"/>
        <w:rPr>
          <w:sz w:val="20"/>
          <w:szCs w:val="20"/>
          <w:color w:val="auto"/>
        </w:rPr>
      </w:pPr>
      <w:r>
        <w:rPr>
          <w:rFonts w:ascii="Arial" w:cs="Arial" w:eastAsia="Arial" w:hAnsi="Arial"/>
          <w:sz w:val="16"/>
          <w:szCs w:val="16"/>
          <w:color w:val="auto"/>
        </w:rPr>
        <w:t>Investments in equity instruments, not for trading, designated upon initial recognition (equity instruments designated at the initial recognition) –</w:t>
      </w:r>
    </w:p>
    <w:p>
      <w:pPr>
        <w:spacing w:after="0" w:line="134" w:lineRule="exact"/>
        <w:rPr>
          <w:sz w:val="20"/>
          <w:szCs w:val="20"/>
          <w:color w:val="auto"/>
        </w:rPr>
      </w:pPr>
    </w:p>
    <w:p>
      <w:pPr>
        <w:ind w:left="426" w:right="280"/>
        <w:spacing w:after="0" w:line="255" w:lineRule="auto"/>
        <w:rPr>
          <w:sz w:val="20"/>
          <w:szCs w:val="20"/>
          <w:color w:val="auto"/>
        </w:rPr>
      </w:pPr>
      <w:r>
        <w:rPr>
          <w:rFonts w:ascii="Arial" w:cs="Arial" w:eastAsia="Arial" w:hAnsi="Arial"/>
          <w:sz w:val="16"/>
          <w:szCs w:val="16"/>
          <w:color w:val="auto"/>
        </w:rPr>
        <w:t>At initial recognition, the Group can make an irrevocable choice to classify equity instruments, which are not for trading, but held strategic purposes, as “At fair value through other comprehensive income”.</w:t>
      </w:r>
    </w:p>
    <w:p>
      <w:pPr>
        <w:spacing w:after="0" w:line="134" w:lineRule="exact"/>
        <w:rPr>
          <w:sz w:val="20"/>
          <w:szCs w:val="20"/>
          <w:color w:val="auto"/>
        </w:rPr>
      </w:pPr>
    </w:p>
    <w:p>
      <w:pPr>
        <w:ind w:left="426" w:right="60"/>
        <w:spacing w:after="0" w:line="238" w:lineRule="auto"/>
        <w:rPr>
          <w:sz w:val="20"/>
          <w:szCs w:val="20"/>
          <w:color w:val="auto"/>
        </w:rPr>
      </w:pPr>
      <w:r>
        <w:rPr>
          <w:rFonts w:ascii="Arial" w:cs="Arial" w:eastAsia="Arial" w:hAnsi="Arial"/>
          <w:sz w:val="16"/>
          <w:szCs w:val="16"/>
          <w:color w:val="auto"/>
        </w:rPr>
        <w:t>After initial recognition, the equity investments are measured at fair value, recording the unrealized gains and losses in the consolidated statement of comprehensive income, net of their corresponding income tax and non-controlling interest, until the investment is sold, whereupon the accumulated gain or loss is transferred to the item “Retained earnings” in the consolidated statement of changes in equity; in other words, they are not subsequently reclassified to the consolidated statement of income.</w:t>
      </w:r>
    </w:p>
    <w:p>
      <w:pPr>
        <w:spacing w:after="0" w:line="145" w:lineRule="exact"/>
        <w:rPr>
          <w:sz w:val="20"/>
          <w:szCs w:val="20"/>
          <w:color w:val="auto"/>
        </w:rPr>
      </w:pPr>
    </w:p>
    <w:p>
      <w:pPr>
        <w:ind w:left="426"/>
        <w:spacing w:after="0"/>
        <w:rPr>
          <w:sz w:val="20"/>
          <w:szCs w:val="20"/>
          <w:color w:val="auto"/>
        </w:rPr>
      </w:pPr>
      <w:r>
        <w:rPr>
          <w:rFonts w:ascii="Arial" w:cs="Arial" w:eastAsia="Arial" w:hAnsi="Arial"/>
          <w:sz w:val="16"/>
          <w:szCs w:val="16"/>
          <w:color w:val="auto"/>
        </w:rPr>
        <w:t>As a result, equity instruments classified in this category do not require a loss impairment evaluation.</w:t>
      </w:r>
    </w:p>
    <w:p>
      <w:pPr>
        <w:spacing w:after="0" w:line="166" w:lineRule="exact"/>
        <w:rPr>
          <w:sz w:val="20"/>
          <w:szCs w:val="20"/>
          <w:color w:val="auto"/>
        </w:rPr>
      </w:pPr>
    </w:p>
    <w:p>
      <w:pPr>
        <w:ind w:left="426" w:right="120"/>
        <w:spacing w:after="0" w:line="255" w:lineRule="auto"/>
        <w:rPr>
          <w:sz w:val="20"/>
          <w:szCs w:val="20"/>
          <w:color w:val="auto"/>
        </w:rPr>
      </w:pPr>
      <w:r>
        <w:rPr>
          <w:rFonts w:ascii="Arial" w:cs="Arial" w:eastAsia="Arial" w:hAnsi="Arial"/>
          <w:sz w:val="16"/>
          <w:szCs w:val="16"/>
          <w:color w:val="auto"/>
        </w:rPr>
        <w:t>Dividends are recognized when the right to collection has been established and are recorded in the “Interest and similar income” item in the consolidated statement of income.</w:t>
      </w:r>
    </w:p>
    <w:p>
      <w:pPr>
        <w:spacing w:after="0" w:line="134" w:lineRule="exact"/>
        <w:rPr>
          <w:sz w:val="20"/>
          <w:szCs w:val="20"/>
          <w:color w:val="auto"/>
        </w:rPr>
      </w:pPr>
    </w:p>
    <w:p>
      <w:pPr>
        <w:ind w:left="426" w:hanging="426"/>
        <w:spacing w:after="0"/>
        <w:tabs>
          <w:tab w:leader="none" w:pos="426"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Financial assets at fair value through profit or loss –</w:t>
      </w:r>
    </w:p>
    <w:p>
      <w:pPr>
        <w:spacing w:after="0" w:line="166" w:lineRule="exact"/>
        <w:rPr>
          <w:rFonts w:ascii="Arial" w:cs="Arial" w:eastAsia="Arial" w:hAnsi="Arial"/>
          <w:sz w:val="16"/>
          <w:szCs w:val="16"/>
          <w:color w:val="auto"/>
        </w:rPr>
      </w:pPr>
    </w:p>
    <w:p>
      <w:pPr>
        <w:ind w:left="426" w:right="160"/>
        <w:spacing w:after="0" w:line="255" w:lineRule="auto"/>
        <w:rPr>
          <w:rFonts w:ascii="Arial" w:cs="Arial" w:eastAsia="Arial" w:hAnsi="Arial"/>
          <w:sz w:val="16"/>
          <w:szCs w:val="16"/>
          <w:color w:val="auto"/>
        </w:rPr>
      </w:pPr>
      <w:r>
        <w:rPr>
          <w:rFonts w:ascii="Arial" w:cs="Arial" w:eastAsia="Arial" w:hAnsi="Arial"/>
          <w:sz w:val="16"/>
          <w:szCs w:val="16"/>
          <w:color w:val="auto"/>
        </w:rPr>
        <w:t>Financial assets must be classified and measured at fair value through profit or loss unless they are classified and measured at “Amortized cost” or “At fair value through other comprehensive income”.</w:t>
      </w:r>
    </w:p>
    <w:p>
      <w:pPr>
        <w:spacing w:after="0" w:line="281"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06"/>
          </w:cols>
          <w:pgMar w:left="1434" w:top="124" w:right="359" w:bottom="1440" w:gutter="0" w:footer="0" w:header="0"/>
        </w:sectPr>
      </w:pPr>
    </w:p>
    <w:bookmarkStart w:id="40" w:name="page41"/>
    <w:bookmarkEnd w:id="40"/>
    <w:p>
      <w:pPr>
        <w:jc w:val="both"/>
        <w:ind w:left="426" w:right="180"/>
        <w:spacing w:after="0" w:line="242" w:lineRule="auto"/>
        <w:rPr>
          <w:sz w:val="20"/>
          <w:szCs w:val="20"/>
          <w:color w:val="auto"/>
        </w:rPr>
      </w:pPr>
      <w:r>
        <w:rPr>
          <w:rFonts w:ascii="Arial" w:cs="Arial" w:eastAsia="Arial" w:hAnsi="Arial"/>
          <w:sz w:val="16"/>
          <w:szCs w:val="16"/>
          <w:color w:val="auto"/>
        </w:rPr>
        <w:t>The financial assets that the Group maintains in this category are: a) Investments in debt instruments, b) investments in equity instruments for trading purposes, c) financial assets designated at fair value with changes in results from the moment of their recognition. initial, and d) derivative financial instruments for trading purposes.</w:t>
      </w:r>
    </w:p>
    <w:p>
      <w:pPr>
        <w:spacing w:after="0" w:line="145" w:lineRule="exact"/>
        <w:rPr>
          <w:sz w:val="20"/>
          <w:szCs w:val="20"/>
          <w:color w:val="auto"/>
        </w:rPr>
      </w:pPr>
    </w:p>
    <w:p>
      <w:pPr>
        <w:ind w:left="426"/>
        <w:spacing w:after="0"/>
        <w:rPr>
          <w:sz w:val="20"/>
          <w:szCs w:val="20"/>
          <w:color w:val="auto"/>
        </w:rPr>
      </w:pPr>
      <w:r>
        <w:rPr>
          <w:rFonts w:ascii="Arial" w:cs="Arial" w:eastAsia="Arial" w:hAnsi="Arial"/>
          <w:sz w:val="16"/>
          <w:szCs w:val="16"/>
          <w:color w:val="auto"/>
        </w:rPr>
        <w:t>Debt instruments -</w:t>
      </w:r>
    </w:p>
    <w:p>
      <w:pPr>
        <w:spacing w:after="0" w:line="166" w:lineRule="exact"/>
        <w:rPr>
          <w:sz w:val="20"/>
          <w:szCs w:val="20"/>
          <w:color w:val="auto"/>
        </w:rPr>
      </w:pPr>
    </w:p>
    <w:p>
      <w:pPr>
        <w:ind w:left="426" w:right="20"/>
        <w:spacing w:after="0" w:line="255" w:lineRule="auto"/>
        <w:rPr>
          <w:sz w:val="20"/>
          <w:szCs w:val="20"/>
          <w:color w:val="auto"/>
        </w:rPr>
      </w:pPr>
      <w:r>
        <w:rPr>
          <w:rFonts w:ascii="Arial" w:cs="Arial" w:eastAsia="Arial" w:hAnsi="Arial"/>
          <w:sz w:val="16"/>
          <w:szCs w:val="16"/>
          <w:color w:val="auto"/>
        </w:rPr>
        <w:t>Such instruments are classified in this category because: a) they are held for trading purposes, or b) their cash flows are not solely payments of principal and interest.</w:t>
      </w:r>
    </w:p>
    <w:p>
      <w:pPr>
        <w:spacing w:after="0" w:line="134" w:lineRule="exact"/>
        <w:rPr>
          <w:sz w:val="20"/>
          <w:szCs w:val="20"/>
          <w:color w:val="auto"/>
        </w:rPr>
      </w:pPr>
    </w:p>
    <w:p>
      <w:pPr>
        <w:ind w:left="426"/>
        <w:spacing w:after="0" w:line="241" w:lineRule="auto"/>
        <w:rPr>
          <w:sz w:val="20"/>
          <w:szCs w:val="20"/>
          <w:color w:val="auto"/>
        </w:rPr>
      </w:pPr>
      <w:r>
        <w:rPr>
          <w:rFonts w:ascii="Arial" w:cs="Arial" w:eastAsia="Arial" w:hAnsi="Arial"/>
          <w:sz w:val="16"/>
          <w:szCs w:val="16"/>
          <w:color w:val="auto"/>
        </w:rPr>
        <w:t>After initial recognition, they are measured at fair value, recording the changes in the “Net gain on securities” item in the consolidated statement of income. The accrued interest is calculated using the contractual interest rate and is recorded in the “Interest and similar income” item in the consolidated statement of income.</w:t>
      </w:r>
    </w:p>
    <w:p>
      <w:pPr>
        <w:spacing w:after="0" w:line="146" w:lineRule="exact"/>
        <w:rPr>
          <w:sz w:val="20"/>
          <w:szCs w:val="20"/>
          <w:color w:val="auto"/>
        </w:rPr>
      </w:pPr>
    </w:p>
    <w:p>
      <w:pPr>
        <w:ind w:left="426"/>
        <w:spacing w:after="0"/>
        <w:rPr>
          <w:sz w:val="20"/>
          <w:szCs w:val="20"/>
          <w:color w:val="auto"/>
        </w:rPr>
      </w:pPr>
      <w:r>
        <w:rPr>
          <w:rFonts w:ascii="Arial" w:cs="Arial" w:eastAsia="Arial" w:hAnsi="Arial"/>
          <w:sz w:val="16"/>
          <w:szCs w:val="16"/>
          <w:color w:val="auto"/>
        </w:rPr>
        <w:t>Equity instruments -</w:t>
      </w:r>
    </w:p>
    <w:p>
      <w:pPr>
        <w:spacing w:after="0" w:line="166" w:lineRule="exact"/>
        <w:rPr>
          <w:sz w:val="20"/>
          <w:szCs w:val="20"/>
          <w:color w:val="auto"/>
        </w:rPr>
      </w:pPr>
    </w:p>
    <w:p>
      <w:pPr>
        <w:ind w:left="426" w:right="780"/>
        <w:spacing w:after="0" w:line="255" w:lineRule="auto"/>
        <w:rPr>
          <w:sz w:val="20"/>
          <w:szCs w:val="20"/>
          <w:color w:val="auto"/>
        </w:rPr>
      </w:pPr>
      <w:r>
        <w:rPr>
          <w:rFonts w:ascii="Arial" w:cs="Arial" w:eastAsia="Arial" w:hAnsi="Arial"/>
          <w:sz w:val="16"/>
          <w:szCs w:val="16"/>
          <w:color w:val="auto"/>
        </w:rPr>
        <w:t>Equity instruments are classified and measured at fair value through profit or loss, unless an irrevocable election is made, at initial recognition, to designate them at fair value through other comprehensive income.</w:t>
      </w:r>
    </w:p>
    <w:p>
      <w:pPr>
        <w:spacing w:after="0" w:line="134" w:lineRule="exact"/>
        <w:rPr>
          <w:sz w:val="20"/>
          <w:szCs w:val="20"/>
          <w:color w:val="auto"/>
        </w:rPr>
      </w:pPr>
    </w:p>
    <w:p>
      <w:pPr>
        <w:ind w:left="426" w:right="20"/>
        <w:spacing w:after="0" w:line="241" w:lineRule="auto"/>
        <w:rPr>
          <w:sz w:val="20"/>
          <w:szCs w:val="20"/>
          <w:color w:val="auto"/>
        </w:rPr>
      </w:pPr>
      <w:r>
        <w:rPr>
          <w:rFonts w:ascii="Arial" w:cs="Arial" w:eastAsia="Arial" w:hAnsi="Arial"/>
          <w:sz w:val="16"/>
          <w:szCs w:val="16"/>
          <w:color w:val="auto"/>
        </w:rPr>
        <w:t>After initial recognition, they are measured at fair value, recording the changes in the “Net gain on securities” item in the consolidated statement of income. Dividend income is recorded in the “Interest and similar income” item in the consolidated statement of income when the right to payment has been recognized.</w:t>
      </w:r>
    </w:p>
    <w:p>
      <w:pPr>
        <w:spacing w:after="0" w:line="146" w:lineRule="exact"/>
        <w:rPr>
          <w:sz w:val="20"/>
          <w:szCs w:val="20"/>
          <w:color w:val="auto"/>
        </w:rPr>
      </w:pPr>
    </w:p>
    <w:p>
      <w:pPr>
        <w:ind w:left="426"/>
        <w:spacing w:after="0"/>
        <w:rPr>
          <w:sz w:val="20"/>
          <w:szCs w:val="20"/>
          <w:color w:val="auto"/>
        </w:rPr>
      </w:pPr>
      <w:r>
        <w:rPr>
          <w:rFonts w:ascii="Arial" w:cs="Arial" w:eastAsia="Arial" w:hAnsi="Arial"/>
          <w:sz w:val="16"/>
          <w:szCs w:val="16"/>
          <w:color w:val="auto"/>
        </w:rPr>
        <w:t>Financial assets designated at fair value through profit or loss since the moment of initial recognition -</w:t>
      </w:r>
    </w:p>
    <w:p>
      <w:pPr>
        <w:spacing w:after="0" w:line="166" w:lineRule="exact"/>
        <w:rPr>
          <w:sz w:val="20"/>
          <w:szCs w:val="20"/>
          <w:color w:val="auto"/>
        </w:rPr>
      </w:pPr>
    </w:p>
    <w:p>
      <w:pPr>
        <w:ind w:left="426" w:right="20"/>
        <w:spacing w:after="0" w:line="241" w:lineRule="auto"/>
        <w:rPr>
          <w:sz w:val="20"/>
          <w:szCs w:val="20"/>
          <w:color w:val="auto"/>
        </w:rPr>
      </w:pPr>
      <w:r>
        <w:rPr>
          <w:rFonts w:ascii="Arial" w:cs="Arial" w:eastAsia="Arial" w:hAnsi="Arial"/>
          <w:sz w:val="16"/>
          <w:szCs w:val="16"/>
          <w:color w:val="auto"/>
        </w:rPr>
        <w:t>At the time of initial recognition, Management may irrevocably designate financial assets as measured at fair value through profit or loss if doing so eliminates or significantly reduces a measurement or recognition inconsistency that would otherwise arise from the measurement of the assets or liabilities or the recognition of their profits and losses on different bases.</w:t>
      </w:r>
    </w:p>
    <w:p>
      <w:pPr>
        <w:spacing w:after="0" w:line="146" w:lineRule="exact"/>
        <w:rPr>
          <w:sz w:val="20"/>
          <w:szCs w:val="20"/>
          <w:color w:val="auto"/>
        </w:rPr>
      </w:pPr>
    </w:p>
    <w:p>
      <w:pPr>
        <w:ind w:left="426"/>
        <w:spacing w:after="0"/>
        <w:rPr>
          <w:sz w:val="20"/>
          <w:szCs w:val="20"/>
          <w:color w:val="auto"/>
        </w:rPr>
      </w:pPr>
      <w:r>
        <w:rPr>
          <w:rFonts w:ascii="Arial" w:cs="Arial" w:eastAsia="Arial" w:hAnsi="Arial"/>
          <w:sz w:val="16"/>
          <w:szCs w:val="16"/>
          <w:color w:val="auto"/>
        </w:rPr>
        <w:t>After their initial recognition, they are measured at fair value, recording the changes in the consolidated statement of income.</w:t>
      </w:r>
    </w:p>
    <w:p>
      <w:pPr>
        <w:spacing w:after="0" w:line="166" w:lineRule="exact"/>
        <w:rPr>
          <w:sz w:val="20"/>
          <w:szCs w:val="20"/>
          <w:color w:val="auto"/>
        </w:rPr>
      </w:pPr>
    </w:p>
    <w:p>
      <w:pPr>
        <w:ind w:left="6" w:right="20"/>
        <w:spacing w:after="0" w:line="255" w:lineRule="auto"/>
        <w:rPr>
          <w:sz w:val="20"/>
          <w:szCs w:val="20"/>
          <w:color w:val="auto"/>
        </w:rPr>
      </w:pPr>
      <w:r>
        <w:rPr>
          <w:rFonts w:ascii="Arial" w:cs="Arial" w:eastAsia="Arial" w:hAnsi="Arial"/>
          <w:sz w:val="16"/>
          <w:szCs w:val="16"/>
          <w:color w:val="auto"/>
        </w:rPr>
        <w:t>As of December 31, 2024 and 2023, the Group classified financial liabilities at initial recognition as measured at amortized cost, except for financial liabilities at fair value through profit or loss. These liabilities include derivatives that are measured at fair value.</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interest incurred is accrued in the “Interest and similar income” item in the consolidated statement of income.</w:t>
      </w:r>
    </w:p>
    <w:p>
      <w:pPr>
        <w:spacing w:after="0" w:line="166" w:lineRule="exact"/>
        <w:rPr>
          <w:sz w:val="20"/>
          <w:szCs w:val="20"/>
          <w:color w:val="auto"/>
        </w:rPr>
      </w:pPr>
    </w:p>
    <w:p>
      <w:pPr>
        <w:ind w:left="6" w:right="40"/>
        <w:spacing w:after="0" w:line="255" w:lineRule="auto"/>
        <w:rPr>
          <w:sz w:val="20"/>
          <w:szCs w:val="20"/>
          <w:color w:val="auto"/>
        </w:rPr>
      </w:pPr>
      <w:r>
        <w:rPr>
          <w:rFonts w:ascii="Arial" w:cs="Arial" w:eastAsia="Arial" w:hAnsi="Arial"/>
          <w:sz w:val="16"/>
          <w:szCs w:val="16"/>
          <w:color w:val="auto"/>
        </w:rPr>
        <w:t>Likewise, at initial recognition, Management may irrevocably designate financial liabilities as measured at fair value through profit or loss when one of the following criteria is met:</w:t>
      </w:r>
    </w:p>
    <w:p>
      <w:pPr>
        <w:spacing w:after="0" w:line="134" w:lineRule="exact"/>
        <w:rPr>
          <w:sz w:val="20"/>
          <w:szCs w:val="20"/>
          <w:color w:val="auto"/>
        </w:rPr>
      </w:pPr>
    </w:p>
    <w:p>
      <w:pPr>
        <w:ind w:left="426" w:right="620" w:hanging="426"/>
        <w:spacing w:after="0" w:line="237" w:lineRule="auto"/>
        <w:tabs>
          <w:tab w:leader="none" w:pos="426"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measurement inconsistency that would otherwise arise when using different criteria to measure assets or liabilities is eliminated or significantly reduced; or</w:t>
      </w:r>
    </w:p>
    <w:p>
      <w:pPr>
        <w:ind w:left="426" w:right="200" w:hanging="426"/>
        <w:spacing w:after="0" w:line="228" w:lineRule="auto"/>
        <w:tabs>
          <w:tab w:leader="none" w:pos="42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They are part of a group of financial liabilities, which are managed, and their performance is evaluated on a fair value basis, in accordance with a documented investment or risk management strategy; or</w:t>
      </w:r>
    </w:p>
    <w:p>
      <w:pPr>
        <w:ind w:left="426" w:hanging="426"/>
        <w:spacing w:after="0"/>
        <w:tabs>
          <w:tab w:leader="none" w:pos="42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financial liability contains one or more embedded derivatives that significantly modify the otherwise required cash flows.</w:t>
      </w:r>
    </w:p>
    <w:p>
      <w:pPr>
        <w:spacing w:after="0" w:line="299"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06"/>
          </w:cols>
          <w:pgMar w:left="1434" w:top="124" w:right="359" w:bottom="1440" w:gutter="0" w:footer="0" w:header="0"/>
        </w:sectPr>
      </w:pPr>
    </w:p>
    <w:bookmarkStart w:id="41" w:name="page42"/>
    <w:bookmarkEnd w:id="41"/>
    <w:p>
      <w:pPr>
        <w:ind w:left="426" w:hanging="426"/>
        <w:spacing w:after="0"/>
        <w:tabs>
          <w:tab w:leader="none" w:pos="426"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Reclassification of financial assets and liabilities -</w:t>
      </w:r>
    </w:p>
    <w:p>
      <w:pPr>
        <w:spacing w:after="0" w:line="167" w:lineRule="exact"/>
        <w:rPr>
          <w:rFonts w:ascii="Arial" w:cs="Arial" w:eastAsia="Arial" w:hAnsi="Arial"/>
          <w:sz w:val="16"/>
          <w:szCs w:val="16"/>
          <w:color w:val="auto"/>
        </w:rPr>
      </w:pPr>
    </w:p>
    <w:p>
      <w:pPr>
        <w:ind w:left="406" w:right="40"/>
        <w:spacing w:after="0" w:line="238" w:lineRule="auto"/>
        <w:rPr>
          <w:rFonts w:ascii="Arial" w:cs="Arial" w:eastAsia="Arial" w:hAnsi="Arial"/>
          <w:sz w:val="16"/>
          <w:szCs w:val="16"/>
          <w:color w:val="auto"/>
        </w:rPr>
      </w:pPr>
      <w:r>
        <w:rPr>
          <w:rFonts w:ascii="Arial" w:cs="Arial" w:eastAsia="Arial" w:hAnsi="Arial"/>
          <w:sz w:val="16"/>
          <w:szCs w:val="16"/>
          <w:color w:val="auto"/>
        </w:rPr>
        <w:t>The reclassification of financial assets will take place whenever the business model for managing the financial assets changes. It is expected that this change will be very infrequent. These changes are determined by approval of the Group's management as a result of external or internal changes, which must be significant to the Group's operations and demonstrable to third parties. Financial liabilities are never reclassified.</w:t>
      </w:r>
    </w:p>
    <w:p>
      <w:pPr>
        <w:spacing w:after="0" w:line="145" w:lineRule="exact"/>
        <w:rPr>
          <w:rFonts w:ascii="Arial" w:cs="Arial" w:eastAsia="Arial" w:hAnsi="Arial"/>
          <w:sz w:val="16"/>
          <w:szCs w:val="16"/>
          <w:color w:val="auto"/>
        </w:rPr>
      </w:pPr>
    </w:p>
    <w:p>
      <w:pPr>
        <w:ind w:left="406" w:right="240"/>
        <w:spacing w:after="0" w:line="241" w:lineRule="auto"/>
        <w:rPr>
          <w:rFonts w:ascii="Arial" w:cs="Arial" w:eastAsia="Arial" w:hAnsi="Arial"/>
          <w:sz w:val="16"/>
          <w:szCs w:val="16"/>
          <w:color w:val="auto"/>
        </w:rPr>
      </w:pPr>
      <w:r>
        <w:rPr>
          <w:rFonts w:ascii="Arial" w:cs="Arial" w:eastAsia="Arial" w:hAnsi="Arial"/>
          <w:sz w:val="16"/>
          <w:szCs w:val="16"/>
          <w:color w:val="auto"/>
        </w:rPr>
        <w:t>When the Group changes its business model for managing financial assets, it will prospectively reclassify all affected financial assets from the date of reclassification. The Group will not restate previously recognized gains, losses, or interest (including gains or losses on impairment) recognized.</w:t>
      </w:r>
    </w:p>
    <w:p>
      <w:pPr>
        <w:spacing w:after="0" w:line="145" w:lineRule="exact"/>
        <w:rPr>
          <w:rFonts w:ascii="Arial" w:cs="Arial" w:eastAsia="Arial" w:hAnsi="Arial"/>
          <w:sz w:val="16"/>
          <w:szCs w:val="16"/>
          <w:color w:val="auto"/>
        </w:rPr>
      </w:pPr>
    </w:p>
    <w:p>
      <w:pPr>
        <w:ind w:left="426"/>
        <w:spacing w:after="0"/>
        <w:rPr>
          <w:rFonts w:ascii="Arial" w:cs="Arial" w:eastAsia="Arial" w:hAnsi="Arial"/>
          <w:sz w:val="16"/>
          <w:szCs w:val="16"/>
          <w:color w:val="auto"/>
        </w:rPr>
      </w:pPr>
      <w:r>
        <w:rPr>
          <w:rFonts w:ascii="Arial" w:cs="Arial" w:eastAsia="Arial" w:hAnsi="Arial"/>
          <w:sz w:val="16"/>
          <w:szCs w:val="16"/>
          <w:color w:val="202124"/>
        </w:rPr>
        <w:t>If the Group reclassifies:</w:t>
      </w:r>
    </w:p>
    <w:p>
      <w:pPr>
        <w:spacing w:after="0" w:line="166" w:lineRule="exact"/>
        <w:rPr>
          <w:rFonts w:ascii="Arial" w:cs="Arial" w:eastAsia="Arial" w:hAnsi="Arial"/>
          <w:sz w:val="16"/>
          <w:szCs w:val="16"/>
          <w:color w:val="auto"/>
        </w:rPr>
      </w:pPr>
    </w:p>
    <w:p>
      <w:pPr>
        <w:ind w:left="706" w:hanging="286"/>
        <w:spacing w:after="0" w:line="241" w:lineRule="auto"/>
        <w:tabs>
          <w:tab w:leader="none" w:pos="706" w:val="left"/>
        </w:tabs>
        <w:numPr>
          <w:ilvl w:val="1"/>
          <w:numId w:val="44"/>
        </w:numPr>
        <w:rPr>
          <w:rFonts w:ascii="Arial" w:cs="Arial" w:eastAsia="Arial" w:hAnsi="Arial"/>
          <w:sz w:val="16"/>
          <w:szCs w:val="16"/>
          <w:color w:val="202124"/>
        </w:rPr>
      </w:pPr>
      <w:r>
        <w:rPr>
          <w:rFonts w:ascii="Arial" w:cs="Arial" w:eastAsia="Arial" w:hAnsi="Arial"/>
          <w:sz w:val="16"/>
          <w:szCs w:val="16"/>
          <w:color w:val="202124"/>
        </w:rPr>
        <w:t>A financial asset from the amortized cost measurement category to the fair value through profit or loss category: its fair value will be measured at the reclassification date. Any gain or loss arising from differences between the previous amortized cost of the financial asset and the fair value will be recognized in profit or loss for the period.</w:t>
      </w:r>
    </w:p>
    <w:p>
      <w:pPr>
        <w:spacing w:after="0" w:line="145" w:lineRule="exact"/>
        <w:rPr>
          <w:rFonts w:ascii="Arial" w:cs="Arial" w:eastAsia="Arial" w:hAnsi="Arial"/>
          <w:sz w:val="16"/>
          <w:szCs w:val="16"/>
          <w:color w:val="202124"/>
        </w:rPr>
      </w:pPr>
    </w:p>
    <w:p>
      <w:pPr>
        <w:ind w:left="706" w:right="440" w:hanging="286"/>
        <w:spacing w:after="0" w:line="255" w:lineRule="auto"/>
        <w:tabs>
          <w:tab w:leader="none" w:pos="706" w:val="left"/>
        </w:tabs>
        <w:numPr>
          <w:ilvl w:val="1"/>
          <w:numId w:val="44"/>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profit or loss measurement category to the amortized cost category: its fair value at the reclassification date becomes its new gross carrying amount.</w:t>
      </w:r>
    </w:p>
    <w:p>
      <w:pPr>
        <w:spacing w:after="0" w:line="134" w:lineRule="exact"/>
        <w:rPr>
          <w:rFonts w:ascii="Arial" w:cs="Arial" w:eastAsia="Arial" w:hAnsi="Arial"/>
          <w:sz w:val="16"/>
          <w:szCs w:val="16"/>
          <w:color w:val="202124"/>
        </w:rPr>
      </w:pPr>
    </w:p>
    <w:p>
      <w:pPr>
        <w:jc w:val="both"/>
        <w:ind w:left="706" w:right="140" w:hanging="286"/>
        <w:spacing w:after="0" w:line="238" w:lineRule="auto"/>
        <w:tabs>
          <w:tab w:leader="none" w:pos="706" w:val="left"/>
        </w:tabs>
        <w:numPr>
          <w:ilvl w:val="1"/>
          <w:numId w:val="44"/>
        </w:numPr>
        <w:rPr>
          <w:rFonts w:ascii="Arial" w:cs="Arial" w:eastAsia="Arial" w:hAnsi="Arial"/>
          <w:sz w:val="16"/>
          <w:szCs w:val="16"/>
          <w:color w:val="202124"/>
        </w:rPr>
      </w:pPr>
      <w:r>
        <w:rPr>
          <w:rFonts w:ascii="Arial" w:cs="Arial" w:eastAsia="Arial" w:hAnsi="Arial"/>
          <w:sz w:val="16"/>
          <w:szCs w:val="16"/>
          <w:color w:val="202124"/>
        </w:rPr>
        <w:t>A financial asset from the amortized cost measurement category to the fair value through other comprehensive income category: its fair value will be measured at the reclassification date. Any gain or loss arising from differences between the previous amortized cost of the financial asset and the fair value will be recognized in other comprehensive income. The effective interest rate and the measurement of expected credit losses will not be adjusted as a result of reclassification.</w:t>
      </w:r>
    </w:p>
    <w:p>
      <w:pPr>
        <w:spacing w:after="0" w:line="145" w:lineRule="exact"/>
        <w:rPr>
          <w:rFonts w:ascii="Arial" w:cs="Arial" w:eastAsia="Arial" w:hAnsi="Arial"/>
          <w:sz w:val="16"/>
          <w:szCs w:val="16"/>
          <w:color w:val="202124"/>
        </w:rPr>
      </w:pPr>
    </w:p>
    <w:p>
      <w:pPr>
        <w:ind w:left="706" w:right="280" w:hanging="286"/>
        <w:spacing w:after="0" w:line="236" w:lineRule="auto"/>
        <w:tabs>
          <w:tab w:leader="none" w:pos="706" w:val="left"/>
        </w:tabs>
        <w:numPr>
          <w:ilvl w:val="1"/>
          <w:numId w:val="44"/>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other comprehensive income measurement category to the amortized cost category, the financial asset will be reclassified at its fair value at the reclassification date. However, previously recognized accumulated gains or losses in other comprehensive income will be removed from equity and adjusted against the fair value of the financial asset at the reclassification date. As a result, the financial asset will be measured at the reclassification date as if it had always been measured at amortized cost. This adjustment affects other comprehensive income but not profit or loss for the period.</w:t>
      </w:r>
    </w:p>
    <w:p>
      <w:pPr>
        <w:spacing w:after="0" w:line="145" w:lineRule="exact"/>
        <w:rPr>
          <w:rFonts w:ascii="Arial" w:cs="Arial" w:eastAsia="Arial" w:hAnsi="Arial"/>
          <w:sz w:val="16"/>
          <w:szCs w:val="16"/>
          <w:color w:val="202124"/>
        </w:rPr>
      </w:pPr>
    </w:p>
    <w:p>
      <w:pPr>
        <w:ind w:left="706" w:right="200" w:hanging="286"/>
        <w:spacing w:after="0" w:line="255" w:lineRule="auto"/>
        <w:tabs>
          <w:tab w:leader="none" w:pos="706" w:val="left"/>
        </w:tabs>
        <w:numPr>
          <w:ilvl w:val="1"/>
          <w:numId w:val="44"/>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profit or loss measurement category to the fair value through other comprehensive income category, the financial asset will continue to be measured at fair value.</w:t>
      </w:r>
    </w:p>
    <w:p>
      <w:pPr>
        <w:spacing w:after="0" w:line="134" w:lineRule="exact"/>
        <w:rPr>
          <w:rFonts w:ascii="Arial" w:cs="Arial" w:eastAsia="Arial" w:hAnsi="Arial"/>
          <w:sz w:val="16"/>
          <w:szCs w:val="16"/>
          <w:color w:val="202124"/>
        </w:rPr>
      </w:pPr>
    </w:p>
    <w:p>
      <w:pPr>
        <w:ind w:left="706" w:right="200" w:hanging="286"/>
        <w:spacing w:after="0" w:line="241" w:lineRule="auto"/>
        <w:tabs>
          <w:tab w:leader="none" w:pos="706" w:val="left"/>
        </w:tabs>
        <w:numPr>
          <w:ilvl w:val="1"/>
          <w:numId w:val="44"/>
        </w:numPr>
        <w:rPr>
          <w:rFonts w:ascii="Arial" w:cs="Arial" w:eastAsia="Arial" w:hAnsi="Arial"/>
          <w:sz w:val="16"/>
          <w:szCs w:val="16"/>
          <w:color w:val="202124"/>
        </w:rPr>
      </w:pPr>
      <w:r>
        <w:rPr>
          <w:rFonts w:ascii="Arial" w:cs="Arial" w:eastAsia="Arial" w:hAnsi="Arial"/>
          <w:sz w:val="16"/>
          <w:szCs w:val="16"/>
          <w:color w:val="202124"/>
        </w:rPr>
        <w:t>A financial asset from the fair value through other comprehensive income measurement category to the fair value through profit or loss category, the financial asset will continue to be measured at fair value. The previously recognized accumulated gain or loss in other comprehensive income will be reclassified from equity to profit or loss for the period.</w:t>
      </w:r>
    </w:p>
    <w:p>
      <w:pPr>
        <w:spacing w:after="0" w:line="304"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26"/>
          </w:cols>
          <w:pgMar w:left="1434" w:top="124" w:right="339" w:bottom="1440" w:gutter="0" w:footer="0" w:header="0"/>
        </w:sectPr>
      </w:pPr>
    </w:p>
    <w:bookmarkStart w:id="42" w:name="page43"/>
    <w:bookmarkEnd w:id="42"/>
    <w:p>
      <w:pPr>
        <w:ind w:left="546" w:right="6720" w:hanging="546"/>
        <w:spacing w:after="0" w:line="457" w:lineRule="auto"/>
        <w:tabs>
          <w:tab w:leader="none" w:pos="5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De-recognition of financial assets and liabilities - Financial assets:</w:t>
      </w:r>
    </w:p>
    <w:p>
      <w:pPr>
        <w:ind w:left="546"/>
        <w:spacing w:after="0" w:line="236" w:lineRule="auto"/>
        <w:rPr>
          <w:rFonts w:ascii="Arial" w:cs="Arial" w:eastAsia="Arial" w:hAnsi="Arial"/>
          <w:sz w:val="16"/>
          <w:szCs w:val="16"/>
          <w:color w:val="auto"/>
        </w:rPr>
      </w:pPr>
      <w:r>
        <w:rPr>
          <w:rFonts w:ascii="Arial" w:cs="Arial" w:eastAsia="Arial" w:hAnsi="Arial"/>
          <w:sz w:val="16"/>
          <w:szCs w:val="16"/>
          <w:color w:val="auto"/>
        </w:rPr>
        <w:t>A financial asset (or, where applicable, a portion of a financial asset or a portion of a group of similar financial assets) is derecognized when: (i) the rights to receive cash flows from the asset have expired; or (ii) the Group has transferred its rights to receive cash flows from the asset or has assumed an obligation to pay the received cash flows in full immediately to a third party under a pass-through arrangement; and the Group has also transferred substantially all the risks and rewards of the asset, or has neither transferred nor retained substantially all the risks and rewards of the asset but has transferred control of the asset.</w:t>
      </w:r>
    </w:p>
    <w:p>
      <w:pPr>
        <w:spacing w:after="0" w:line="145" w:lineRule="exact"/>
        <w:rPr>
          <w:rFonts w:ascii="Arial" w:cs="Arial" w:eastAsia="Arial" w:hAnsi="Arial"/>
          <w:sz w:val="16"/>
          <w:szCs w:val="16"/>
          <w:color w:val="auto"/>
        </w:rPr>
      </w:pPr>
    </w:p>
    <w:p>
      <w:pPr>
        <w:ind w:left="546"/>
        <w:spacing w:after="0" w:line="238" w:lineRule="auto"/>
        <w:rPr>
          <w:rFonts w:ascii="Arial" w:cs="Arial" w:eastAsia="Arial" w:hAnsi="Arial"/>
          <w:sz w:val="16"/>
          <w:szCs w:val="16"/>
          <w:color w:val="auto"/>
        </w:rPr>
      </w:pPr>
      <w:r>
        <w:rPr>
          <w:rFonts w:ascii="Arial" w:cs="Arial" w:eastAsia="Arial" w:hAnsi="Arial"/>
          <w:sz w:val="16"/>
          <w:szCs w:val="16"/>
          <w:color w:val="auto"/>
        </w:rPr>
        <w:t>When contractual rights to receive cash flows from the financial asset have been transferred, or a transfer agreement has been entered into, the Group assesses whether it has retained, and to what extent, the risks and benefits inherent in ownership of the asset. When the Group has neither transferred nor retained substantially all risks and benefits inherent in ownership of the asset, nor transferred control of the asset, the Group continues to recognize the transferred asset to the extent of its continued involvement with the asset.</w:t>
      </w:r>
    </w:p>
    <w:p>
      <w:pPr>
        <w:spacing w:after="0" w:line="145" w:lineRule="exact"/>
        <w:rPr>
          <w:rFonts w:ascii="Arial" w:cs="Arial" w:eastAsia="Arial" w:hAnsi="Arial"/>
          <w:sz w:val="16"/>
          <w:szCs w:val="16"/>
          <w:color w:val="auto"/>
        </w:rPr>
      </w:pPr>
    </w:p>
    <w:p>
      <w:pPr>
        <w:ind w:left="546" w:right="80"/>
        <w:spacing w:after="0" w:line="255" w:lineRule="auto"/>
        <w:rPr>
          <w:rFonts w:ascii="Arial" w:cs="Arial" w:eastAsia="Arial" w:hAnsi="Arial"/>
          <w:sz w:val="16"/>
          <w:szCs w:val="16"/>
          <w:color w:val="auto"/>
        </w:rPr>
      </w:pPr>
      <w:r>
        <w:rPr>
          <w:rFonts w:ascii="Arial" w:cs="Arial" w:eastAsia="Arial" w:hAnsi="Arial"/>
          <w:sz w:val="16"/>
          <w:szCs w:val="16"/>
          <w:color w:val="auto"/>
        </w:rPr>
        <w:t>In that case, the Group also recognizes the related liability. The transferred asset and related liability are measured in such a way as to reflect the rights and obligations that the Group has retained.</w:t>
      </w:r>
    </w:p>
    <w:p>
      <w:pPr>
        <w:spacing w:after="0" w:line="134" w:lineRule="exact"/>
        <w:rPr>
          <w:rFonts w:ascii="Arial" w:cs="Arial" w:eastAsia="Arial" w:hAnsi="Arial"/>
          <w:sz w:val="16"/>
          <w:szCs w:val="16"/>
          <w:color w:val="auto"/>
        </w:rPr>
      </w:pPr>
    </w:p>
    <w:p>
      <w:pPr>
        <w:ind w:left="546"/>
        <w:spacing w:after="0"/>
        <w:rPr>
          <w:rFonts w:ascii="Arial" w:cs="Arial" w:eastAsia="Arial" w:hAnsi="Arial"/>
          <w:sz w:val="16"/>
          <w:szCs w:val="16"/>
          <w:color w:val="auto"/>
        </w:rPr>
      </w:pPr>
      <w:r>
        <w:rPr>
          <w:rFonts w:ascii="Arial" w:cs="Arial" w:eastAsia="Arial" w:hAnsi="Arial"/>
          <w:sz w:val="14"/>
          <w:szCs w:val="14"/>
          <w:color w:val="auto"/>
        </w:rPr>
        <w:t>Continued involvement in the form of a guarantee over the transferred asset is measured as the lower of (i) the carrying amount of the asset, and</w:t>
      </w:r>
    </w:p>
    <w:p>
      <w:pPr>
        <w:spacing w:after="0" w:line="28" w:lineRule="exact"/>
        <w:rPr>
          <w:sz w:val="20"/>
          <w:szCs w:val="20"/>
          <w:color w:val="auto"/>
        </w:rPr>
      </w:pPr>
    </w:p>
    <w:p>
      <w:pPr>
        <w:ind w:left="546" w:right="4360" w:firstLine="5"/>
        <w:spacing w:after="0" w:line="238" w:lineRule="auto"/>
        <w:tabs>
          <w:tab w:leader="none" w:pos="7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maximum consideration received that the Group would be required to repay. Financial liabilities:</w:t>
      </w:r>
    </w:p>
    <w:p>
      <w:pPr>
        <w:spacing w:after="0" w:line="146" w:lineRule="exact"/>
        <w:rPr>
          <w:sz w:val="20"/>
          <w:szCs w:val="20"/>
          <w:color w:val="auto"/>
        </w:rPr>
      </w:pPr>
    </w:p>
    <w:p>
      <w:pPr>
        <w:ind w:left="546"/>
        <w:spacing w:after="0" w:line="236" w:lineRule="auto"/>
        <w:rPr>
          <w:sz w:val="20"/>
          <w:szCs w:val="20"/>
          <w:color w:val="auto"/>
        </w:rPr>
      </w:pPr>
      <w:r>
        <w:rPr>
          <w:rFonts w:ascii="Arial" w:cs="Arial" w:eastAsia="Arial" w:hAnsi="Arial"/>
          <w:sz w:val="16"/>
          <w:szCs w:val="16"/>
          <w:color w:val="auto"/>
        </w:rPr>
        <w:t>A financial liability is derecognized when the obligation to pay is discharged, cancelled, or expires. When an existing financial liability is exchanged for another from the same borrower under significantly different terms (fails the 10.0 percent test established in IFRS 9), or the terms are substantially modified, such exchange or modification is treated as a derecognition of the original liability and a new liability is recognized, with the difference between the carrying amount of the initial financial liability and the consideration paid recognized in the consolidated statement of comprehensive income.</w:t>
      </w:r>
    </w:p>
    <w:p>
      <w:pPr>
        <w:spacing w:after="0" w:line="146" w:lineRule="exact"/>
        <w:rPr>
          <w:sz w:val="20"/>
          <w:szCs w:val="20"/>
          <w:color w:val="auto"/>
        </w:rPr>
      </w:pPr>
    </w:p>
    <w:p>
      <w:pPr>
        <w:ind w:left="566" w:hanging="566"/>
        <w:spacing w:after="0"/>
        <w:tabs>
          <w:tab w:leader="none" w:pos="5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Offsetting financial instruments -</w:t>
      </w:r>
    </w:p>
    <w:p>
      <w:pPr>
        <w:spacing w:after="0" w:line="166" w:lineRule="exact"/>
        <w:rPr>
          <w:rFonts w:ascii="Arial" w:cs="Arial" w:eastAsia="Arial" w:hAnsi="Arial"/>
          <w:sz w:val="16"/>
          <w:szCs w:val="16"/>
          <w:color w:val="auto"/>
        </w:rPr>
      </w:pPr>
    </w:p>
    <w:p>
      <w:pPr>
        <w:ind w:left="546" w:right="20"/>
        <w:spacing w:after="0" w:line="241" w:lineRule="auto"/>
        <w:rPr>
          <w:rFonts w:ascii="Arial" w:cs="Arial" w:eastAsia="Arial" w:hAnsi="Arial"/>
          <w:sz w:val="16"/>
          <w:szCs w:val="16"/>
          <w:color w:val="auto"/>
        </w:rPr>
      </w:pPr>
      <w:r>
        <w:rPr>
          <w:rFonts w:ascii="Arial" w:cs="Arial" w:eastAsia="Arial" w:hAnsi="Arial"/>
          <w:sz w:val="16"/>
          <w:szCs w:val="16"/>
          <w:color w:val="auto"/>
        </w:rPr>
        <w:t>Financial assets and liabilities are offset and the net amount is presented in the consolidated statement of financial position when there is a legally enforceable right to offset them and the Management intends to settle them on a net basis or to realize the asset and settle the liability simultaneously.</w:t>
      </w:r>
    </w:p>
    <w:p>
      <w:pPr>
        <w:spacing w:after="0" w:line="145" w:lineRule="exact"/>
        <w:rPr>
          <w:rFonts w:ascii="Arial" w:cs="Arial" w:eastAsia="Arial" w:hAnsi="Arial"/>
          <w:sz w:val="16"/>
          <w:szCs w:val="16"/>
          <w:color w:val="auto"/>
        </w:rPr>
      </w:pPr>
    </w:p>
    <w:p>
      <w:pPr>
        <w:ind w:left="566" w:hanging="566"/>
        <w:spacing w:after="0"/>
        <w:tabs>
          <w:tab w:leader="none" w:pos="5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Impairment of financial assets -</w:t>
      </w:r>
    </w:p>
    <w:p>
      <w:pPr>
        <w:spacing w:after="0" w:line="166" w:lineRule="exact"/>
        <w:rPr>
          <w:rFonts w:ascii="Arial" w:cs="Arial" w:eastAsia="Arial" w:hAnsi="Arial"/>
          <w:sz w:val="16"/>
          <w:szCs w:val="16"/>
          <w:color w:val="auto"/>
        </w:rPr>
      </w:pPr>
    </w:p>
    <w:p>
      <w:pPr>
        <w:ind w:left="566"/>
        <w:spacing w:after="0" w:line="255" w:lineRule="auto"/>
        <w:rPr>
          <w:rFonts w:ascii="Arial" w:cs="Arial" w:eastAsia="Arial" w:hAnsi="Arial"/>
          <w:sz w:val="16"/>
          <w:szCs w:val="16"/>
          <w:color w:val="auto"/>
        </w:rPr>
      </w:pPr>
      <w:r>
        <w:rPr>
          <w:rFonts w:ascii="Arial" w:cs="Arial" w:eastAsia="Arial" w:hAnsi="Arial"/>
          <w:sz w:val="16"/>
          <w:szCs w:val="16"/>
          <w:color w:val="auto"/>
        </w:rPr>
        <w:t>As of December 31, 2024, and December 31, 2023, the Group applies a three-stage approach to measure the provision for credit losses, using an expected credit loss impairment model as set out in IFRS 9, for the following categories:</w:t>
      </w:r>
    </w:p>
    <w:p>
      <w:pPr>
        <w:spacing w:after="0" w:line="134" w:lineRule="exact"/>
        <w:rPr>
          <w:rFonts w:ascii="Arial" w:cs="Arial" w:eastAsia="Arial" w:hAnsi="Arial"/>
          <w:sz w:val="16"/>
          <w:szCs w:val="16"/>
          <w:color w:val="auto"/>
        </w:rPr>
      </w:pPr>
    </w:p>
    <w:p>
      <w:pPr>
        <w:ind w:left="766" w:hanging="206"/>
        <w:spacing w:after="0"/>
        <w:tabs>
          <w:tab w:leader="none" w:pos="766" w:val="left"/>
        </w:tabs>
        <w:numPr>
          <w:ilvl w:val="1"/>
          <w:numId w:val="47"/>
        </w:numPr>
        <w:rPr>
          <w:rFonts w:ascii="Arial" w:cs="Arial" w:eastAsia="Arial" w:hAnsi="Arial"/>
          <w:sz w:val="16"/>
          <w:szCs w:val="16"/>
          <w:color w:val="auto"/>
        </w:rPr>
      </w:pPr>
      <w:r>
        <w:rPr>
          <w:rFonts w:ascii="Arial" w:cs="Arial" w:eastAsia="Arial" w:hAnsi="Arial"/>
          <w:sz w:val="16"/>
          <w:szCs w:val="16"/>
          <w:color w:val="auto"/>
        </w:rPr>
        <w:t>Financial assets at amortized cost.</w:t>
      </w:r>
    </w:p>
    <w:p>
      <w:pPr>
        <w:spacing w:after="0" w:line="5" w:lineRule="exact"/>
        <w:rPr>
          <w:rFonts w:ascii="Arial" w:cs="Arial" w:eastAsia="Arial" w:hAnsi="Arial"/>
          <w:sz w:val="16"/>
          <w:szCs w:val="16"/>
          <w:color w:val="auto"/>
        </w:rPr>
      </w:pPr>
    </w:p>
    <w:p>
      <w:pPr>
        <w:ind w:left="766" w:hanging="206"/>
        <w:spacing w:after="0" w:line="228" w:lineRule="auto"/>
        <w:tabs>
          <w:tab w:leader="none" w:pos="766"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Debt instruments classified as investments at fair value through other comprehensive income.</w:t>
      </w:r>
    </w:p>
    <w:p>
      <w:pPr>
        <w:ind w:left="766" w:hanging="206"/>
        <w:spacing w:after="0"/>
        <w:tabs>
          <w:tab w:leader="none" w:pos="766"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Indirect loans presented in accounts outside the consolidated statement of financial position.</w:t>
      </w:r>
    </w:p>
    <w:p>
      <w:pPr>
        <w:spacing w:after="0" w:line="152" w:lineRule="exact"/>
        <w:rPr>
          <w:sz w:val="20"/>
          <w:szCs w:val="20"/>
          <w:color w:val="auto"/>
        </w:rPr>
      </w:pPr>
    </w:p>
    <w:p>
      <w:pPr>
        <w:ind w:left="546" w:right="740"/>
        <w:spacing w:after="0" w:line="255" w:lineRule="auto"/>
        <w:rPr>
          <w:sz w:val="20"/>
          <w:szCs w:val="20"/>
          <w:color w:val="auto"/>
        </w:rPr>
      </w:pPr>
      <w:r>
        <w:rPr>
          <w:rFonts w:ascii="Arial" w:cs="Arial" w:eastAsia="Arial" w:hAnsi="Arial"/>
          <w:sz w:val="16"/>
          <w:szCs w:val="16"/>
          <w:color w:val="auto"/>
        </w:rPr>
        <w:t>Financial assets classified or designated at fair value through profit or loss and equity instruments designated at fair value through other comprehensive income are not subject to impairment assessment.</w:t>
      </w:r>
    </w:p>
    <w:p>
      <w:pPr>
        <w:spacing w:after="0" w:line="134" w:lineRule="exact"/>
        <w:rPr>
          <w:sz w:val="20"/>
          <w:szCs w:val="20"/>
          <w:color w:val="auto"/>
        </w:rPr>
      </w:pPr>
    </w:p>
    <w:p>
      <w:pPr>
        <w:ind w:left="546"/>
        <w:spacing w:after="0"/>
        <w:rPr>
          <w:sz w:val="20"/>
          <w:szCs w:val="20"/>
          <w:color w:val="auto"/>
        </w:rPr>
      </w:pPr>
      <w:r>
        <w:rPr>
          <w:rFonts w:ascii="Arial" w:cs="Arial" w:eastAsia="Arial" w:hAnsi="Arial"/>
          <w:sz w:val="16"/>
          <w:szCs w:val="16"/>
          <w:color w:val="auto"/>
        </w:rPr>
        <w:t>Financial assets migrate through three stages based on changes in credit risk from initial recognition.</w:t>
      </w:r>
    </w:p>
    <w:p>
      <w:pPr>
        <w:spacing w:after="0" w:line="325" w:lineRule="exact"/>
        <w:rPr>
          <w:sz w:val="20"/>
          <w:szCs w:val="20"/>
          <w:color w:val="auto"/>
        </w:rPr>
      </w:pPr>
    </w:p>
    <w:p>
      <w:pPr>
        <w:jc w:val="center"/>
        <w:ind w:right="454"/>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06"/>
          </w:cols>
          <w:pgMar w:left="874" w:top="124" w:right="419" w:bottom="1440" w:gutter="0" w:footer="0" w:header="0"/>
        </w:sectPr>
      </w:pPr>
    </w:p>
    <w:bookmarkStart w:id="43" w:name="page44"/>
    <w:bookmarkEnd w:id="43"/>
    <w:p>
      <w:pPr>
        <w:ind w:left="20"/>
        <w:spacing w:after="0"/>
        <w:rPr>
          <w:sz w:val="20"/>
          <w:szCs w:val="20"/>
          <w:color w:val="auto"/>
        </w:rPr>
      </w:pPr>
      <w:r>
        <w:rPr>
          <w:rFonts w:ascii="Arial" w:cs="Arial" w:eastAsia="Arial" w:hAnsi="Arial"/>
          <w:sz w:val="16"/>
          <w:szCs w:val="16"/>
          <w:color w:val="auto"/>
        </w:rPr>
        <w:t>Impairment model of expected credit losses -</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Calculat</w:t>
      </w:r>
      <w:r>
        <w:rPr>
          <w:rFonts w:ascii="Arial" w:cs="Arial" w:eastAsia="Arial" w:hAnsi="Arial"/>
          <w:sz w:val="14"/>
          <w:szCs w:val="14"/>
          <w:color w:val="0D0D0D"/>
        </w:rPr>
        <w:t>ions of credit losses result from models with a series of underlying assumptions regarding the choice of variable inputs and their</w:t>
      </w:r>
      <w:r>
        <w:rPr>
          <w:rFonts w:ascii="Arial" w:cs="Arial" w:eastAsia="Arial" w:hAnsi="Arial"/>
          <w:sz w:val="14"/>
          <w:szCs w:val="14"/>
          <w:color w:val="auto"/>
        </w:rPr>
        <w:t xml:space="preserve"> </w:t>
      </w:r>
      <w:r>
        <w:rPr>
          <w:rFonts w:ascii="Arial" w:cs="Arial" w:eastAsia="Arial" w:hAnsi="Arial"/>
          <w:sz w:val="14"/>
          <w:szCs w:val="14"/>
          <w:color w:val="0D0D0D"/>
        </w:rPr>
        <w:t>interdependencies. The expected credit loss impairment model reflects the present value of all cash shortfall events related to default events, either</w:t>
      </w:r>
    </w:p>
    <w:p>
      <w:pPr>
        <w:spacing w:after="0" w:line="1" w:lineRule="exact"/>
        <w:rPr>
          <w:sz w:val="20"/>
          <w:szCs w:val="20"/>
          <w:color w:val="auto"/>
        </w:rPr>
      </w:pPr>
    </w:p>
    <w:p>
      <w:pPr>
        <w:ind w:right="480" w:firstLine="5"/>
        <w:spacing w:after="0" w:line="235" w:lineRule="auto"/>
        <w:tabs>
          <w:tab w:leader="none" w:pos="181" w:val="left"/>
        </w:tabs>
        <w:numPr>
          <w:ilvl w:val="0"/>
          <w:numId w:val="48"/>
        </w:numPr>
        <w:rPr>
          <w:rFonts w:ascii="Arial" w:cs="Arial" w:eastAsia="Arial" w:hAnsi="Arial"/>
          <w:sz w:val="16"/>
          <w:szCs w:val="16"/>
          <w:color w:val="0D0D0D"/>
        </w:rPr>
      </w:pPr>
      <w:r>
        <w:rPr>
          <w:rFonts w:ascii="Arial" w:cs="Arial" w:eastAsia="Arial" w:hAnsi="Arial"/>
          <w:sz w:val="16"/>
          <w:szCs w:val="16"/>
          <w:color w:val="0D0D0D"/>
        </w:rPr>
        <w:t>over the following twelve months or (ii) over the expected life of a financial instrument depending on credit impairment from inception. The expected credit loss reflects a probability-weighted outcome considering a range of multiple outcomes based on reasonable and supported forecasts.</w:t>
      </w:r>
    </w:p>
    <w:p>
      <w:pPr>
        <w:spacing w:after="0" w:line="146"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Provisio</w:t>
      </w:r>
      <w:r>
        <w:rPr>
          <w:rFonts w:ascii="Arial" w:cs="Arial" w:eastAsia="Arial" w:hAnsi="Arial"/>
          <w:sz w:val="16"/>
          <w:szCs w:val="16"/>
          <w:color w:val="0D0D0D"/>
        </w:rPr>
        <w:t>ns for credit losses will be measured at each reporting date following a three-stage expected credit loss model based on the degree of</w:t>
      </w:r>
      <w:r>
        <w:rPr>
          <w:rFonts w:ascii="Arial" w:cs="Arial" w:eastAsia="Arial" w:hAnsi="Arial"/>
          <w:sz w:val="16"/>
          <w:szCs w:val="16"/>
          <w:color w:val="auto"/>
        </w:rPr>
        <w:t xml:space="preserve"> </w:t>
      </w:r>
      <w:r>
        <w:rPr>
          <w:rFonts w:ascii="Arial" w:cs="Arial" w:eastAsia="Arial" w:hAnsi="Arial"/>
          <w:sz w:val="16"/>
          <w:szCs w:val="16"/>
          <w:color w:val="0D0D0D"/>
        </w:rPr>
        <w:t>credit deterioration from inception:</w:t>
      </w:r>
    </w:p>
    <w:p>
      <w:pPr>
        <w:spacing w:after="0" w:line="134" w:lineRule="exact"/>
        <w:rPr>
          <w:sz w:val="20"/>
          <w:szCs w:val="20"/>
          <w:color w:val="auto"/>
        </w:rPr>
      </w:pPr>
    </w:p>
    <w:p>
      <w:pPr>
        <w:ind w:left="220" w:right="60" w:hanging="206"/>
        <w:spacing w:after="0" w:line="241" w:lineRule="auto"/>
        <w:tabs>
          <w:tab w:leader="none" w:pos="220" w:val="left"/>
        </w:tabs>
        <w:numPr>
          <w:ilvl w:val="0"/>
          <w:numId w:val="49"/>
        </w:numPr>
        <w:rPr>
          <w:rFonts w:ascii="Arial" w:cs="Arial" w:eastAsia="Arial" w:hAnsi="Arial"/>
          <w:sz w:val="16"/>
          <w:szCs w:val="16"/>
          <w:color w:val="0D0D0D"/>
        </w:rPr>
      </w:pPr>
      <w:r>
        <w:rPr>
          <w:rFonts w:ascii="Arial" w:cs="Arial" w:eastAsia="Arial" w:hAnsi="Arial"/>
          <w:sz w:val="16"/>
          <w:szCs w:val="16"/>
          <w:color w:val="auto"/>
        </w:rPr>
        <w:t>Phase 1</w:t>
      </w:r>
      <w:r>
        <w:rPr>
          <w:rFonts w:ascii="Arial" w:cs="Arial" w:eastAsia="Arial" w:hAnsi="Arial"/>
          <w:sz w:val="16"/>
          <w:szCs w:val="16"/>
          <w:color w:val="0D0D0D"/>
        </w:rPr>
        <w:t>: Financial assets whose credit risk has not increased significantly since initial recognition will recognize a reserve for losses equivalent</w:t>
      </w:r>
      <w:r>
        <w:rPr>
          <w:rFonts w:ascii="Arial" w:cs="Arial" w:eastAsia="Arial" w:hAnsi="Arial"/>
          <w:sz w:val="16"/>
          <w:szCs w:val="16"/>
          <w:color w:val="auto"/>
        </w:rPr>
        <w:t xml:space="preserve"> </w:t>
      </w:r>
      <w:r>
        <w:rPr>
          <w:rFonts w:ascii="Arial" w:cs="Arial" w:eastAsia="Arial" w:hAnsi="Arial"/>
          <w:sz w:val="16"/>
          <w:szCs w:val="16"/>
          <w:color w:val="0D0D0D"/>
        </w:rPr>
        <w:t>to the credit losses expected to occur from defaults in the next 12 months. For instruments with a maturity of less than 12 months, a default probability corresponding to the remaining term to maturity is used.</w:t>
      </w:r>
    </w:p>
    <w:p>
      <w:pPr>
        <w:spacing w:after="0" w:line="145" w:lineRule="exact"/>
        <w:rPr>
          <w:rFonts w:ascii="Arial" w:cs="Arial" w:eastAsia="Arial" w:hAnsi="Arial"/>
          <w:sz w:val="16"/>
          <w:szCs w:val="16"/>
          <w:color w:val="0D0D0D"/>
        </w:rPr>
      </w:pPr>
    </w:p>
    <w:p>
      <w:pPr>
        <w:ind w:left="220" w:right="100" w:hanging="206"/>
        <w:spacing w:after="0" w:line="326" w:lineRule="auto"/>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Phase 2: Financial assets that have experienced a significant increase in credit risk compared to initial recognition but are not considered impaired will recognize a loss reserve equivalent to the expected credit losses that are expected to occur during the remaining life of the asset.</w:t>
      </w:r>
    </w:p>
    <w:p>
      <w:pPr>
        <w:spacing w:after="0" w:line="87" w:lineRule="exact"/>
        <w:rPr>
          <w:rFonts w:ascii="Arial" w:cs="Arial" w:eastAsia="Arial" w:hAnsi="Arial"/>
          <w:sz w:val="14"/>
          <w:szCs w:val="14"/>
          <w:color w:val="auto"/>
        </w:rPr>
      </w:pPr>
    </w:p>
    <w:p>
      <w:pPr>
        <w:ind w:left="220" w:right="40" w:hanging="206"/>
        <w:spacing w:after="0" w:line="326" w:lineRule="auto"/>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Phase 3: Financial assets with credit impairment at the reporting date will recognize a loss reserve equivalent to the expected credit losses over the entire life of the asset. Interest income will be recognized based on the carrying amount of the asset, net of the credit loss provision.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Measurement of expected loss –</w:t>
      </w:r>
    </w:p>
    <w:p>
      <w:pPr>
        <w:spacing w:after="0" w:line="166" w:lineRule="exact"/>
        <w:rPr>
          <w:sz w:val="20"/>
          <w:szCs w:val="20"/>
          <w:color w:val="auto"/>
        </w:rPr>
      </w:pPr>
    </w:p>
    <w:p>
      <w:pPr>
        <w:jc w:val="both"/>
        <w:ind w:right="120"/>
        <w:spacing w:after="0" w:line="241" w:lineRule="auto"/>
        <w:rPr>
          <w:sz w:val="20"/>
          <w:szCs w:val="20"/>
          <w:color w:val="auto"/>
        </w:rPr>
      </w:pPr>
      <w:r>
        <w:rPr>
          <w:rFonts w:ascii="Arial" w:cs="Arial" w:eastAsia="Arial" w:hAnsi="Arial"/>
          <w:sz w:val="16"/>
          <w:szCs w:val="16"/>
          <w:color w:val="auto"/>
        </w:rPr>
        <w:t>The measurement of expected credit loss is primarily based on the product of the probability of default (PD), the loss given default (LGD), and the exposure at default (EAD), discounted to the reporting date and considering expected macroeconomic effects and all in accordance with the new regulations.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details of these statistical parameters are the following:</w:t>
      </w:r>
    </w:p>
    <w:p>
      <w:pPr>
        <w:spacing w:after="0" w:line="166" w:lineRule="exact"/>
        <w:rPr>
          <w:sz w:val="20"/>
          <w:szCs w:val="20"/>
          <w:color w:val="auto"/>
        </w:rPr>
      </w:pPr>
    </w:p>
    <w:p>
      <w:pPr>
        <w:ind w:left="220" w:right="660" w:hanging="206"/>
        <w:spacing w:after="0" w:line="326" w:lineRule="auto"/>
        <w:tabs>
          <w:tab w:leader="none" w:pos="2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PD: It is an estimate of the probability of default over a specified time horizon. Default can only occur at a given point in time during the estimated remaining life, provided the financial asset has not been derecognized previously and still remains in the portfolio.</w:t>
      </w:r>
    </w:p>
    <w:p>
      <w:pPr>
        <w:spacing w:after="0" w:line="87" w:lineRule="exact"/>
        <w:rPr>
          <w:rFonts w:ascii="Arial" w:cs="Arial" w:eastAsia="Arial" w:hAnsi="Arial"/>
          <w:sz w:val="14"/>
          <w:szCs w:val="14"/>
          <w:color w:val="auto"/>
        </w:rPr>
      </w:pPr>
    </w:p>
    <w:p>
      <w:pPr>
        <w:ind w:left="220" w:right="280" w:hanging="206"/>
        <w:spacing w:after="0" w:line="241" w:lineRule="auto"/>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LGD: It is an estimate of the loss that occurs in the event of default at a given point in time. It is based on the difference between contractual cash flows owed and those the lender would expect to receive, including from the realization of any collateral. It is typically expressed as a percentage of the EAD.</w:t>
      </w:r>
    </w:p>
    <w:p>
      <w:pPr>
        <w:spacing w:after="0" w:line="145" w:lineRule="exact"/>
        <w:rPr>
          <w:rFonts w:ascii="Arial" w:cs="Arial" w:eastAsia="Arial" w:hAnsi="Arial"/>
          <w:sz w:val="16"/>
          <w:szCs w:val="16"/>
          <w:color w:val="auto"/>
        </w:rPr>
      </w:pPr>
    </w:p>
    <w:p>
      <w:pPr>
        <w:ind w:left="220" w:right="100" w:hanging="206"/>
        <w:spacing w:after="0" w:line="255" w:lineRule="auto"/>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EAD: It is an estimate of exposure at a future default date, taking into account expected changes in exposure after the reporting date, including principal and interest repayments, either scheduled by contract or otherwise, and interest accrued for overdue payments.</w:t>
      </w:r>
    </w:p>
    <w:p>
      <w:pPr>
        <w:spacing w:after="0" w:line="134"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fundamental difference between credit loss considered in Phase 1 and Phase 2 is the PD horizon. Phase 1 estimates use a 12-month horizon, while those in Phase 2 use an expected loss calculated with the remaining term of the asset and consider the effect of significant risk increase. Finally, in Phase 3, the expected loss will be estimated based on the best estimate ("ELBE"), given the status of the collection process for each asset.</w:t>
      </w:r>
    </w:p>
    <w:p>
      <w:pPr>
        <w:spacing w:after="0" w:line="304"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36195</wp:posOffset>
            </wp:positionV>
            <wp:extent cx="715073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20"/>
          </w:cols>
          <w:pgMar w:left="1420" w:top="124"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Changes from one stage to another –</w:t>
      </w:r>
    </w:p>
    <w:p>
      <w:pPr>
        <w:spacing w:after="0" w:line="167" w:lineRule="exact"/>
        <w:rPr>
          <w:sz w:val="20"/>
          <w:szCs w:val="20"/>
          <w:color w:val="auto"/>
        </w:rPr>
      </w:pPr>
    </w:p>
    <w:p>
      <w:pPr>
        <w:ind w:left="20" w:right="520"/>
        <w:spacing w:after="0" w:line="255" w:lineRule="auto"/>
        <w:rPr>
          <w:sz w:val="20"/>
          <w:szCs w:val="20"/>
          <w:color w:val="auto"/>
        </w:rPr>
      </w:pPr>
      <w:r>
        <w:rPr>
          <w:rFonts w:ascii="Arial" w:cs="Arial" w:eastAsia="Arial" w:hAnsi="Arial"/>
          <w:sz w:val="16"/>
          <w:szCs w:val="16"/>
          <w:color w:val="auto"/>
        </w:rPr>
        <w:t>The classification of an instrument as stage 1 or stage 2 depends on the concept of “significant increase in credit risk” on the reporting date compared with the origination date; in this sense, the definition used considers the following criteria:</w:t>
      </w:r>
    </w:p>
    <w:p>
      <w:pPr>
        <w:spacing w:after="0" w:line="134" w:lineRule="exact"/>
        <w:rPr>
          <w:sz w:val="20"/>
          <w:szCs w:val="20"/>
          <w:color w:val="auto"/>
        </w:rPr>
      </w:pPr>
    </w:p>
    <w:p>
      <w:pPr>
        <w:ind w:left="220" w:hanging="206"/>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account is classified in stage 2 if it has more than 30 days in arrears.</w:t>
      </w:r>
    </w:p>
    <w:p>
      <w:pPr>
        <w:spacing w:after="0" w:line="166" w:lineRule="exact"/>
        <w:rPr>
          <w:rFonts w:ascii="Arial" w:cs="Arial" w:eastAsia="Arial" w:hAnsi="Arial"/>
          <w:sz w:val="16"/>
          <w:szCs w:val="16"/>
          <w:color w:val="auto"/>
        </w:rPr>
      </w:pPr>
    </w:p>
    <w:p>
      <w:pPr>
        <w:ind w:left="220" w:right="520" w:hanging="206"/>
        <w:spacing w:after="0" w:line="255" w:lineRule="auto"/>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probability of default ("PD") at the reporting date exceeds the PD at the origination date by 50.0 percent (absolute thresholds) in all portfolios.</w:t>
      </w:r>
    </w:p>
    <w:p>
      <w:pPr>
        <w:spacing w:after="0" w:line="134" w:lineRule="exact"/>
        <w:rPr>
          <w:rFonts w:ascii="Arial" w:cs="Arial" w:eastAsia="Arial" w:hAnsi="Arial"/>
          <w:sz w:val="16"/>
          <w:szCs w:val="16"/>
          <w:color w:val="auto"/>
        </w:rPr>
      </w:pPr>
    </w:p>
    <w:p>
      <w:pPr>
        <w:ind w:left="220" w:right="440" w:hanging="206"/>
        <w:spacing w:after="0" w:line="255" w:lineRule="auto"/>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PD at the reporting date exceeds the PD at the origination date at an individualized level for each risk level and by portfolio (relative thresholds).</w:t>
      </w:r>
    </w:p>
    <w:p>
      <w:pPr>
        <w:spacing w:after="0" w:line="134" w:lineRule="exact"/>
        <w:rPr>
          <w:rFonts w:ascii="Arial" w:cs="Arial" w:eastAsia="Arial" w:hAnsi="Arial"/>
          <w:sz w:val="16"/>
          <w:szCs w:val="16"/>
          <w:color w:val="auto"/>
        </w:rPr>
      </w:pPr>
    </w:p>
    <w:p>
      <w:pPr>
        <w:ind w:left="220" w:right="520" w:hanging="206"/>
        <w:spacing w:after="0" w:line="255" w:lineRule="auto"/>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follow-up, alert and monitoring systems for risk portfolios that depend on the current risk policy in Wholesale and Retail Banking are integrated.</w:t>
      </w:r>
    </w:p>
    <w:p>
      <w:pPr>
        <w:spacing w:after="0" w:line="134"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Additionally, all accounts classified as defaults at the reporting date are considered Phase 3. Assessments of significant risk increase from initial recognition and credit impairment are independently conducted at each reporting date. Assets can move in both directions from one phase to another. See further detail in Note 30.1(c).</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Prospective Information –</w:t>
      </w:r>
    </w:p>
    <w:p>
      <w:pPr>
        <w:spacing w:after="0" w:line="166" w:lineRule="exact"/>
        <w:rPr>
          <w:sz w:val="20"/>
          <w:szCs w:val="20"/>
          <w:color w:val="auto"/>
        </w:rPr>
      </w:pPr>
    </w:p>
    <w:p>
      <w:pPr>
        <w:ind w:left="20"/>
        <w:spacing w:after="0" w:line="236" w:lineRule="auto"/>
        <w:rPr>
          <w:sz w:val="20"/>
          <w:szCs w:val="20"/>
          <w:color w:val="auto"/>
        </w:rPr>
      </w:pPr>
      <w:r>
        <w:rPr>
          <w:rFonts w:ascii="Arial" w:cs="Arial" w:eastAsia="Arial" w:hAnsi="Arial"/>
          <w:sz w:val="16"/>
          <w:szCs w:val="16"/>
          <w:color w:val="auto"/>
        </w:rPr>
        <w:t>The measurement of expected credit losses for each stage and the evaluation of significant increases in credit risk should consider information on past events and current conditions, as well as projections of future events and economic conditions. For the estimation of the risk parameters (PD, LGD, EAD), used in the calculation of the provision in stage 1 and 2, the significance of the macroeconomic variables (or their variations) that have the greatest influence on each portfolio was tested, which give a better prospective and systemic vision to the estimation, based on econometric techniques. These projections have a period of 3 years and, additionally, a long-term projection.</w:t>
      </w:r>
    </w:p>
    <w:p>
      <w:pPr>
        <w:spacing w:after="0" w:line="146" w:lineRule="exact"/>
        <w:rPr>
          <w:sz w:val="20"/>
          <w:szCs w:val="20"/>
          <w:color w:val="auto"/>
        </w:rPr>
      </w:pPr>
    </w:p>
    <w:p>
      <w:pPr>
        <w:ind w:left="20" w:right="480"/>
        <w:spacing w:after="0" w:line="236" w:lineRule="auto"/>
        <w:rPr>
          <w:sz w:val="20"/>
          <w:szCs w:val="20"/>
          <w:color w:val="auto"/>
        </w:rPr>
      </w:pPr>
      <w:r>
        <w:rPr>
          <w:rFonts w:ascii="Arial" w:cs="Arial" w:eastAsia="Arial" w:hAnsi="Arial"/>
          <w:sz w:val="16"/>
          <w:szCs w:val="16"/>
          <w:color w:val="auto"/>
        </w:rPr>
        <w:t>The estimate of the expected loss is a weighted estimate that considers three future macroeconomic scenarios. The base, optimistic and pessimistic scenarios are based on macroeconomic projections provided by the internal economic studies team and approved by Senior Management; these projections are made for the main countries where Credicorp operates. This same team also provides the probability of occurrence of each scenario. It should be noted that the design of the scenarios is reviewed quarterly and may be more frequent if the environmental conditions so require.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Macroeconomic Factors –</w:t>
      </w:r>
    </w:p>
    <w:p>
      <w:pPr>
        <w:spacing w:after="0" w:line="166" w:lineRule="exact"/>
        <w:rPr>
          <w:sz w:val="20"/>
          <w:szCs w:val="20"/>
          <w:color w:val="auto"/>
        </w:rPr>
      </w:pPr>
    </w:p>
    <w:p>
      <w:pPr>
        <w:jc w:val="both"/>
        <w:ind w:right="300"/>
        <w:spacing w:after="0" w:line="238" w:lineRule="auto"/>
        <w:rPr>
          <w:sz w:val="20"/>
          <w:szCs w:val="20"/>
          <w:color w:val="auto"/>
        </w:rPr>
      </w:pPr>
      <w:r>
        <w:rPr>
          <w:rFonts w:ascii="Arial" w:cs="Arial" w:eastAsia="Arial" w:hAnsi="Arial"/>
          <w:sz w:val="16"/>
          <w:szCs w:val="16"/>
          <w:color w:val="auto"/>
        </w:rPr>
        <w:t>In its models, the Group relies on a wide range of prospective information as economic inputs, such as gross domestic product (GDP) growth, unemployment rates, central bank base rates, among others. The inputs and models used to calculate expected credit losses may not always capture all market characteristics at the date of the financial statements. To reflect this, qualitative adjustments or overlays may be made using expert judgment.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Expected Lifetime –</w:t>
      </w:r>
    </w:p>
    <w:p>
      <w:pPr>
        <w:spacing w:after="0" w:line="16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For instruments in Stage 2 or 3, loss reserves will cover expected credit losses during the instrument's lifetime. For most instruments, the expected lifetime is limited to the remaining term of the product, adjusted for expected prepayments. For revolving products, an analysis was conducted to determine the expected lifetime period.</w:t>
      </w:r>
    </w:p>
    <w:p>
      <w:pPr>
        <w:spacing w:after="0" w:line="304"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36195</wp:posOffset>
            </wp:positionV>
            <wp:extent cx="715073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080"/>
          </w:cols>
          <w:pgMar w:left="1420" w:top="124" w:right="399" w:bottom="1440" w:gutter="0" w:footer="0" w:header="0"/>
        </w:sectPr>
      </w:pPr>
    </w:p>
    <w:bookmarkStart w:id="45" w:name="page46"/>
    <w:bookmarkEnd w:id="45"/>
    <w:p>
      <w:pPr>
        <w:ind w:left="286"/>
        <w:spacing w:after="0"/>
        <w:rPr>
          <w:sz w:val="20"/>
          <w:szCs w:val="20"/>
          <w:color w:val="auto"/>
        </w:rPr>
      </w:pPr>
      <w:r>
        <w:rPr>
          <w:rFonts w:ascii="Arial" w:cs="Arial" w:eastAsia="Arial" w:hAnsi="Arial"/>
          <w:sz w:val="16"/>
          <w:szCs w:val="16"/>
          <w:color w:val="auto"/>
        </w:rPr>
        <w:t>Presentation of provision for credit losses in the consolidated statement of financial position –</w:t>
      </w:r>
    </w:p>
    <w:p>
      <w:pPr>
        <w:spacing w:after="0" w:line="167" w:lineRule="exact"/>
        <w:rPr>
          <w:sz w:val="20"/>
          <w:szCs w:val="20"/>
          <w:color w:val="auto"/>
        </w:rPr>
      </w:pPr>
    </w:p>
    <w:p>
      <w:pPr>
        <w:ind w:left="766" w:hanging="206"/>
        <w:spacing w:after="0"/>
        <w:tabs>
          <w:tab w:leader="none" w:pos="766" w:val="left"/>
        </w:tabs>
        <w:numPr>
          <w:ilvl w:val="0"/>
          <w:numId w:val="52"/>
        </w:numPr>
        <w:rPr>
          <w:rFonts w:ascii="Arial" w:cs="Arial" w:eastAsia="Arial" w:hAnsi="Arial"/>
          <w:sz w:val="16"/>
          <w:szCs w:val="16"/>
          <w:color w:val="auto"/>
        </w:rPr>
      </w:pPr>
      <w:r>
        <w:rPr>
          <w:rFonts w:ascii="Arial" w:cs="Arial" w:eastAsia="Arial" w:hAnsi="Arial"/>
          <w:sz w:val="16"/>
          <w:szCs w:val="16"/>
          <w:color w:val="auto"/>
        </w:rPr>
        <w:t>Financial assets measured at amortized cost: as a deduction from the gross carrying amount of financial assets;</w:t>
      </w:r>
    </w:p>
    <w:p>
      <w:pPr>
        <w:spacing w:after="0" w:line="5" w:lineRule="exact"/>
        <w:rPr>
          <w:rFonts w:ascii="Arial" w:cs="Arial" w:eastAsia="Arial" w:hAnsi="Arial"/>
          <w:sz w:val="16"/>
          <w:szCs w:val="16"/>
          <w:color w:val="auto"/>
        </w:rPr>
      </w:pPr>
    </w:p>
    <w:p>
      <w:pPr>
        <w:ind w:left="766" w:right="80" w:hanging="206"/>
        <w:spacing w:after="0" w:line="228" w:lineRule="auto"/>
        <w:tabs>
          <w:tab w:leader="none" w:pos="766"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Debt instruments measured at fair value through other comprehensive income: no provision is recognized in the consolidated statement of financial position because the carrying amount of these assets is their fair value; however, the expected credit loss is presented in accumulated other comprehensive income;</w:t>
      </w:r>
    </w:p>
    <w:p>
      <w:pPr>
        <w:ind w:left="766" w:hanging="206"/>
        <w:spacing w:after="0"/>
        <w:tabs>
          <w:tab w:leader="none" w:pos="766"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Indirect credits: the provision for credit loss is presented under "Other liabilities" in the consolidated statement of financial position.</w:t>
      </w:r>
    </w:p>
    <w:p>
      <w:pPr>
        <w:spacing w:after="0" w:line="152" w:lineRule="exact"/>
        <w:rPr>
          <w:sz w:val="20"/>
          <w:szCs w:val="20"/>
          <w:color w:val="auto"/>
        </w:rPr>
      </w:pPr>
    </w:p>
    <w:p>
      <w:pPr>
        <w:ind w:left="286"/>
        <w:spacing w:after="0"/>
        <w:rPr>
          <w:sz w:val="20"/>
          <w:szCs w:val="20"/>
          <w:color w:val="auto"/>
        </w:rPr>
      </w:pPr>
      <w:r>
        <w:rPr>
          <w:rFonts w:ascii="Arial" w:cs="Arial" w:eastAsia="Arial" w:hAnsi="Arial"/>
          <w:sz w:val="16"/>
          <w:szCs w:val="16"/>
          <w:color w:val="auto"/>
        </w:rPr>
        <w:t>Renegotiated Credits –</w:t>
      </w:r>
    </w:p>
    <w:p>
      <w:pPr>
        <w:spacing w:after="0" w:line="166" w:lineRule="exact"/>
        <w:rPr>
          <w:sz w:val="20"/>
          <w:szCs w:val="20"/>
          <w:color w:val="auto"/>
        </w:rPr>
      </w:pPr>
    </w:p>
    <w:p>
      <w:pPr>
        <w:ind w:left="286"/>
        <w:spacing w:after="0" w:line="238" w:lineRule="auto"/>
        <w:rPr>
          <w:sz w:val="20"/>
          <w:szCs w:val="20"/>
          <w:color w:val="auto"/>
        </w:rPr>
      </w:pPr>
      <w:r>
        <w:rPr>
          <w:rFonts w:ascii="Arial" w:cs="Arial" w:eastAsia="Arial" w:hAnsi="Arial"/>
          <w:sz w:val="16"/>
          <w:szCs w:val="16"/>
          <w:color w:val="auto"/>
        </w:rPr>
        <w:t>When a credit is modified, it is not considered past due but maintains its previous classification as impaired or unimpaired. If the borrower complies with the new agreement for the next six months, and the analysis of their repayment capacity supports a new risk rating improvement, the credit is classified as unimpaired. If after the credit is modified, the borrower defaults on the new agreement, it is considered impaired and past due. See further detail in Note 30.1(c).</w:t>
      </w:r>
    </w:p>
    <w:p>
      <w:pPr>
        <w:spacing w:after="0" w:line="145" w:lineRule="exact"/>
        <w:rPr>
          <w:sz w:val="20"/>
          <w:szCs w:val="20"/>
          <w:color w:val="auto"/>
        </w:rPr>
      </w:pPr>
    </w:p>
    <w:p>
      <w:pPr>
        <w:ind w:left="286" w:hanging="286"/>
        <w:spacing w:after="0"/>
        <w:tabs>
          <w:tab w:leader="none" w:pos="286" w:val="left"/>
        </w:tabs>
        <w:numPr>
          <w:ilvl w:val="0"/>
          <w:numId w:val="53"/>
        </w:numPr>
        <w:rPr>
          <w:rFonts w:ascii="Arial" w:cs="Arial" w:eastAsia="Arial" w:hAnsi="Arial"/>
          <w:sz w:val="16"/>
          <w:szCs w:val="16"/>
          <w:color w:val="auto"/>
        </w:rPr>
      </w:pPr>
      <w:r>
        <w:rPr>
          <w:rFonts w:ascii="Arial" w:cs="Arial" w:eastAsia="Arial" w:hAnsi="Arial"/>
          <w:sz w:val="16"/>
          <w:szCs w:val="16"/>
          <w:color w:val="auto"/>
        </w:rPr>
        <w:t>Business Combinations –</w:t>
      </w:r>
    </w:p>
    <w:p>
      <w:pPr>
        <w:spacing w:after="0" w:line="166" w:lineRule="exact"/>
        <w:rPr>
          <w:rFonts w:ascii="Arial" w:cs="Arial" w:eastAsia="Arial" w:hAnsi="Arial"/>
          <w:sz w:val="16"/>
          <w:szCs w:val="16"/>
          <w:color w:val="auto"/>
        </w:rPr>
      </w:pPr>
    </w:p>
    <w:p>
      <w:pPr>
        <w:ind w:left="286" w:right="180"/>
        <w:spacing w:after="0" w:line="255" w:lineRule="auto"/>
        <w:rPr>
          <w:rFonts w:ascii="Arial" w:cs="Arial" w:eastAsia="Arial" w:hAnsi="Arial"/>
          <w:sz w:val="16"/>
          <w:szCs w:val="16"/>
          <w:color w:val="auto"/>
        </w:rPr>
      </w:pPr>
      <w:r>
        <w:rPr>
          <w:rFonts w:ascii="Arial" w:cs="Arial" w:eastAsia="Arial" w:hAnsi="Arial"/>
          <w:sz w:val="16"/>
          <w:szCs w:val="16"/>
          <w:color w:val="auto"/>
        </w:rPr>
        <w:t>Business combinations are accounted for using the acquisition method as set out in IFRS 3 "Business Combinations", regardless of whether they are equity instruments or other acquired assets.</w:t>
      </w:r>
    </w:p>
    <w:p>
      <w:pPr>
        <w:spacing w:after="0" w:line="134" w:lineRule="exact"/>
        <w:rPr>
          <w:rFonts w:ascii="Arial" w:cs="Arial" w:eastAsia="Arial" w:hAnsi="Arial"/>
          <w:sz w:val="16"/>
          <w:szCs w:val="16"/>
          <w:color w:val="auto"/>
        </w:rPr>
      </w:pPr>
    </w:p>
    <w:p>
      <w:pPr>
        <w:ind w:left="286" w:right="240"/>
        <w:spacing w:after="0" w:line="282" w:lineRule="auto"/>
        <w:rPr>
          <w:rFonts w:ascii="Arial" w:cs="Arial" w:eastAsia="Arial" w:hAnsi="Arial"/>
          <w:sz w:val="16"/>
          <w:szCs w:val="16"/>
          <w:color w:val="auto"/>
        </w:rPr>
      </w:pPr>
      <w:r>
        <w:rPr>
          <w:rFonts w:ascii="Arial" w:cs="Arial" w:eastAsia="Arial" w:hAnsi="Arial"/>
          <w:sz w:val="14"/>
          <w:szCs w:val="14"/>
          <w:color w:val="auto"/>
        </w:rPr>
        <w:t>The cost of an acquisition is measured as the sum of the consideration transferred, measured at fair value at the acquisition date, and the amount of any non-controlling interest in the acquired entity. For each business combination, the Group decides whether the non-controlling interest in the acquired entity should be measured at fair value or at the proportionate share of the identifiable net assets of the acquired entity. Acquisition-related costs are recognized as expenses and included in the "Administrative expenses" line item in the consolidated statement of income.</w:t>
      </w:r>
    </w:p>
    <w:p>
      <w:pPr>
        <w:spacing w:after="0" w:line="118" w:lineRule="exact"/>
        <w:rPr>
          <w:rFonts w:ascii="Arial" w:cs="Arial" w:eastAsia="Arial" w:hAnsi="Arial"/>
          <w:sz w:val="16"/>
          <w:szCs w:val="16"/>
          <w:color w:val="auto"/>
        </w:rPr>
      </w:pPr>
    </w:p>
    <w:p>
      <w:pPr>
        <w:ind w:left="286" w:right="180"/>
        <w:spacing w:after="0" w:line="241" w:lineRule="auto"/>
        <w:rPr>
          <w:rFonts w:ascii="Arial" w:cs="Arial" w:eastAsia="Arial" w:hAnsi="Arial"/>
          <w:sz w:val="16"/>
          <w:szCs w:val="16"/>
          <w:color w:val="auto"/>
        </w:rPr>
      </w:pPr>
      <w:r>
        <w:rPr>
          <w:rFonts w:ascii="Arial" w:cs="Arial" w:eastAsia="Arial" w:hAnsi="Arial"/>
          <w:sz w:val="16"/>
          <w:szCs w:val="16"/>
          <w:color w:val="auto"/>
        </w:rPr>
        <w:t>When the Group acquires a business, it assesses the financial assets and liabilities assumed for proper classification and naming in accordance with contractual terms, economic circumstances, and conditions relevant at the acquisition date. This includes the separation of implicit derivatives in contracts entered into by the acquiree.</w:t>
      </w:r>
    </w:p>
    <w:p>
      <w:pPr>
        <w:spacing w:after="0" w:line="145" w:lineRule="exact"/>
        <w:rPr>
          <w:rFonts w:ascii="Arial" w:cs="Arial" w:eastAsia="Arial" w:hAnsi="Arial"/>
          <w:sz w:val="16"/>
          <w:szCs w:val="16"/>
          <w:color w:val="auto"/>
        </w:rPr>
      </w:pPr>
    </w:p>
    <w:p>
      <w:pPr>
        <w:ind w:left="286"/>
        <w:spacing w:after="0" w:line="238" w:lineRule="auto"/>
        <w:rPr>
          <w:rFonts w:ascii="Arial" w:cs="Arial" w:eastAsia="Arial" w:hAnsi="Arial"/>
          <w:sz w:val="16"/>
          <w:szCs w:val="16"/>
          <w:color w:val="auto"/>
        </w:rPr>
      </w:pPr>
      <w:r>
        <w:rPr>
          <w:rFonts w:ascii="Arial" w:cs="Arial" w:eastAsia="Arial" w:hAnsi="Arial"/>
          <w:sz w:val="16"/>
          <w:szCs w:val="16"/>
          <w:color w:val="auto"/>
        </w:rPr>
        <w:t>Any contingency transferred by the acquirer must be recognized at its fair value at the acquisition date. The contingency classified as a financial instrument and within the scope of IFRS 9: "Financial Instruments" is measured at fair value through profit or loss or other comprehensive income in the consolidated statement of profit or loss or in the consolidated statement of comprehensive income. If the contingency is classified as equity, it should not be remeasured, and its subsequent settlement is accounted for within equity.</w:t>
      </w:r>
    </w:p>
    <w:p>
      <w:pPr>
        <w:spacing w:after="0" w:line="145" w:lineRule="exact"/>
        <w:rPr>
          <w:rFonts w:ascii="Arial" w:cs="Arial" w:eastAsia="Arial" w:hAnsi="Arial"/>
          <w:sz w:val="16"/>
          <w:szCs w:val="16"/>
          <w:color w:val="auto"/>
        </w:rPr>
      </w:pPr>
    </w:p>
    <w:p>
      <w:pPr>
        <w:ind w:left="286" w:right="300"/>
        <w:spacing w:after="0" w:line="241" w:lineRule="auto"/>
        <w:rPr>
          <w:rFonts w:ascii="Arial" w:cs="Arial" w:eastAsia="Arial" w:hAnsi="Arial"/>
          <w:sz w:val="16"/>
          <w:szCs w:val="16"/>
          <w:color w:val="auto"/>
        </w:rPr>
      </w:pPr>
      <w:r>
        <w:rPr>
          <w:rFonts w:ascii="Arial" w:cs="Arial" w:eastAsia="Arial" w:hAnsi="Arial"/>
          <w:sz w:val="16"/>
          <w:szCs w:val="16"/>
          <w:color w:val="auto"/>
        </w:rPr>
        <w:t>The acquisition of additional non-controlling interest is recognized directly in equity; the difference between the amount paid and the net assets acquired is recognized as an equity transaction. Therefore, the Group does not recognize any additional goodwill after acquiring the non-controlling interest, nor does it recognize a gain or loss on the sale of the non-controlling interest.</w:t>
      </w:r>
    </w:p>
    <w:p>
      <w:pPr>
        <w:spacing w:after="0" w:line="145" w:lineRule="exact"/>
        <w:rPr>
          <w:rFonts w:ascii="Arial" w:cs="Arial" w:eastAsia="Arial" w:hAnsi="Arial"/>
          <w:sz w:val="16"/>
          <w:szCs w:val="16"/>
          <w:color w:val="auto"/>
        </w:rPr>
      </w:pPr>
    </w:p>
    <w:p>
      <w:pPr>
        <w:ind w:left="286" w:right="80"/>
        <w:spacing w:after="0" w:line="238" w:lineRule="auto"/>
        <w:rPr>
          <w:rFonts w:ascii="Arial" w:cs="Arial" w:eastAsia="Arial" w:hAnsi="Arial"/>
          <w:sz w:val="16"/>
          <w:szCs w:val="16"/>
          <w:color w:val="auto"/>
        </w:rPr>
      </w:pPr>
      <w:r>
        <w:rPr>
          <w:rFonts w:ascii="Arial" w:cs="Arial" w:eastAsia="Arial" w:hAnsi="Arial"/>
          <w:sz w:val="16"/>
          <w:szCs w:val="16"/>
          <w:color w:val="auto"/>
        </w:rPr>
        <w:t>If there is a contractual obligation to acquire the shares of the non-controlling interest through a put option, the Group will initially recognize a liability at fair value through profit or loss equivalent to the fair value of the non-controlling interest against the "Other reserves " account in equity. After initial recognition, the liability is measured at fair value, recording changes in the consolidated statement of profit or loss until the option is exercised. If the option expires without being exercised, the liability is derecognized, adjusting equity.</w:t>
      </w:r>
    </w:p>
    <w:p>
      <w:pPr>
        <w:spacing w:after="0" w:line="304" w:lineRule="exact"/>
        <w:rPr>
          <w:sz w:val="20"/>
          <w:szCs w:val="20"/>
          <w:color w:val="auto"/>
        </w:rPr>
      </w:pPr>
    </w:p>
    <w:p>
      <w:pPr>
        <w:jc w:val="center"/>
        <w:ind w:right="534"/>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46" w:name="page47"/>
    <w:bookmarkEnd w:id="46"/>
    <w:p>
      <w:pPr>
        <w:ind w:left="286" w:right="60"/>
        <w:spacing w:after="0" w:line="242" w:lineRule="auto"/>
        <w:rPr>
          <w:sz w:val="20"/>
          <w:szCs w:val="20"/>
          <w:color w:val="auto"/>
        </w:rPr>
      </w:pPr>
      <w:r>
        <w:rPr>
          <w:rFonts w:ascii="Arial" w:cs="Arial" w:eastAsia="Arial" w:hAnsi="Arial"/>
          <w:sz w:val="16"/>
          <w:szCs w:val="16"/>
          <w:color w:val="auto"/>
        </w:rPr>
        <w:t>The equity attributable to the non-controlling interest is presented separately in the consolidated statement of financial position. Profit attributable to the non-controlling interest is presented separately in the consolidated statement of profit or loss and in the consolidated statement of comprehensive income.</w:t>
      </w:r>
    </w:p>
    <w:p>
      <w:pPr>
        <w:spacing w:after="0" w:line="145" w:lineRule="exact"/>
        <w:rPr>
          <w:sz w:val="20"/>
          <w:szCs w:val="20"/>
          <w:color w:val="auto"/>
        </w:rPr>
      </w:pPr>
    </w:p>
    <w:p>
      <w:pPr>
        <w:ind w:left="286" w:right="60"/>
        <w:spacing w:after="0" w:line="241" w:lineRule="auto"/>
        <w:rPr>
          <w:sz w:val="20"/>
          <w:szCs w:val="20"/>
          <w:color w:val="auto"/>
        </w:rPr>
      </w:pPr>
      <w:r>
        <w:rPr>
          <w:rFonts w:ascii="Arial" w:cs="Arial" w:eastAsia="Arial" w:hAnsi="Arial"/>
          <w:sz w:val="16"/>
          <w:szCs w:val="16"/>
          <w:color w:val="auto"/>
        </w:rPr>
        <w:t>If a business combination is achieved in stages, the carrying amount of the previous participation held in the acquiree is remeasured at fair value at the date of acquisition, with the resulting gains or loss recognized in profit or loss. Likewise, in accordance with IFRS 3, from the acquisition date of a company not under common control, the acquirer has a 12-month period to make adjustments to the initial recognition of goodwill.</w:t>
      </w:r>
    </w:p>
    <w:p>
      <w:pPr>
        <w:spacing w:after="0" w:line="14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Combinations of Entities under Common Control</w:t>
      </w:r>
    </w:p>
    <w:p>
      <w:pPr>
        <w:spacing w:after="0" w:line="166" w:lineRule="exact"/>
        <w:rPr>
          <w:sz w:val="20"/>
          <w:szCs w:val="20"/>
          <w:color w:val="auto"/>
        </w:rPr>
      </w:pPr>
    </w:p>
    <w:p>
      <w:pPr>
        <w:ind w:left="286" w:right="40"/>
        <w:spacing w:after="0" w:line="238" w:lineRule="auto"/>
        <w:rPr>
          <w:sz w:val="20"/>
          <w:szCs w:val="20"/>
          <w:color w:val="auto"/>
        </w:rPr>
      </w:pPr>
      <w:r>
        <w:rPr>
          <w:rFonts w:ascii="Arial" w:cs="Arial" w:eastAsia="Arial" w:hAnsi="Arial"/>
          <w:sz w:val="16"/>
          <w:szCs w:val="16"/>
          <w:color w:val="auto"/>
        </w:rPr>
        <w:t>A business combination between entities or businesses under common control is outside the scope of IFRS 3, as it represents a business combination in which all entities or businesses being combined are ultimately controlled by the same party or parties, both before and after the business combination. In these transactions, the Group recognizes acquired assets under the pooling of interest method, whereby the assets and liabilities of the combined companies are reflected at their carrying values and no goodwill is recognized as a result of the combination.</w:t>
      </w:r>
    </w:p>
    <w:p>
      <w:pPr>
        <w:spacing w:after="0" w:line="145"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consolidated financial statements of the Group have been presented considering the aforementioned.</w:t>
      </w:r>
    </w:p>
    <w:p>
      <w:pPr>
        <w:spacing w:after="0" w:line="166" w:lineRule="exact"/>
        <w:rPr>
          <w:sz w:val="20"/>
          <w:szCs w:val="20"/>
          <w:color w:val="auto"/>
        </w:rPr>
      </w:pPr>
    </w:p>
    <w:p>
      <w:pPr>
        <w:ind w:left="286" w:hanging="286"/>
        <w:spacing w:after="0"/>
        <w:tabs>
          <w:tab w:leader="none" w:pos="286"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166" w:lineRule="exact"/>
        <w:rPr>
          <w:rFonts w:ascii="Arial" w:cs="Arial" w:eastAsia="Arial" w:hAnsi="Arial"/>
          <w:sz w:val="16"/>
          <w:szCs w:val="16"/>
          <w:color w:val="auto"/>
        </w:rPr>
      </w:pPr>
    </w:p>
    <w:p>
      <w:pPr>
        <w:ind w:left="286" w:right="120"/>
        <w:spacing w:after="0" w:line="255" w:lineRule="auto"/>
        <w:rPr>
          <w:rFonts w:ascii="Arial" w:cs="Arial" w:eastAsia="Arial" w:hAnsi="Arial"/>
          <w:sz w:val="16"/>
          <w:szCs w:val="16"/>
          <w:color w:val="auto"/>
        </w:rPr>
      </w:pPr>
      <w:r>
        <w:rPr>
          <w:rFonts w:ascii="Arial" w:cs="Arial" w:eastAsia="Arial" w:hAnsi="Arial"/>
          <w:sz w:val="16"/>
          <w:szCs w:val="16"/>
          <w:color w:val="auto"/>
        </w:rPr>
        <w:t>Comprise internally developed and acquired software licenses used by the Group. Acquired software licenses are measured upon initial recognition at cost and are amortized using the straight-line method over their estimated useful life.</w:t>
      </w:r>
    </w:p>
    <w:p>
      <w:pPr>
        <w:spacing w:after="0" w:line="134" w:lineRule="exact"/>
        <w:rPr>
          <w:rFonts w:ascii="Arial" w:cs="Arial" w:eastAsia="Arial" w:hAnsi="Arial"/>
          <w:sz w:val="16"/>
          <w:szCs w:val="16"/>
          <w:color w:val="auto"/>
        </w:rPr>
      </w:pPr>
    </w:p>
    <w:p>
      <w:pPr>
        <w:ind w:left="286" w:right="60"/>
        <w:spacing w:after="0" w:line="255" w:lineRule="auto"/>
        <w:rPr>
          <w:rFonts w:ascii="Arial" w:cs="Arial" w:eastAsia="Arial" w:hAnsi="Arial"/>
          <w:sz w:val="16"/>
          <w:szCs w:val="16"/>
          <w:color w:val="auto"/>
        </w:rPr>
      </w:pPr>
      <w:r>
        <w:rPr>
          <w:rFonts w:ascii="Arial" w:cs="Arial" w:eastAsia="Arial" w:hAnsi="Arial"/>
          <w:sz w:val="16"/>
          <w:szCs w:val="16"/>
          <w:color w:val="auto"/>
        </w:rPr>
        <w:t>Intangible assets resulting from business combinations are recognized in the consolidated statement of financial position at their fair values determined on the acquisition date and are amortized using the straight line method over their estimated useful life as follows:</w:t>
      </w:r>
    </w:p>
    <w:p>
      <w:pPr>
        <w:spacing w:after="0" w:line="123" w:lineRule="exact"/>
        <w:rPr>
          <w:sz w:val="20"/>
          <w:szCs w:val="20"/>
          <w:color w:val="auto"/>
        </w:rPr>
      </w:pPr>
    </w:p>
    <w:tbl>
      <w:tblPr>
        <w:tblLayout w:type="fixed"/>
        <w:tblInd w:w="286"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3940" w:type="dxa"/>
            <w:vAlign w:val="bottom"/>
            <w:gridSpan w:val="2"/>
          </w:tcPr>
          <w:p>
            <w:pPr>
              <w:ind w:left="1340"/>
              <w:spacing w:after="0"/>
              <w:rPr>
                <w:sz w:val="20"/>
                <w:szCs w:val="20"/>
                <w:color w:val="auto"/>
              </w:rPr>
            </w:pPr>
            <w:r>
              <w:rPr>
                <w:rFonts w:ascii="Arial" w:cs="Arial" w:eastAsia="Arial" w:hAnsi="Arial"/>
                <w:sz w:val="16"/>
                <w:szCs w:val="16"/>
                <w:b w:val="1"/>
                <w:bCs w:val="1"/>
                <w:color w:val="auto"/>
              </w:rPr>
              <w:t>Estimated useful</w:t>
            </w:r>
          </w:p>
        </w:tc>
      </w:tr>
      <w:tr>
        <w:trPr>
          <w:trHeight w:val="192"/>
        </w:trPr>
        <w:tc>
          <w:tcPr>
            <w:tcW w:w="6480" w:type="dxa"/>
            <w:vAlign w:val="bottom"/>
          </w:tcPr>
          <w:p>
            <w:pPr>
              <w:spacing w:after="0"/>
              <w:rPr>
                <w:sz w:val="16"/>
                <w:szCs w:val="16"/>
                <w:color w:val="auto"/>
              </w:rPr>
            </w:pPr>
          </w:p>
        </w:tc>
        <w:tc>
          <w:tcPr>
            <w:tcW w:w="3940" w:type="dxa"/>
            <w:vAlign w:val="bottom"/>
            <w:gridSpan w:val="2"/>
          </w:tcPr>
          <w:p>
            <w:pPr>
              <w:ind w:left="1340"/>
              <w:spacing w:after="0"/>
              <w:rPr>
                <w:sz w:val="20"/>
                <w:szCs w:val="20"/>
                <w:color w:val="auto"/>
              </w:rPr>
            </w:pPr>
            <w:r>
              <w:rPr>
                <w:rFonts w:ascii="Arial" w:cs="Arial" w:eastAsia="Arial" w:hAnsi="Arial"/>
                <w:sz w:val="16"/>
                <w:szCs w:val="16"/>
                <w:b w:val="1"/>
                <w:bCs w:val="1"/>
                <w:color w:val="auto"/>
              </w:rPr>
              <w:t>life in years</w:t>
            </w:r>
          </w:p>
        </w:tc>
      </w:tr>
      <w:tr>
        <w:trPr>
          <w:trHeight w:val="327"/>
        </w:trPr>
        <w:tc>
          <w:tcPr>
            <w:tcW w:w="6480" w:type="dxa"/>
            <w:vAlign w:val="bottom"/>
          </w:tcPr>
          <w:p>
            <w:pPr>
              <w:spacing w:after="0"/>
              <w:rPr>
                <w:sz w:val="20"/>
                <w:szCs w:val="20"/>
                <w:color w:val="auto"/>
              </w:rPr>
            </w:pPr>
            <w:r>
              <w:rPr>
                <w:rFonts w:ascii="Arial" w:cs="Arial" w:eastAsia="Arial" w:hAnsi="Arial"/>
                <w:sz w:val="16"/>
                <w:szCs w:val="16"/>
                <w:color w:val="auto"/>
              </w:rPr>
              <w:t>Client relationship - Prima AFP (AFP Unión Vida)</w:t>
            </w:r>
          </w:p>
        </w:tc>
        <w:tc>
          <w:tcPr>
            <w:tcW w:w="1340" w:type="dxa"/>
            <w:vAlign w:val="bottom"/>
          </w:tcPr>
          <w:p>
            <w:pPr>
              <w:spacing w:after="0"/>
              <w:rPr>
                <w:sz w:val="24"/>
                <w:szCs w:val="24"/>
                <w:color w:val="auto"/>
              </w:rPr>
            </w:pPr>
          </w:p>
        </w:tc>
        <w:tc>
          <w:tcPr>
            <w:tcW w:w="2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Client relationship – Credicorp Capital Holding Chile (Inversiones IMT)</w:t>
            </w:r>
          </w:p>
        </w:tc>
        <w:tc>
          <w:tcPr>
            <w:tcW w:w="3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22.0</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Client relationship - Ultraserfinco</w:t>
            </w:r>
          </w:p>
        </w:tc>
        <w:tc>
          <w:tcPr>
            <w:tcW w:w="3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9.2</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Brand - Mibanco</w:t>
            </w:r>
          </w:p>
        </w:tc>
        <w:tc>
          <w:tcPr>
            <w:tcW w:w="3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25.0</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Brand - Joinnus</w:t>
            </w:r>
          </w:p>
        </w:tc>
        <w:tc>
          <w:tcPr>
            <w:tcW w:w="3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20.0</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Brand - Culqi</w:t>
            </w:r>
          </w:p>
        </w:tc>
        <w:tc>
          <w:tcPr>
            <w:tcW w:w="3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5.0</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Fund manager contract - Credicorp Capital Colombia</w:t>
            </w:r>
          </w:p>
        </w:tc>
        <w:tc>
          <w:tcPr>
            <w:tcW w:w="1340" w:type="dxa"/>
            <w:vAlign w:val="bottom"/>
          </w:tcPr>
          <w:p>
            <w:pPr>
              <w:spacing w:after="0"/>
              <w:rPr>
                <w:sz w:val="15"/>
                <w:szCs w:val="15"/>
                <w:color w:val="auto"/>
              </w:rPr>
            </w:pPr>
          </w:p>
        </w:tc>
        <w:tc>
          <w:tcPr>
            <w:tcW w:w="2600" w:type="dxa"/>
            <w:vAlign w:val="bottom"/>
          </w:tcPr>
          <w:p>
            <w:pPr>
              <w:jc w:val="right"/>
              <w:spacing w:after="0" w:line="175" w:lineRule="exact"/>
              <w:rPr>
                <w:sz w:val="20"/>
                <w:szCs w:val="20"/>
                <w:color w:val="auto"/>
              </w:rPr>
            </w:pPr>
            <w:r>
              <w:rPr>
                <w:rFonts w:ascii="Arial" w:cs="Arial" w:eastAsia="Arial" w:hAnsi="Arial"/>
                <w:sz w:val="16"/>
                <w:szCs w:val="16"/>
                <w:color w:val="auto"/>
              </w:rPr>
              <w:t>20.0 and 28.0</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color w:val="auto"/>
              </w:rPr>
              <w:t>Fund manager contract - Credicorp Capital Holding Chile (Inversiones IMT)</w:t>
            </w:r>
          </w:p>
        </w:tc>
        <w:tc>
          <w:tcPr>
            <w:tcW w:w="1340" w:type="dxa"/>
            <w:vAlign w:val="bottom"/>
          </w:tcPr>
          <w:p>
            <w:pPr>
              <w:spacing w:after="0"/>
              <w:rPr>
                <w:sz w:val="15"/>
                <w:szCs w:val="15"/>
                <w:color w:val="auto"/>
              </w:rPr>
            </w:pPr>
          </w:p>
        </w:tc>
        <w:tc>
          <w:tcPr>
            <w:tcW w:w="2600" w:type="dxa"/>
            <w:vAlign w:val="bottom"/>
          </w:tcPr>
          <w:p>
            <w:pPr>
              <w:jc w:val="right"/>
              <w:spacing w:after="0" w:line="175" w:lineRule="exact"/>
              <w:rPr>
                <w:sz w:val="20"/>
                <w:szCs w:val="20"/>
                <w:color w:val="auto"/>
              </w:rPr>
            </w:pPr>
            <w:r>
              <w:rPr>
                <w:rFonts w:ascii="Arial" w:cs="Arial" w:eastAsia="Arial" w:hAnsi="Arial"/>
                <w:sz w:val="16"/>
                <w:szCs w:val="16"/>
                <w:color w:val="auto"/>
              </w:rPr>
              <w:t>11.0 and 24.0</w:t>
            </w:r>
          </w:p>
        </w:tc>
      </w:tr>
      <w:tr>
        <w:trPr>
          <w:trHeight w:val="205"/>
        </w:trPr>
        <w:tc>
          <w:tcPr>
            <w:tcW w:w="6480" w:type="dxa"/>
            <w:vAlign w:val="bottom"/>
          </w:tcPr>
          <w:p>
            <w:pPr>
              <w:spacing w:after="0"/>
              <w:rPr>
                <w:sz w:val="20"/>
                <w:szCs w:val="20"/>
                <w:color w:val="auto"/>
              </w:rPr>
            </w:pPr>
            <w:r>
              <w:rPr>
                <w:rFonts w:ascii="Arial" w:cs="Arial" w:eastAsia="Arial" w:hAnsi="Arial"/>
                <w:sz w:val="16"/>
                <w:szCs w:val="16"/>
                <w:color w:val="auto"/>
              </w:rPr>
              <w:t>Fund manager contract - Ultraserfinco</w:t>
            </w:r>
          </w:p>
        </w:tc>
        <w:tc>
          <w:tcPr>
            <w:tcW w:w="3940" w:type="dxa"/>
            <w:vAlign w:val="bottom"/>
            <w:gridSpan w:val="2"/>
          </w:tcPr>
          <w:p>
            <w:pPr>
              <w:jc w:val="right"/>
              <w:spacing w:after="0"/>
              <w:rPr>
                <w:sz w:val="20"/>
                <w:szCs w:val="20"/>
                <w:color w:val="auto"/>
              </w:rPr>
            </w:pPr>
            <w:r>
              <w:rPr>
                <w:rFonts w:ascii="Arial" w:cs="Arial" w:eastAsia="Arial" w:hAnsi="Arial"/>
                <w:sz w:val="16"/>
                <w:szCs w:val="16"/>
                <w:color w:val="auto"/>
              </w:rPr>
              <w:t>23.0</w:t>
            </w:r>
          </w:p>
        </w:tc>
      </w:tr>
    </w:tbl>
    <w:p>
      <w:pPr>
        <w:spacing w:after="0" w:line="145" w:lineRule="exact"/>
        <w:rPr>
          <w:sz w:val="20"/>
          <w:szCs w:val="20"/>
          <w:color w:val="auto"/>
        </w:rPr>
      </w:pPr>
    </w:p>
    <w:p>
      <w:pPr>
        <w:jc w:val="both"/>
        <w:ind w:left="286" w:right="240"/>
        <w:spacing w:after="0" w:line="241" w:lineRule="auto"/>
        <w:rPr>
          <w:sz w:val="20"/>
          <w:szCs w:val="20"/>
          <w:color w:val="auto"/>
        </w:rPr>
      </w:pPr>
      <w:r>
        <w:rPr>
          <w:rFonts w:ascii="Arial" w:cs="Arial" w:eastAsia="Arial" w:hAnsi="Arial"/>
          <w:sz w:val="16"/>
          <w:szCs w:val="16"/>
          <w:color w:val="auto"/>
        </w:rPr>
        <w:t>The period and the amortization method, for intangible assets are reviewed at the end of each period. If the expected useful life differs from previous estimates, the amortization period will be changed accordingly. If there has been a change in the expected pattern of conduct of the future economic benefits embodied in the asset, the amortization method shall be amended to reflect these changes.</w:t>
      </w:r>
    </w:p>
    <w:p>
      <w:pPr>
        <w:spacing w:after="0" w:line="304" w:lineRule="exact"/>
        <w:rPr>
          <w:sz w:val="20"/>
          <w:szCs w:val="20"/>
          <w:color w:val="auto"/>
        </w:rPr>
      </w:pPr>
    </w:p>
    <w:p>
      <w:pPr>
        <w:ind w:left="4966"/>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6"/>
          </w:cols>
          <w:pgMar w:left="874" w:top="124" w:right="319" w:bottom="1440" w:gutter="0" w:footer="0" w:header="0"/>
        </w:sectPr>
      </w:pPr>
    </w:p>
    <w:bookmarkStart w:id="47" w:name="page48"/>
    <w:bookmarkEnd w:id="47"/>
    <w:p>
      <w:pPr>
        <w:ind w:left="286" w:right="160"/>
        <w:spacing w:after="0" w:line="257" w:lineRule="auto"/>
        <w:rPr>
          <w:sz w:val="20"/>
          <w:szCs w:val="20"/>
          <w:color w:val="auto"/>
        </w:rPr>
      </w:pPr>
      <w:r>
        <w:rPr>
          <w:rFonts w:ascii="Arial" w:cs="Arial" w:eastAsia="Arial" w:hAnsi="Arial"/>
          <w:sz w:val="16"/>
          <w:szCs w:val="16"/>
          <w:color w:val="auto"/>
        </w:rPr>
        <w:t>Gains or losses arising from de-recognition of an intangible asset are measured as the difference between the net disposal proceeds and the carrying amount of the asset and are recognized in the consolidated statement of income when the asset is derecognized.</w:t>
      </w:r>
    </w:p>
    <w:p>
      <w:pPr>
        <w:spacing w:after="0" w:line="132" w:lineRule="exact"/>
        <w:rPr>
          <w:sz w:val="20"/>
          <w:szCs w:val="20"/>
          <w:color w:val="auto"/>
        </w:rPr>
      </w:pPr>
    </w:p>
    <w:p>
      <w:pPr>
        <w:ind w:left="286" w:hanging="286"/>
        <w:spacing w:after="0"/>
        <w:tabs>
          <w:tab w:leader="none" w:pos="2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Goodwill –</w:t>
      </w:r>
    </w:p>
    <w:p>
      <w:pPr>
        <w:spacing w:after="0" w:line="166" w:lineRule="exact"/>
        <w:rPr>
          <w:rFonts w:ascii="Arial" w:cs="Arial" w:eastAsia="Arial" w:hAnsi="Arial"/>
          <w:sz w:val="16"/>
          <w:szCs w:val="16"/>
          <w:color w:val="auto"/>
        </w:rPr>
      </w:pPr>
    </w:p>
    <w:p>
      <w:pPr>
        <w:ind w:left="286" w:right="500"/>
        <w:spacing w:after="0" w:line="241" w:lineRule="auto"/>
        <w:rPr>
          <w:rFonts w:ascii="Arial" w:cs="Arial" w:eastAsia="Arial" w:hAnsi="Arial"/>
          <w:sz w:val="16"/>
          <w:szCs w:val="16"/>
          <w:color w:val="auto"/>
        </w:rPr>
      </w:pPr>
      <w:r>
        <w:rPr>
          <w:rFonts w:ascii="Arial" w:cs="Arial" w:eastAsia="Arial" w:hAnsi="Arial"/>
          <w:sz w:val="16"/>
          <w:szCs w:val="16"/>
          <w:color w:val="auto"/>
        </w:rPr>
        <w:t>Goodwill is the excess of the sum of the consideration transferred and the fair value recognized for the acquisition of the net assets acquired and liabilities assumed in a business combination. If the fair value of the net assets acquired exceeds the consideration transferred, the gain will be recognized in the consolidated statement of income.</w:t>
      </w:r>
    </w:p>
    <w:p>
      <w:pPr>
        <w:spacing w:after="0" w:line="145" w:lineRule="exact"/>
        <w:rPr>
          <w:rFonts w:ascii="Arial" w:cs="Arial" w:eastAsia="Arial" w:hAnsi="Arial"/>
          <w:sz w:val="16"/>
          <w:szCs w:val="16"/>
          <w:color w:val="auto"/>
        </w:rPr>
      </w:pPr>
    </w:p>
    <w:p>
      <w:pPr>
        <w:jc w:val="both"/>
        <w:ind w:left="286" w:right="420"/>
        <w:spacing w:after="0" w:line="241" w:lineRule="auto"/>
        <w:rPr>
          <w:rFonts w:ascii="Arial" w:cs="Arial" w:eastAsia="Arial" w:hAnsi="Arial"/>
          <w:sz w:val="16"/>
          <w:szCs w:val="16"/>
          <w:color w:val="auto"/>
        </w:rPr>
      </w:pPr>
      <w:r>
        <w:rPr>
          <w:rFonts w:ascii="Arial" w:cs="Arial" w:eastAsia="Arial" w:hAnsi="Arial"/>
          <w:sz w:val="16"/>
          <w:szCs w:val="16"/>
          <w:color w:val="auto"/>
        </w:rPr>
        <w:t>After initial recognition, goodwill is measured at cost less accumulated impairment losses. For impairment testing purposes, goodwill acquired in a business combination is, from the acquisition date, allocated to each cash-generating unit (CGU) of the Group that is expected to benefit from the business combination, regardless of whether other assets or liabilities of the acquired entity have been allocated to these units.</w:t>
      </w:r>
    </w:p>
    <w:p>
      <w:pPr>
        <w:spacing w:after="0" w:line="145" w:lineRule="exact"/>
        <w:rPr>
          <w:rFonts w:ascii="Arial" w:cs="Arial" w:eastAsia="Arial" w:hAnsi="Arial"/>
          <w:sz w:val="16"/>
          <w:szCs w:val="16"/>
          <w:color w:val="auto"/>
        </w:rPr>
      </w:pPr>
    </w:p>
    <w:p>
      <w:pPr>
        <w:jc w:val="both"/>
        <w:ind w:left="286" w:right="600"/>
        <w:spacing w:after="0" w:line="241" w:lineRule="auto"/>
        <w:rPr>
          <w:rFonts w:ascii="Arial" w:cs="Arial" w:eastAsia="Arial" w:hAnsi="Arial"/>
          <w:sz w:val="16"/>
          <w:szCs w:val="16"/>
          <w:color w:val="auto"/>
        </w:rPr>
      </w:pPr>
      <w:r>
        <w:rPr>
          <w:rFonts w:ascii="Arial" w:cs="Arial" w:eastAsia="Arial" w:hAnsi="Arial"/>
          <w:sz w:val="16"/>
          <w:szCs w:val="16"/>
          <w:color w:val="auto"/>
        </w:rPr>
        <w:t>If goodwill has been allocated to a cash-generating unit and part of the assets with which that unit operates is disposed of, the goodwill and the disposed assets are included in the transaction's carrying amount when determining the loss or disposal. Under these circumstances, disposed goodwill is measured based on the relative value of the disposed assets and the portion of the retained cash-generating unit.</w:t>
      </w:r>
    </w:p>
    <w:p>
      <w:pPr>
        <w:spacing w:after="0" w:line="145" w:lineRule="exact"/>
        <w:rPr>
          <w:rFonts w:ascii="Arial" w:cs="Arial" w:eastAsia="Arial" w:hAnsi="Arial"/>
          <w:sz w:val="16"/>
          <w:szCs w:val="16"/>
          <w:color w:val="auto"/>
        </w:rPr>
      </w:pPr>
    </w:p>
    <w:p>
      <w:pPr>
        <w:ind w:left="286"/>
        <w:spacing w:after="0" w:line="241" w:lineRule="auto"/>
        <w:rPr>
          <w:rFonts w:ascii="Arial" w:cs="Arial" w:eastAsia="Arial" w:hAnsi="Arial"/>
          <w:sz w:val="16"/>
          <w:szCs w:val="16"/>
          <w:color w:val="auto"/>
        </w:rPr>
      </w:pPr>
      <w:r>
        <w:rPr>
          <w:rFonts w:ascii="Arial" w:cs="Arial" w:eastAsia="Arial" w:hAnsi="Arial"/>
          <w:sz w:val="16"/>
          <w:szCs w:val="16"/>
          <w:color w:val="auto"/>
        </w:rPr>
        <w:t>The impairment of goodwill is determined by evaluating the recoverable amount for each CGU (or group of CGUs) to which the goodwill relates. When the recoverable amount of the CGU is less than the carrying amount, an impairment loss is recognized. Impairment losses related to goodwill cannot be reversed in future periods.</w:t>
      </w:r>
    </w:p>
    <w:p>
      <w:pPr>
        <w:spacing w:after="0" w:line="145" w:lineRule="exact"/>
        <w:rPr>
          <w:rFonts w:ascii="Arial" w:cs="Arial" w:eastAsia="Arial" w:hAnsi="Arial"/>
          <w:sz w:val="16"/>
          <w:szCs w:val="16"/>
          <w:color w:val="auto"/>
        </w:rPr>
      </w:pPr>
    </w:p>
    <w:p>
      <w:pPr>
        <w:ind w:left="286" w:hanging="286"/>
        <w:spacing w:after="0"/>
        <w:tabs>
          <w:tab w:leader="none" w:pos="2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Impairment of Non-Financial Assets –</w:t>
      </w:r>
    </w:p>
    <w:p>
      <w:pPr>
        <w:spacing w:after="0" w:line="166" w:lineRule="exact"/>
        <w:rPr>
          <w:rFonts w:ascii="Arial" w:cs="Arial" w:eastAsia="Arial" w:hAnsi="Arial"/>
          <w:sz w:val="16"/>
          <w:szCs w:val="16"/>
          <w:color w:val="auto"/>
        </w:rPr>
      </w:pPr>
    </w:p>
    <w:p>
      <w:pPr>
        <w:ind w:left="286" w:right="60"/>
        <w:spacing w:after="0" w:line="238" w:lineRule="auto"/>
        <w:rPr>
          <w:rFonts w:ascii="Arial" w:cs="Arial" w:eastAsia="Arial" w:hAnsi="Arial"/>
          <w:sz w:val="16"/>
          <w:szCs w:val="16"/>
          <w:color w:val="auto"/>
        </w:rPr>
      </w:pPr>
      <w:r>
        <w:rPr>
          <w:rFonts w:ascii="Arial" w:cs="Arial" w:eastAsia="Arial" w:hAnsi="Arial"/>
          <w:sz w:val="16"/>
          <w:szCs w:val="16"/>
          <w:color w:val="auto"/>
        </w:rPr>
        <w:t>The Group assesses, at each reporting date, whether there is any indication that an asset may be impaired in value. If there is any indication or when an annual impairment test of an asset is required, the Group estimates the recoverable amount of the asset. The recoverable amount of an asset is the higher of the asset or CGU's fair value less costs of disposal and its value in use and is determined for each asset individually, unless the asset generates cash flows that are largely independent of those of other assets or group of assets.</w:t>
      </w:r>
    </w:p>
    <w:p>
      <w:pPr>
        <w:spacing w:after="0" w:line="145" w:lineRule="exact"/>
        <w:rPr>
          <w:rFonts w:ascii="Arial" w:cs="Arial" w:eastAsia="Arial" w:hAnsi="Arial"/>
          <w:sz w:val="16"/>
          <w:szCs w:val="16"/>
          <w:color w:val="auto"/>
        </w:rPr>
      </w:pPr>
    </w:p>
    <w:p>
      <w:pPr>
        <w:ind w:left="286" w:right="200"/>
        <w:spacing w:after="0" w:line="234" w:lineRule="auto"/>
        <w:rPr>
          <w:rFonts w:ascii="Arial" w:cs="Arial" w:eastAsia="Arial" w:hAnsi="Arial"/>
          <w:sz w:val="16"/>
          <w:szCs w:val="16"/>
          <w:color w:val="auto"/>
        </w:rPr>
      </w:pPr>
      <w:r>
        <w:rPr>
          <w:rFonts w:ascii="Arial" w:cs="Arial" w:eastAsia="Arial" w:hAnsi="Arial"/>
          <w:sz w:val="16"/>
          <w:szCs w:val="16"/>
          <w:color w:val="auto"/>
        </w:rPr>
        <w:t>When the carrying amount of an asset or its CGU exceeds its recoverable amount, the asset or cash-generating unit is considered impaired and is reduced to its recoverable amount. When assessing the value in use, future cash flows are discounted to their present value using a pre-tax discount rate that reflects current market assessments of the time value of money and the specific risks of the asset. For the determination of fair value less costs of disposal, recent market transactions, if any, are taken into account. If such transactions cannot be identified, a valuation model that is appropriate is used. These calculations are verified against valuation multiples, stock quotes for subsidiaries listed on the stock exchange, and other available indicators of fair value.</w:t>
      </w:r>
    </w:p>
    <w:p>
      <w:pPr>
        <w:spacing w:after="0" w:line="149" w:lineRule="exact"/>
        <w:rPr>
          <w:rFonts w:ascii="Arial" w:cs="Arial" w:eastAsia="Arial" w:hAnsi="Arial"/>
          <w:sz w:val="16"/>
          <w:szCs w:val="16"/>
          <w:color w:val="auto"/>
        </w:rPr>
      </w:pPr>
    </w:p>
    <w:p>
      <w:pPr>
        <w:ind w:left="286" w:right="80"/>
        <w:spacing w:after="0" w:line="238" w:lineRule="auto"/>
        <w:rPr>
          <w:rFonts w:ascii="Arial" w:cs="Arial" w:eastAsia="Arial" w:hAnsi="Arial"/>
          <w:sz w:val="16"/>
          <w:szCs w:val="16"/>
          <w:color w:val="auto"/>
        </w:rPr>
      </w:pPr>
      <w:r>
        <w:rPr>
          <w:rFonts w:ascii="Arial" w:cs="Arial" w:eastAsia="Arial" w:hAnsi="Arial"/>
          <w:sz w:val="16"/>
          <w:szCs w:val="16"/>
          <w:color w:val="auto"/>
        </w:rPr>
        <w:t>For non-financial assets, excluding goodwill, an assessment is made at each reporting date of whether there are indications that previously recognized impairment losses may no longer exist or may have decreased. If such an indication exists, the Group estimates the recoverable amount. A previously recognized impairment loss is reversed only if there has been a change in the estimates used to determine the asset's recoverable amount since the last impairment loss was recognized.</w:t>
      </w:r>
    </w:p>
    <w:p>
      <w:pPr>
        <w:spacing w:after="0" w:line="304" w:lineRule="exact"/>
        <w:rPr>
          <w:sz w:val="20"/>
          <w:szCs w:val="20"/>
          <w:color w:val="auto"/>
        </w:rPr>
      </w:pPr>
    </w:p>
    <w:p>
      <w:pPr>
        <w:ind w:left="4966"/>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6"/>
          </w:cols>
          <w:pgMar w:left="874" w:top="124" w:right="319" w:bottom="1440" w:gutter="0" w:footer="0" w:header="0"/>
        </w:sectPr>
      </w:pPr>
    </w:p>
    <w:bookmarkStart w:id="48" w:name="page49"/>
    <w:bookmarkEnd w:id="48"/>
    <w:p>
      <w:pPr>
        <w:ind w:left="566"/>
        <w:spacing w:after="0" w:line="242" w:lineRule="auto"/>
        <w:rPr>
          <w:sz w:val="20"/>
          <w:szCs w:val="20"/>
          <w:color w:val="auto"/>
        </w:rPr>
      </w:pPr>
      <w:r>
        <w:rPr>
          <w:rFonts w:ascii="Arial" w:cs="Arial" w:eastAsia="Arial" w:hAnsi="Arial"/>
          <w:sz w:val="16"/>
          <w:szCs w:val="16"/>
          <w:color w:val="auto"/>
        </w:rPr>
        <w:t>The reversal is limited so that the carrying amount of the asset does not exceed its recoverable amount, nor exceed the carrying amount that would have been determined net of depreciation, as if no impairment had been recognized in previous years. Such reversal is recorded in the consolidated statement of income.</w:t>
      </w:r>
    </w:p>
    <w:p>
      <w:pPr>
        <w:spacing w:after="0" w:line="145" w:lineRule="exact"/>
        <w:rPr>
          <w:sz w:val="20"/>
          <w:szCs w:val="20"/>
          <w:color w:val="auto"/>
        </w:rPr>
      </w:pPr>
    </w:p>
    <w:p>
      <w:pPr>
        <w:ind w:left="566" w:hanging="566"/>
        <w:spacing w:after="0"/>
        <w:tabs>
          <w:tab w:leader="none" w:pos="5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Bank Acceptances –</w:t>
      </w:r>
    </w:p>
    <w:p>
      <w:pPr>
        <w:spacing w:after="0" w:line="166" w:lineRule="exact"/>
        <w:rPr>
          <w:rFonts w:ascii="Arial" w:cs="Arial" w:eastAsia="Arial" w:hAnsi="Arial"/>
          <w:sz w:val="16"/>
          <w:szCs w:val="16"/>
          <w:color w:val="auto"/>
        </w:rPr>
      </w:pPr>
    </w:p>
    <w:p>
      <w:pPr>
        <w:ind w:left="566" w:right="200"/>
        <w:spacing w:after="0" w:line="255" w:lineRule="auto"/>
        <w:rPr>
          <w:rFonts w:ascii="Arial" w:cs="Arial" w:eastAsia="Arial" w:hAnsi="Arial"/>
          <w:sz w:val="16"/>
          <w:szCs w:val="16"/>
          <w:color w:val="auto"/>
        </w:rPr>
      </w:pPr>
      <w:r>
        <w:rPr>
          <w:rFonts w:ascii="Arial" w:cs="Arial" w:eastAsia="Arial" w:hAnsi="Arial"/>
          <w:sz w:val="16"/>
          <w:szCs w:val="16"/>
          <w:color w:val="auto"/>
        </w:rPr>
        <w:t>Customer debt for acceptances corresponds to accounts payable by customers for import and export transactions, the obligations of which have been accepted by the Group. Obligations to be assumed by the Group are recorded as liabilities.</w:t>
      </w:r>
    </w:p>
    <w:p>
      <w:pPr>
        <w:spacing w:after="0" w:line="134" w:lineRule="exact"/>
        <w:rPr>
          <w:rFonts w:ascii="Arial" w:cs="Arial" w:eastAsia="Arial" w:hAnsi="Arial"/>
          <w:sz w:val="16"/>
          <w:szCs w:val="16"/>
          <w:color w:val="auto"/>
        </w:rPr>
      </w:pPr>
    </w:p>
    <w:p>
      <w:pPr>
        <w:ind w:left="566" w:hanging="566"/>
        <w:spacing w:after="0"/>
        <w:tabs>
          <w:tab w:leader="none" w:pos="5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Financial Guarantees -</w:t>
      </w:r>
    </w:p>
    <w:p>
      <w:pPr>
        <w:spacing w:after="0" w:line="166" w:lineRule="exact"/>
        <w:rPr>
          <w:rFonts w:ascii="Arial" w:cs="Arial" w:eastAsia="Arial" w:hAnsi="Arial"/>
          <w:sz w:val="16"/>
          <w:szCs w:val="16"/>
          <w:color w:val="auto"/>
        </w:rPr>
      </w:pPr>
    </w:p>
    <w:p>
      <w:pPr>
        <w:ind w:left="566"/>
        <w:spacing w:after="0" w:line="234" w:lineRule="auto"/>
        <w:rPr>
          <w:rFonts w:ascii="Arial" w:cs="Arial" w:eastAsia="Arial" w:hAnsi="Arial"/>
          <w:sz w:val="16"/>
          <w:szCs w:val="16"/>
          <w:color w:val="auto"/>
        </w:rPr>
      </w:pPr>
      <w:r>
        <w:rPr>
          <w:rFonts w:ascii="Arial" w:cs="Arial" w:eastAsia="Arial" w:hAnsi="Arial"/>
          <w:sz w:val="16"/>
          <w:szCs w:val="16"/>
          <w:color w:val="auto"/>
        </w:rPr>
        <w:t>In the ordinary course of business, the Group provides financial guarantees, such as letters of credit, guarantees, and bank acceptances. Financial guarantees are initially measured at fair value, which is equivalent to the initial consideration received; likewise, letters of credit and guarantees are recorded in the "Other Liabilities" line item of the consolidated statement of financial position and bank acceptances are presented in the consolidated statement of financial position. Subsequent to initial recognition, the Group's liability for each guarantee is measured at the higher of the amount recognized initially, less the accumulated amortization recognized in the consolidated statement of income, and the best estimate of the expense required to settle any obligation arising from the financial guarantee.</w:t>
      </w:r>
    </w:p>
    <w:p>
      <w:pPr>
        <w:spacing w:after="0" w:line="149" w:lineRule="exact"/>
        <w:rPr>
          <w:rFonts w:ascii="Arial" w:cs="Arial" w:eastAsia="Arial" w:hAnsi="Arial"/>
          <w:sz w:val="16"/>
          <w:szCs w:val="16"/>
          <w:color w:val="auto"/>
        </w:rPr>
      </w:pPr>
    </w:p>
    <w:p>
      <w:pPr>
        <w:ind w:left="566" w:right="100"/>
        <w:spacing w:after="0" w:line="241" w:lineRule="auto"/>
        <w:rPr>
          <w:rFonts w:ascii="Arial" w:cs="Arial" w:eastAsia="Arial" w:hAnsi="Arial"/>
          <w:sz w:val="16"/>
          <w:szCs w:val="16"/>
          <w:color w:val="auto"/>
        </w:rPr>
      </w:pPr>
      <w:r>
        <w:rPr>
          <w:rFonts w:ascii="Arial" w:cs="Arial" w:eastAsia="Arial" w:hAnsi="Arial"/>
          <w:sz w:val="16"/>
          <w:szCs w:val="16"/>
          <w:color w:val="auto"/>
        </w:rPr>
        <w:t>Any increase in the liability related to a financial guarantee is included in the consolidated statement of income. The consideration received is recognized in the "Commissions and Fees" line item of the consolidated statement of income, based on its straight-line amortization over the term of the granted financial guarantee.</w:t>
      </w:r>
    </w:p>
    <w:p>
      <w:pPr>
        <w:spacing w:after="0" w:line="145" w:lineRule="exact"/>
        <w:rPr>
          <w:rFonts w:ascii="Arial" w:cs="Arial" w:eastAsia="Arial" w:hAnsi="Arial"/>
          <w:sz w:val="16"/>
          <w:szCs w:val="16"/>
          <w:color w:val="auto"/>
        </w:rPr>
      </w:pPr>
    </w:p>
    <w:p>
      <w:pPr>
        <w:ind w:left="566" w:hanging="566"/>
        <w:spacing w:after="0"/>
        <w:tabs>
          <w:tab w:leader="none" w:pos="5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Provisions –</w:t>
      </w:r>
    </w:p>
    <w:p>
      <w:pPr>
        <w:spacing w:after="0" w:line="166" w:lineRule="exact"/>
        <w:rPr>
          <w:rFonts w:ascii="Arial" w:cs="Arial" w:eastAsia="Arial" w:hAnsi="Arial"/>
          <w:sz w:val="16"/>
          <w:szCs w:val="16"/>
          <w:color w:val="auto"/>
        </w:rPr>
      </w:pPr>
    </w:p>
    <w:p>
      <w:pPr>
        <w:ind w:left="566" w:right="180"/>
        <w:spacing w:after="0" w:line="255" w:lineRule="auto"/>
        <w:rPr>
          <w:rFonts w:ascii="Arial" w:cs="Arial" w:eastAsia="Arial" w:hAnsi="Arial"/>
          <w:sz w:val="16"/>
          <w:szCs w:val="16"/>
          <w:color w:val="auto"/>
        </w:rPr>
      </w:pPr>
      <w:r>
        <w:rPr>
          <w:rFonts w:ascii="Arial" w:cs="Arial" w:eastAsia="Arial" w:hAnsi="Arial"/>
          <w:sz w:val="16"/>
          <w:szCs w:val="16"/>
          <w:color w:val="auto"/>
        </w:rPr>
        <w:t>Provisions are recognized when the Group has a present obligation (legal or implicit) as a result of a past event, and it is probable that resources will be required to settle that obligation, and the amount can be reliably estimated.</w:t>
      </w:r>
    </w:p>
    <w:p>
      <w:pPr>
        <w:spacing w:after="0" w:line="134" w:lineRule="exact"/>
        <w:rPr>
          <w:rFonts w:ascii="Arial" w:cs="Arial" w:eastAsia="Arial" w:hAnsi="Arial"/>
          <w:sz w:val="16"/>
          <w:szCs w:val="16"/>
          <w:color w:val="auto"/>
        </w:rPr>
      </w:pPr>
    </w:p>
    <w:p>
      <w:pPr>
        <w:jc w:val="both"/>
        <w:ind w:left="566" w:right="40"/>
        <w:spacing w:after="0" w:line="241" w:lineRule="auto"/>
        <w:rPr>
          <w:rFonts w:ascii="Arial" w:cs="Arial" w:eastAsia="Arial" w:hAnsi="Arial"/>
          <w:sz w:val="16"/>
          <w:szCs w:val="16"/>
          <w:color w:val="auto"/>
        </w:rPr>
      </w:pPr>
      <w:r>
        <w:rPr>
          <w:rFonts w:ascii="Arial" w:cs="Arial" w:eastAsia="Arial" w:hAnsi="Arial"/>
          <w:sz w:val="16"/>
          <w:szCs w:val="16"/>
          <w:color w:val="auto"/>
        </w:rPr>
        <w:t>The expense related to any provision is presented in the consolidated statement of income net of any reimbursement. If the effect of the time value of money is material, the provision is discounted using a current pre-tax rate that reflects, where appropriate, the specific risks of the liability. When discounting is used, the increase in the provision over time is recognized as a financial cost.</w:t>
      </w:r>
    </w:p>
    <w:p>
      <w:pPr>
        <w:spacing w:after="0" w:line="145" w:lineRule="exact"/>
        <w:rPr>
          <w:rFonts w:ascii="Arial" w:cs="Arial" w:eastAsia="Arial" w:hAnsi="Arial"/>
          <w:sz w:val="16"/>
          <w:szCs w:val="16"/>
          <w:color w:val="auto"/>
        </w:rPr>
      </w:pPr>
    </w:p>
    <w:p>
      <w:pPr>
        <w:ind w:left="566" w:hanging="566"/>
        <w:spacing w:after="0"/>
        <w:tabs>
          <w:tab w:leader="none" w:pos="5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Contingencies –</w:t>
      </w:r>
    </w:p>
    <w:p>
      <w:pPr>
        <w:spacing w:after="0" w:line="166" w:lineRule="exact"/>
        <w:rPr>
          <w:rFonts w:ascii="Arial" w:cs="Arial" w:eastAsia="Arial" w:hAnsi="Arial"/>
          <w:sz w:val="16"/>
          <w:szCs w:val="16"/>
          <w:color w:val="auto"/>
        </w:rPr>
      </w:pPr>
    </w:p>
    <w:p>
      <w:pPr>
        <w:ind w:left="566" w:right="180"/>
        <w:spacing w:after="0" w:line="255" w:lineRule="auto"/>
        <w:rPr>
          <w:rFonts w:ascii="Arial" w:cs="Arial" w:eastAsia="Arial" w:hAnsi="Arial"/>
          <w:sz w:val="16"/>
          <w:szCs w:val="16"/>
          <w:color w:val="auto"/>
        </w:rPr>
      </w:pPr>
      <w:r>
        <w:rPr>
          <w:rFonts w:ascii="Arial" w:cs="Arial" w:eastAsia="Arial" w:hAnsi="Arial"/>
          <w:sz w:val="16"/>
          <w:szCs w:val="16"/>
          <w:color w:val="auto"/>
        </w:rPr>
        <w:t>Contingent liabilities are disclosed in notes unless the possibility of a disbursement is remote. Contingent assets are not recorded in the financial statements; These are disclosed if it is probable that an inflow or receipt of economic benefits will be realized.</w:t>
      </w:r>
    </w:p>
    <w:p>
      <w:pPr>
        <w:spacing w:after="0" w:line="134" w:lineRule="exact"/>
        <w:rPr>
          <w:rFonts w:ascii="Arial" w:cs="Arial" w:eastAsia="Arial" w:hAnsi="Arial"/>
          <w:sz w:val="16"/>
          <w:szCs w:val="16"/>
          <w:color w:val="auto"/>
        </w:rPr>
      </w:pPr>
    </w:p>
    <w:p>
      <w:pPr>
        <w:ind w:left="566" w:hanging="566"/>
        <w:spacing w:after="0"/>
        <w:tabs>
          <w:tab w:leader="none" w:pos="5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Income Tax –</w:t>
      </w:r>
    </w:p>
    <w:p>
      <w:pPr>
        <w:spacing w:after="0" w:line="166" w:lineRule="exact"/>
        <w:rPr>
          <w:rFonts w:ascii="Arial" w:cs="Arial" w:eastAsia="Arial" w:hAnsi="Arial"/>
          <w:sz w:val="16"/>
          <w:szCs w:val="16"/>
          <w:color w:val="auto"/>
        </w:rPr>
      </w:pPr>
    </w:p>
    <w:p>
      <w:pPr>
        <w:ind w:left="566"/>
        <w:spacing w:after="0"/>
        <w:rPr>
          <w:rFonts w:ascii="Arial" w:cs="Arial" w:eastAsia="Arial" w:hAnsi="Arial"/>
          <w:sz w:val="16"/>
          <w:szCs w:val="16"/>
          <w:color w:val="auto"/>
        </w:rPr>
      </w:pPr>
      <w:r>
        <w:rPr>
          <w:rFonts w:ascii="Arial" w:cs="Arial" w:eastAsia="Arial" w:hAnsi="Arial"/>
          <w:sz w:val="16"/>
          <w:szCs w:val="16"/>
          <w:color w:val="auto"/>
        </w:rPr>
        <w:t>Income tax is calculated based on the individual financial statements of each Group entity.</w:t>
      </w:r>
    </w:p>
    <w:p>
      <w:pPr>
        <w:spacing w:after="0" w:line="166" w:lineRule="exact"/>
        <w:rPr>
          <w:rFonts w:ascii="Arial" w:cs="Arial" w:eastAsia="Arial" w:hAnsi="Arial"/>
          <w:sz w:val="16"/>
          <w:szCs w:val="16"/>
          <w:color w:val="auto"/>
        </w:rPr>
      </w:pPr>
    </w:p>
    <w:p>
      <w:pPr>
        <w:ind w:left="566" w:right="60"/>
        <w:spacing w:after="0" w:line="236" w:lineRule="auto"/>
        <w:rPr>
          <w:rFonts w:ascii="Arial" w:cs="Arial" w:eastAsia="Arial" w:hAnsi="Arial"/>
          <w:sz w:val="16"/>
          <w:szCs w:val="16"/>
          <w:color w:val="auto"/>
        </w:rPr>
      </w:pPr>
      <w:r>
        <w:rPr>
          <w:rFonts w:ascii="Arial" w:cs="Arial" w:eastAsia="Arial" w:hAnsi="Arial"/>
          <w:sz w:val="16"/>
          <w:szCs w:val="16"/>
          <w:color w:val="auto"/>
        </w:rPr>
        <w:t>Deferred income tax reflects the effects of temporary differences between the carrying amounts of assets and liabilities for accounting purposes and those determined for tax purposes. Deferred assets and liabilities are measured using the tax rates expected to apply to taxable income in the years in which these differences are expected to be recovered or settled. The measurement of deferred assets and liabilities reflects the tax consequences derived from how Credicorp and its subsidiaries expect to recover or settle the value of their assets and liabilities at the date of the consolidated statement of financial position.</w:t>
      </w:r>
    </w:p>
    <w:p>
      <w:pPr>
        <w:spacing w:after="0" w:line="304" w:lineRule="exact"/>
        <w:rPr>
          <w:sz w:val="20"/>
          <w:szCs w:val="20"/>
          <w:color w:val="auto"/>
        </w:rPr>
      </w:pPr>
    </w:p>
    <w:p>
      <w:pPr>
        <w:jc w:val="center"/>
        <w:ind w:right="514"/>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66"/>
          </w:cols>
          <w:pgMar w:left="874" w:top="124" w:right="359" w:bottom="1440" w:gutter="0" w:footer="0" w:header="0"/>
        </w:sectPr>
      </w:pPr>
    </w:p>
    <w:bookmarkStart w:id="49" w:name="page50"/>
    <w:bookmarkEnd w:id="49"/>
    <w:p>
      <w:pPr>
        <w:ind w:left="286"/>
        <w:spacing w:after="0" w:line="238" w:lineRule="auto"/>
        <w:rPr>
          <w:sz w:val="20"/>
          <w:szCs w:val="20"/>
          <w:color w:val="auto"/>
        </w:rPr>
      </w:pPr>
      <w:r>
        <w:rPr>
          <w:rFonts w:ascii="Arial" w:cs="Arial" w:eastAsia="Arial" w:hAnsi="Arial"/>
          <w:sz w:val="16"/>
          <w:szCs w:val="16"/>
          <w:color w:val="auto"/>
        </w:rPr>
        <w:t>The carrying amount of deferred tax assets and liabilities may change, even when the amount of temporary differences has not changed, due to a change in the income tax rate. The effect of the change in deferred tax, corresponding to the rate change, will be recognized in the consolidated statement of income for the period, except for items previously recognized outside the consolidated statement of income (either in other comprehensive income or directly in equity).</w:t>
      </w:r>
    </w:p>
    <w:p>
      <w:pPr>
        <w:spacing w:after="0" w:line="147" w:lineRule="exact"/>
        <w:rPr>
          <w:sz w:val="20"/>
          <w:szCs w:val="20"/>
          <w:color w:val="auto"/>
        </w:rPr>
      </w:pPr>
    </w:p>
    <w:p>
      <w:pPr>
        <w:ind w:left="286" w:right="200"/>
        <w:spacing w:after="0" w:line="238" w:lineRule="auto"/>
        <w:rPr>
          <w:sz w:val="20"/>
          <w:szCs w:val="20"/>
          <w:color w:val="auto"/>
        </w:rPr>
      </w:pPr>
      <w:r>
        <w:rPr>
          <w:rFonts w:ascii="Arial" w:cs="Arial" w:eastAsia="Arial" w:hAnsi="Arial"/>
          <w:sz w:val="16"/>
          <w:szCs w:val="16"/>
          <w:color w:val="auto"/>
        </w:rPr>
        <w:t>Deferred tax assets and liabilities are recognized regardless of the time it is estimated that temporary differences are offset. Deferred assets are recognized when it is probable that there will be sufficient future taxable income for the temporary difference to be applied. At the date of the consolidated statement of financial position, Credicorp and its subsidiaries assess unrecognized deferred assets and the recoverability of recognized ones.</w:t>
      </w:r>
    </w:p>
    <w:p>
      <w:pPr>
        <w:spacing w:after="0" w:line="145" w:lineRule="exact"/>
        <w:rPr>
          <w:sz w:val="20"/>
          <w:szCs w:val="20"/>
          <w:color w:val="auto"/>
        </w:rPr>
      </w:pPr>
    </w:p>
    <w:p>
      <w:pPr>
        <w:ind w:left="286" w:right="100"/>
        <w:spacing w:after="0" w:line="255" w:lineRule="auto"/>
        <w:rPr>
          <w:sz w:val="20"/>
          <w:szCs w:val="20"/>
          <w:color w:val="auto"/>
        </w:rPr>
      </w:pPr>
      <w:r>
        <w:rPr>
          <w:rFonts w:ascii="Arial" w:cs="Arial" w:eastAsia="Arial" w:hAnsi="Arial"/>
          <w:sz w:val="16"/>
          <w:szCs w:val="16"/>
          <w:color w:val="auto"/>
        </w:rPr>
        <w:t>Credicorp and its subsidiaries determine their deferred tax based on the tax rate applicable to their undistributed profits, recognizing any additional tax for dividend distribution on the date the liability is recognized.</w:t>
      </w:r>
    </w:p>
    <w:p>
      <w:pPr>
        <w:spacing w:after="0" w:line="134" w:lineRule="exact"/>
        <w:rPr>
          <w:sz w:val="20"/>
          <w:szCs w:val="20"/>
          <w:color w:val="auto"/>
        </w:rPr>
      </w:pPr>
    </w:p>
    <w:p>
      <w:pPr>
        <w:ind w:left="286" w:right="160"/>
        <w:spacing w:after="0" w:line="255" w:lineRule="auto"/>
        <w:rPr>
          <w:sz w:val="20"/>
          <w:szCs w:val="20"/>
          <w:color w:val="auto"/>
        </w:rPr>
      </w:pPr>
      <w:r>
        <w:rPr>
          <w:rFonts w:ascii="Arial" w:cs="Arial" w:eastAsia="Arial" w:hAnsi="Arial"/>
          <w:sz w:val="16"/>
          <w:szCs w:val="16"/>
          <w:color w:val="auto"/>
        </w:rPr>
        <w:t>Deferred tax assets and liabilities are offset if there is a legal right to offset them and the deferred taxes are related to the same taxable entity and the same tax authority.</w:t>
      </w:r>
    </w:p>
    <w:p>
      <w:pPr>
        <w:spacing w:after="0" w:line="134" w:lineRule="exact"/>
        <w:rPr>
          <w:sz w:val="20"/>
          <w:szCs w:val="20"/>
          <w:color w:val="auto"/>
        </w:rPr>
      </w:pPr>
    </w:p>
    <w:p>
      <w:pPr>
        <w:ind w:left="286" w:hanging="286"/>
        <w:spacing w:after="0"/>
        <w:tabs>
          <w:tab w:leader="none" w:pos="286"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Earnings for Share –</w:t>
      </w:r>
    </w:p>
    <w:p>
      <w:pPr>
        <w:spacing w:after="0" w:line="166" w:lineRule="exact"/>
        <w:rPr>
          <w:rFonts w:ascii="Arial" w:cs="Arial" w:eastAsia="Arial" w:hAnsi="Arial"/>
          <w:sz w:val="16"/>
          <w:szCs w:val="16"/>
          <w:color w:val="auto"/>
        </w:rPr>
      </w:pPr>
    </w:p>
    <w:p>
      <w:pPr>
        <w:ind w:left="286" w:right="40"/>
        <w:spacing w:after="0" w:line="255" w:lineRule="auto"/>
        <w:rPr>
          <w:rFonts w:ascii="Arial" w:cs="Arial" w:eastAsia="Arial" w:hAnsi="Arial"/>
          <w:sz w:val="16"/>
          <w:szCs w:val="16"/>
          <w:color w:val="auto"/>
        </w:rPr>
      </w:pPr>
      <w:r>
        <w:rPr>
          <w:rFonts w:ascii="Arial" w:cs="Arial" w:eastAsia="Arial" w:hAnsi="Arial"/>
          <w:sz w:val="16"/>
          <w:szCs w:val="16"/>
          <w:color w:val="auto"/>
        </w:rPr>
        <w:t>Basic earnings per share are calculated by dividing the net income for the year attributable to Credicorp shareholders by the weighted average number of common shares outstanding during the period, excluding common shares purchased and held as treasury shares.</w:t>
      </w:r>
    </w:p>
    <w:p>
      <w:pPr>
        <w:spacing w:after="0" w:line="134" w:lineRule="exact"/>
        <w:rPr>
          <w:rFonts w:ascii="Arial" w:cs="Arial" w:eastAsia="Arial" w:hAnsi="Arial"/>
          <w:sz w:val="16"/>
          <w:szCs w:val="16"/>
          <w:color w:val="auto"/>
        </w:rPr>
      </w:pPr>
    </w:p>
    <w:p>
      <w:pPr>
        <w:ind w:left="286" w:right="340"/>
        <w:spacing w:after="0" w:line="293" w:lineRule="auto"/>
        <w:rPr>
          <w:rFonts w:ascii="Arial" w:cs="Arial" w:eastAsia="Arial" w:hAnsi="Arial"/>
          <w:sz w:val="16"/>
          <w:szCs w:val="16"/>
          <w:color w:val="auto"/>
        </w:rPr>
      </w:pPr>
      <w:r>
        <w:rPr>
          <w:rFonts w:ascii="Arial" w:cs="Arial" w:eastAsia="Arial" w:hAnsi="Arial"/>
          <w:sz w:val="14"/>
          <w:szCs w:val="14"/>
          <w:color w:val="auto"/>
        </w:rPr>
        <w:t>Diluted earnings per share are calculated by dividing the net income for the year attributable to Credicorp shareholders by the weighted average of common shares outstanding during the period, excluding common shares purchased and held as treasury shares, plus the weighted average of common shares that would have been issued if all potential dilutive common shares had been converted into common shares.</w:t>
      </w:r>
    </w:p>
    <w:p>
      <w:pPr>
        <w:spacing w:after="0" w:line="110" w:lineRule="exact"/>
        <w:rPr>
          <w:rFonts w:ascii="Arial" w:cs="Arial" w:eastAsia="Arial" w:hAnsi="Arial"/>
          <w:sz w:val="16"/>
          <w:szCs w:val="16"/>
          <w:color w:val="auto"/>
        </w:rPr>
      </w:pPr>
    </w:p>
    <w:p>
      <w:pPr>
        <w:ind w:left="286" w:right="6600" w:hanging="286"/>
        <w:spacing w:after="0" w:line="456" w:lineRule="auto"/>
        <w:tabs>
          <w:tab w:leader="none" w:pos="286"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Derivative financial instruments and hedge accounting– Trading –</w:t>
      </w:r>
    </w:p>
    <w:p>
      <w:pPr>
        <w:spacing w:after="0" w:line="1" w:lineRule="exact"/>
        <w:rPr>
          <w:rFonts w:ascii="Arial" w:cs="Arial" w:eastAsia="Arial" w:hAnsi="Arial"/>
          <w:sz w:val="16"/>
          <w:szCs w:val="16"/>
          <w:color w:val="auto"/>
        </w:rPr>
      </w:pPr>
    </w:p>
    <w:p>
      <w:pPr>
        <w:ind w:left="286" w:right="40"/>
        <w:spacing w:after="0" w:line="255" w:lineRule="auto"/>
        <w:rPr>
          <w:rFonts w:ascii="Arial" w:cs="Arial" w:eastAsia="Arial" w:hAnsi="Arial"/>
          <w:sz w:val="16"/>
          <w:szCs w:val="16"/>
          <w:color w:val="auto"/>
        </w:rPr>
      </w:pPr>
      <w:r>
        <w:rPr>
          <w:rFonts w:ascii="Arial" w:cs="Arial" w:eastAsia="Arial" w:hAnsi="Arial"/>
          <w:sz w:val="16"/>
          <w:szCs w:val="16"/>
          <w:color w:val="auto"/>
        </w:rPr>
        <w:t>The Group trades derivative financial instruments to meet the needs of its clients. The Group may also take positions with the expectation of benefitting from favorable movements in prices, rates, or indices.</w:t>
      </w:r>
    </w:p>
    <w:p>
      <w:pPr>
        <w:spacing w:after="0" w:line="134" w:lineRule="exact"/>
        <w:rPr>
          <w:rFonts w:ascii="Arial" w:cs="Arial" w:eastAsia="Arial" w:hAnsi="Arial"/>
          <w:sz w:val="16"/>
          <w:szCs w:val="16"/>
          <w:color w:val="auto"/>
        </w:rPr>
      </w:pPr>
    </w:p>
    <w:p>
      <w:pPr>
        <w:ind w:left="286" w:right="20"/>
        <w:spacing w:after="0" w:line="255" w:lineRule="auto"/>
        <w:rPr>
          <w:rFonts w:ascii="Arial" w:cs="Arial" w:eastAsia="Arial" w:hAnsi="Arial"/>
          <w:sz w:val="16"/>
          <w:szCs w:val="16"/>
          <w:color w:val="auto"/>
        </w:rPr>
      </w:pPr>
      <w:r>
        <w:rPr>
          <w:rFonts w:ascii="Arial" w:cs="Arial" w:eastAsia="Arial" w:hAnsi="Arial"/>
          <w:sz w:val="16"/>
          <w:szCs w:val="16"/>
          <w:color w:val="auto"/>
        </w:rPr>
        <w:t>Part of the derivative transactions that provide effective economic hedges under the Group's risk management positions do not qualify as hedges under the specific rules of IFRS 9 and are therefore treated as derivatives for trading purposes.</w:t>
      </w:r>
    </w:p>
    <w:p>
      <w:pPr>
        <w:spacing w:after="0" w:line="134" w:lineRule="exact"/>
        <w:rPr>
          <w:rFonts w:ascii="Arial" w:cs="Arial" w:eastAsia="Arial" w:hAnsi="Arial"/>
          <w:sz w:val="16"/>
          <w:szCs w:val="16"/>
          <w:color w:val="auto"/>
        </w:rPr>
      </w:pPr>
    </w:p>
    <w:p>
      <w:pPr>
        <w:ind w:left="286" w:right="40"/>
        <w:spacing w:after="0" w:line="293" w:lineRule="auto"/>
        <w:rPr>
          <w:rFonts w:ascii="Arial" w:cs="Arial" w:eastAsia="Arial" w:hAnsi="Arial"/>
          <w:sz w:val="16"/>
          <w:szCs w:val="16"/>
          <w:color w:val="auto"/>
        </w:rPr>
      </w:pPr>
      <w:r>
        <w:rPr>
          <w:rFonts w:ascii="Arial" w:cs="Arial" w:eastAsia="Arial" w:hAnsi="Arial"/>
          <w:sz w:val="14"/>
          <w:szCs w:val="14"/>
          <w:color w:val="auto"/>
        </w:rPr>
        <w:t>Derivative financial instruments are initially recognized in the consolidated statement of financial position at fair value and subsequently measured at fair value. Fair values are​ obtained based on market exchange rates and interest rates. All derivatives are considered assets when fair value is positive and liabilities when fair value is negative. Gains and losses from changes in fair value are recorded in the consolidated statement of income.</w:t>
      </w:r>
    </w:p>
    <w:p>
      <w:pPr>
        <w:spacing w:after="0" w:line="269" w:lineRule="exact"/>
        <w:rPr>
          <w:sz w:val="20"/>
          <w:szCs w:val="20"/>
          <w:color w:val="auto"/>
        </w:rPr>
      </w:pPr>
    </w:p>
    <w:p>
      <w:pPr>
        <w:jc w:val="center"/>
        <w:ind w:right="534"/>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50" w:name="page51"/>
    <w:bookmarkEnd w:id="50"/>
    <w:p>
      <w:pPr>
        <w:ind w:left="6"/>
        <w:spacing w:after="0"/>
        <w:rPr>
          <w:sz w:val="20"/>
          <w:szCs w:val="20"/>
          <w:color w:val="auto"/>
        </w:rPr>
      </w:pPr>
      <w:r>
        <w:rPr>
          <w:rFonts w:ascii="Arial" w:cs="Arial" w:eastAsia="Arial" w:hAnsi="Arial"/>
          <w:sz w:val="16"/>
          <w:szCs w:val="16"/>
          <w:color w:val="auto"/>
        </w:rPr>
        <w:t>Hedging -</w:t>
      </w:r>
    </w:p>
    <w:p>
      <w:pPr>
        <w:spacing w:after="0" w:line="167" w:lineRule="exact"/>
        <w:rPr>
          <w:sz w:val="20"/>
          <w:szCs w:val="20"/>
          <w:color w:val="auto"/>
        </w:rPr>
      </w:pPr>
    </w:p>
    <w:p>
      <w:pPr>
        <w:ind w:left="6" w:right="140"/>
        <w:spacing w:after="0" w:line="255" w:lineRule="auto"/>
        <w:rPr>
          <w:sz w:val="20"/>
          <w:szCs w:val="20"/>
          <w:color w:val="auto"/>
        </w:rPr>
      </w:pPr>
      <w:r>
        <w:rPr>
          <w:rFonts w:ascii="Arial" w:cs="Arial" w:eastAsia="Arial" w:hAnsi="Arial"/>
          <w:sz w:val="16"/>
          <w:szCs w:val="16"/>
          <w:color w:val="auto"/>
        </w:rPr>
        <w:t>The Group uses derivative instruments to manage its exposure to interest rates and foreign currency. In order to manage specific risks, the Group applies hedge accounting for transactions that meet the specific criteria for it.</w:t>
      </w:r>
    </w:p>
    <w:p>
      <w:pPr>
        <w:spacing w:after="0" w:line="134" w:lineRule="exact"/>
        <w:rPr>
          <w:sz w:val="20"/>
          <w:szCs w:val="20"/>
          <w:color w:val="auto"/>
        </w:rPr>
      </w:pPr>
    </w:p>
    <w:p>
      <w:pPr>
        <w:ind w:left="6"/>
        <w:spacing w:after="0"/>
        <w:rPr>
          <w:sz w:val="20"/>
          <w:szCs w:val="20"/>
          <w:color w:val="auto"/>
        </w:rPr>
      </w:pPr>
      <w:r>
        <w:rPr>
          <w:rFonts w:ascii="Arial" w:cs="Arial" w:eastAsia="Arial" w:hAnsi="Arial"/>
          <w:sz w:val="16"/>
          <w:szCs w:val="16"/>
          <w:color w:val="auto"/>
        </w:rPr>
        <w:t>According to IFRS 9, to qualify as hedging transactions, all the following conditions must be met:</w:t>
      </w:r>
    </w:p>
    <w:p>
      <w:pPr>
        <w:spacing w:after="0" w:line="166" w:lineRule="exact"/>
        <w:rPr>
          <w:sz w:val="20"/>
          <w:szCs w:val="20"/>
          <w:color w:val="auto"/>
        </w:rPr>
      </w:pPr>
    </w:p>
    <w:p>
      <w:pPr>
        <w:ind w:left="426" w:hanging="426"/>
        <w:spacing w:after="0"/>
        <w:tabs>
          <w:tab w:leader="none" w:pos="42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hedging relationship consists only of hedging instruments and eligible hedged items.</w:t>
      </w:r>
    </w:p>
    <w:p>
      <w:pPr>
        <w:spacing w:after="0" w:line="166" w:lineRule="exact"/>
        <w:rPr>
          <w:rFonts w:ascii="Arial" w:cs="Arial" w:eastAsia="Arial" w:hAnsi="Arial"/>
          <w:sz w:val="16"/>
          <w:szCs w:val="16"/>
          <w:color w:val="auto"/>
        </w:rPr>
      </w:pPr>
    </w:p>
    <w:p>
      <w:pPr>
        <w:ind w:left="426" w:right="100" w:hanging="426"/>
        <w:spacing w:after="0" w:line="238" w:lineRule="auto"/>
        <w:tabs>
          <w:tab w:leader="none" w:pos="426" w:val="left"/>
        </w:tabs>
        <w:numPr>
          <w:ilvl w:val="0"/>
          <w:numId w:val="58"/>
        </w:numPr>
        <w:rPr>
          <w:rFonts w:ascii="Arial" w:cs="Arial" w:eastAsia="Arial" w:hAnsi="Arial"/>
          <w:sz w:val="16"/>
          <w:szCs w:val="16"/>
          <w:color w:val="auto"/>
        </w:rPr>
      </w:pPr>
      <w:r>
        <w:rPr>
          <w:rFonts w:ascii="Arial" w:cs="Arial" w:eastAsia="Arial" w:hAnsi="Arial"/>
          <w:sz w:val="16"/>
          <w:szCs w:val="16"/>
          <w:color w:val="auto"/>
        </w:rPr>
        <w:t>At the beginning of the hedging relationship, there is a formal designation and documentation of the hedging relationship and the entity's risk management objective and strategy to undertake the hedge. This documentation will include the identification of the hedging instrument, the hedged item, the nature of the risk being hedged, and how the entity will assess whether the hedging relationship meets the hedge effectiveness requirements.</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hedging relationship meets all of the following hedge effectiveness requirements:</w:t>
      </w:r>
    </w:p>
    <w:p>
      <w:pPr>
        <w:spacing w:after="0" w:line="166" w:lineRule="exact"/>
        <w:rPr>
          <w:sz w:val="20"/>
          <w:szCs w:val="20"/>
          <w:color w:val="auto"/>
        </w:rPr>
      </w:pPr>
    </w:p>
    <w:p>
      <w:pPr>
        <w:ind w:left="426" w:hanging="426"/>
        <w:spacing w:after="0"/>
        <w:tabs>
          <w:tab w:leader="none" w:pos="42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There is an economic relationship between the hedged item and the hedging instrument.</w:t>
      </w:r>
    </w:p>
    <w:p>
      <w:pPr>
        <w:spacing w:after="0" w:line="5" w:lineRule="exact"/>
        <w:rPr>
          <w:rFonts w:ascii="Arial" w:cs="Arial" w:eastAsia="Arial" w:hAnsi="Arial"/>
          <w:sz w:val="16"/>
          <w:szCs w:val="16"/>
          <w:color w:val="auto"/>
        </w:rPr>
      </w:pPr>
    </w:p>
    <w:p>
      <w:pPr>
        <w:ind w:left="426" w:hanging="426"/>
        <w:spacing w:after="0" w:line="228" w:lineRule="auto"/>
        <w:tabs>
          <w:tab w:leader="none" w:pos="42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effect of credit risk does not dominate the value changes that come from this economic relationship.</w:t>
      </w:r>
    </w:p>
    <w:p>
      <w:pPr>
        <w:ind w:left="426" w:hanging="426"/>
        <w:spacing w:after="0" w:line="238" w:lineRule="auto"/>
        <w:tabs>
          <w:tab w:leader="none" w:pos="42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hedge ratio of the hedging relationship is the same as that arising from the amount of the hedged item that the entity actually hedges and the amount of the hedging instrument that the entity actually uses to hedge that amount of the hedged item.</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accounting treatment is established according to the nature of the hedged item and the fulfillment of the hedging criteria.</w:t>
      </w:r>
    </w:p>
    <w:p>
      <w:pPr>
        <w:spacing w:after="0" w:line="166" w:lineRule="exact"/>
        <w:rPr>
          <w:sz w:val="20"/>
          <w:szCs w:val="20"/>
          <w:color w:val="auto"/>
        </w:rPr>
      </w:pPr>
    </w:p>
    <w:p>
      <w:pPr>
        <w:ind w:left="426" w:hanging="426"/>
        <w:spacing w:after="0"/>
        <w:tabs>
          <w:tab w:leader="none" w:pos="426" w:val="left"/>
        </w:tabs>
        <w:numPr>
          <w:ilvl w:val="0"/>
          <w:numId w:val="60"/>
        </w:numPr>
        <w:rPr>
          <w:rFonts w:ascii="Arial" w:cs="Arial" w:eastAsia="Arial" w:hAnsi="Arial"/>
          <w:sz w:val="16"/>
          <w:szCs w:val="16"/>
          <w:color w:val="auto"/>
        </w:rPr>
      </w:pPr>
      <w:r>
        <w:rPr>
          <w:rFonts w:ascii="Arial" w:cs="Arial" w:eastAsia="Arial" w:hAnsi="Arial"/>
          <w:sz w:val="16"/>
          <w:szCs w:val="16"/>
          <w:color w:val="auto"/>
        </w:rPr>
        <w:t>Cash flow hedges -</w:t>
      </w:r>
    </w:p>
    <w:p>
      <w:pPr>
        <w:spacing w:after="0" w:line="166" w:lineRule="exact"/>
        <w:rPr>
          <w:rFonts w:ascii="Arial" w:cs="Arial" w:eastAsia="Arial" w:hAnsi="Arial"/>
          <w:sz w:val="16"/>
          <w:szCs w:val="16"/>
          <w:color w:val="auto"/>
        </w:rPr>
      </w:pPr>
    </w:p>
    <w:p>
      <w:pPr>
        <w:ind w:left="426" w:right="140"/>
        <w:spacing w:after="0" w:line="238" w:lineRule="auto"/>
        <w:rPr>
          <w:rFonts w:ascii="Arial" w:cs="Arial" w:eastAsia="Arial" w:hAnsi="Arial"/>
          <w:sz w:val="16"/>
          <w:szCs w:val="16"/>
          <w:color w:val="auto"/>
        </w:rPr>
      </w:pPr>
      <w:r>
        <w:rPr>
          <w:rFonts w:ascii="Arial" w:cs="Arial" w:eastAsia="Arial" w:hAnsi="Arial"/>
          <w:sz w:val="16"/>
          <w:szCs w:val="16"/>
          <w:color w:val="auto"/>
        </w:rPr>
        <w:t>The effective portion of the cumulative gain or loss on the hedging instrument is recognized directly in other comprehensive income in the "Cash flow hedge reserves" line of the consolidated statement of changes in equity, and is reclassified to the consolidated statement of income in the same period or periods in which the hedged transaction affects results; that is, when the income or financial expenses related to the hedge are recorded, or when an anticipated transaction occurs.</w:t>
      </w:r>
    </w:p>
    <w:p>
      <w:pPr>
        <w:spacing w:after="0" w:line="145" w:lineRule="exact"/>
        <w:rPr>
          <w:rFonts w:ascii="Arial" w:cs="Arial" w:eastAsia="Arial" w:hAnsi="Arial"/>
          <w:sz w:val="16"/>
          <w:szCs w:val="16"/>
          <w:color w:val="auto"/>
        </w:rPr>
      </w:pPr>
    </w:p>
    <w:p>
      <w:pPr>
        <w:ind w:left="426" w:right="200"/>
        <w:spacing w:after="0" w:line="255" w:lineRule="auto"/>
        <w:rPr>
          <w:rFonts w:ascii="Arial" w:cs="Arial" w:eastAsia="Arial" w:hAnsi="Arial"/>
          <w:sz w:val="16"/>
          <w:szCs w:val="16"/>
          <w:color w:val="auto"/>
        </w:rPr>
      </w:pPr>
      <w:r>
        <w:rPr>
          <w:rFonts w:ascii="Arial" w:cs="Arial" w:eastAsia="Arial" w:hAnsi="Arial"/>
          <w:sz w:val="16"/>
          <w:szCs w:val="16"/>
          <w:color w:val="auto"/>
        </w:rPr>
        <w:t>The part of the gain or loss on derivatives that represents the ineffective portion is recognized immediately in the consolidated statement of income.</w:t>
      </w:r>
    </w:p>
    <w:p>
      <w:pPr>
        <w:spacing w:after="0" w:line="134" w:lineRule="exact"/>
        <w:rPr>
          <w:rFonts w:ascii="Arial" w:cs="Arial" w:eastAsia="Arial" w:hAnsi="Arial"/>
          <w:sz w:val="16"/>
          <w:szCs w:val="16"/>
          <w:color w:val="auto"/>
        </w:rPr>
      </w:pPr>
    </w:p>
    <w:p>
      <w:pPr>
        <w:ind w:left="426" w:right="440"/>
        <w:spacing w:after="0" w:line="255" w:lineRule="auto"/>
        <w:rPr>
          <w:rFonts w:ascii="Arial" w:cs="Arial" w:eastAsia="Arial" w:hAnsi="Arial"/>
          <w:sz w:val="16"/>
          <w:szCs w:val="16"/>
          <w:color w:val="auto"/>
        </w:rPr>
      </w:pPr>
      <w:r>
        <w:rPr>
          <w:rFonts w:ascii="Arial" w:cs="Arial" w:eastAsia="Arial" w:hAnsi="Arial"/>
          <w:sz w:val="16"/>
          <w:szCs w:val="16"/>
          <w:color w:val="auto"/>
        </w:rPr>
        <w:t>Amounts originally recorded in other comprehensive income and subsequently reclassified to the consolidated statement of income are recorded in the corresponding expense or income lines in which the hedged item is reported.</w:t>
      </w:r>
    </w:p>
    <w:p>
      <w:pPr>
        <w:spacing w:after="0" w:line="134" w:lineRule="exact"/>
        <w:rPr>
          <w:rFonts w:ascii="Arial" w:cs="Arial" w:eastAsia="Arial" w:hAnsi="Arial"/>
          <w:sz w:val="16"/>
          <w:szCs w:val="16"/>
          <w:color w:val="auto"/>
        </w:rPr>
      </w:pPr>
    </w:p>
    <w:p>
      <w:pPr>
        <w:ind w:left="426" w:right="60"/>
        <w:spacing w:after="0" w:line="236" w:lineRule="auto"/>
        <w:rPr>
          <w:rFonts w:ascii="Arial" w:cs="Arial" w:eastAsia="Arial" w:hAnsi="Arial"/>
          <w:sz w:val="16"/>
          <w:szCs w:val="16"/>
          <w:color w:val="auto"/>
        </w:rPr>
      </w:pPr>
      <w:r>
        <w:rPr>
          <w:rFonts w:ascii="Arial" w:cs="Arial" w:eastAsia="Arial" w:hAnsi="Arial"/>
          <w:sz w:val="16"/>
          <w:szCs w:val="16"/>
          <w:color w:val="auto"/>
        </w:rPr>
        <w:t>If the anticipated transaction or firm commitment is no longer expected to occur, the cumulative gain or loss in the cash flow hedge reserve is transferred to the consolidated statement of income. If the derivative expires or is sold, settled, or exercised without replacement or renewal, or if its designation as a hedge has been revoked, any unrealized gain or loss accumulated in the cash flow hedge reserve remains in that reserve until the anticipated transaction or firm commitment affects results. At the same time, the derivative is recognized as a tradable derivative financial instrument.</w:t>
      </w:r>
    </w:p>
    <w:p>
      <w:pPr>
        <w:spacing w:after="0" w:line="304"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46"/>
          </w:cols>
          <w:pgMar w:left="1434" w:top="124" w:right="319" w:bottom="1440" w:gutter="0" w:footer="0" w:header="0"/>
        </w:sectPr>
      </w:pPr>
    </w:p>
    <w:bookmarkStart w:id="51" w:name="page52"/>
    <w:bookmarkEnd w:id="51"/>
    <w:p>
      <w:pPr>
        <w:ind w:left="426" w:hanging="426"/>
        <w:spacing w:after="0"/>
        <w:tabs>
          <w:tab w:leader="none" w:pos="426" w:val="left"/>
        </w:tabs>
        <w:numPr>
          <w:ilvl w:val="0"/>
          <w:numId w:val="61"/>
        </w:numPr>
        <w:rPr>
          <w:rFonts w:ascii="Arial" w:cs="Arial" w:eastAsia="Arial" w:hAnsi="Arial"/>
          <w:sz w:val="16"/>
          <w:szCs w:val="16"/>
          <w:color w:val="auto"/>
        </w:rPr>
      </w:pPr>
      <w:r>
        <w:rPr>
          <w:rFonts w:ascii="Arial" w:cs="Arial" w:eastAsia="Arial" w:hAnsi="Arial"/>
          <w:sz w:val="16"/>
          <w:szCs w:val="16"/>
          <w:color w:val="auto"/>
        </w:rPr>
        <w:t>Fair value hedges -</w:t>
      </w:r>
    </w:p>
    <w:p>
      <w:pPr>
        <w:spacing w:after="0" w:line="167" w:lineRule="exact"/>
        <w:rPr>
          <w:rFonts w:ascii="Arial" w:cs="Arial" w:eastAsia="Arial" w:hAnsi="Arial"/>
          <w:sz w:val="16"/>
          <w:szCs w:val="16"/>
          <w:color w:val="auto"/>
        </w:rPr>
      </w:pPr>
    </w:p>
    <w:p>
      <w:pPr>
        <w:ind w:left="426" w:right="420"/>
        <w:spacing w:after="0" w:line="255" w:lineRule="auto"/>
        <w:rPr>
          <w:rFonts w:ascii="Arial" w:cs="Arial" w:eastAsia="Arial" w:hAnsi="Arial"/>
          <w:sz w:val="16"/>
          <w:szCs w:val="16"/>
          <w:color w:val="auto"/>
        </w:rPr>
      </w:pPr>
      <w:r>
        <w:rPr>
          <w:rFonts w:ascii="Arial" w:cs="Arial" w:eastAsia="Arial" w:hAnsi="Arial"/>
          <w:sz w:val="16"/>
          <w:szCs w:val="16"/>
          <w:color w:val="auto"/>
        </w:rPr>
        <w:t>The change in the fair value of a fair value hedge and the change in the fair value of the hedged item attributable to the hedged risk are recorded by affecting the carrying amount of the hedged item and are recognized in the consolidated statement of income.</w:t>
      </w:r>
    </w:p>
    <w:p>
      <w:pPr>
        <w:spacing w:after="0" w:line="134" w:lineRule="exact"/>
        <w:rPr>
          <w:rFonts w:ascii="Arial" w:cs="Arial" w:eastAsia="Arial" w:hAnsi="Arial"/>
          <w:sz w:val="16"/>
          <w:szCs w:val="16"/>
          <w:color w:val="auto"/>
        </w:rPr>
      </w:pPr>
    </w:p>
    <w:p>
      <w:pPr>
        <w:ind w:left="426" w:right="60"/>
        <w:spacing w:after="0" w:line="238" w:lineRule="auto"/>
        <w:rPr>
          <w:rFonts w:ascii="Arial" w:cs="Arial" w:eastAsia="Arial" w:hAnsi="Arial"/>
          <w:sz w:val="16"/>
          <w:szCs w:val="16"/>
          <w:color w:val="auto"/>
        </w:rPr>
      </w:pPr>
      <w:r>
        <w:rPr>
          <w:rFonts w:ascii="Arial" w:cs="Arial" w:eastAsia="Arial" w:hAnsi="Arial"/>
          <w:sz w:val="16"/>
          <w:szCs w:val="16"/>
          <w:color w:val="auto"/>
        </w:rPr>
        <w:t>For fair value hedges related to items recorded at amortized cost, any adjustment to the carrying amount of such items as a result of hedge discontinuation will be amortized through the consolidated statement of income over the remaining term of the hedge. Amortization at the effective interest rate may begin as soon as an adjustment occurs, but no later than when the hedged item is no longer adjusted for changes in its fair value attributable to the hedged risk.</w:t>
      </w:r>
    </w:p>
    <w:p>
      <w:pPr>
        <w:spacing w:after="0" w:line="145" w:lineRule="exact"/>
        <w:rPr>
          <w:rFonts w:ascii="Arial" w:cs="Arial" w:eastAsia="Arial" w:hAnsi="Arial"/>
          <w:sz w:val="16"/>
          <w:szCs w:val="16"/>
          <w:color w:val="auto"/>
        </w:rPr>
      </w:pPr>
    </w:p>
    <w:p>
      <w:pPr>
        <w:ind w:left="426"/>
        <w:spacing w:after="0"/>
        <w:rPr>
          <w:rFonts w:ascii="Arial" w:cs="Arial" w:eastAsia="Arial" w:hAnsi="Arial"/>
          <w:sz w:val="16"/>
          <w:szCs w:val="16"/>
          <w:color w:val="auto"/>
        </w:rPr>
      </w:pPr>
      <w:r>
        <w:rPr>
          <w:rFonts w:ascii="Arial" w:cs="Arial" w:eastAsia="Arial" w:hAnsi="Arial"/>
          <w:sz w:val="16"/>
          <w:szCs w:val="16"/>
          <w:color w:val="auto"/>
        </w:rPr>
        <w:t>If the hedged item is derecognized, the unamortized fair value is recognized immediately in the consolidated statement of income.</w:t>
      </w:r>
    </w:p>
    <w:p>
      <w:pPr>
        <w:spacing w:after="0" w:line="166" w:lineRule="exact"/>
        <w:rPr>
          <w:rFonts w:ascii="Arial" w:cs="Arial" w:eastAsia="Arial" w:hAnsi="Arial"/>
          <w:sz w:val="16"/>
          <w:szCs w:val="16"/>
          <w:color w:val="auto"/>
        </w:rPr>
      </w:pPr>
    </w:p>
    <w:p>
      <w:pPr>
        <w:ind w:left="426"/>
        <w:spacing w:after="0" w:line="236" w:lineRule="auto"/>
        <w:rPr>
          <w:rFonts w:ascii="Arial" w:cs="Arial" w:eastAsia="Arial" w:hAnsi="Arial"/>
          <w:sz w:val="16"/>
          <w:szCs w:val="16"/>
          <w:color w:val="auto"/>
        </w:rPr>
      </w:pPr>
      <w:r>
        <w:rPr>
          <w:rFonts w:ascii="Arial" w:cs="Arial" w:eastAsia="Arial" w:hAnsi="Arial"/>
          <w:sz w:val="16"/>
          <w:szCs w:val="16"/>
          <w:color w:val="auto"/>
        </w:rPr>
        <w:t>If a hedging instrument expires, is sold, settled, or exercised, or if its designation as a hedge no longer meets the criteria to be recorded as such, the hedging relationship is terminated. For fair value hedges related to items recorded at amortized cost, the difference between the fair value and the carrying amount of the hedged item at the end and the face value is amortized over the remaining term of the initial hedge, using the effective interest rate. If the hedged item is derecognized, the unamortized fair value is immediately recognized in the consolidated statement of income. At the same time, the derivative is recognized as a tradable derivative financial instrument.</w:t>
      </w:r>
    </w:p>
    <w:p>
      <w:pPr>
        <w:spacing w:after="0" w:line="145" w:lineRule="exact"/>
        <w:rPr>
          <w:rFonts w:ascii="Arial" w:cs="Arial" w:eastAsia="Arial" w:hAnsi="Arial"/>
          <w:sz w:val="16"/>
          <w:szCs w:val="16"/>
          <w:color w:val="auto"/>
        </w:rPr>
      </w:pPr>
    </w:p>
    <w:p>
      <w:pPr>
        <w:ind w:left="426" w:hanging="426"/>
        <w:spacing w:after="0"/>
        <w:tabs>
          <w:tab w:leader="none" w:pos="426"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Foreign currency net investment hedges -</w:t>
      </w:r>
    </w:p>
    <w:p>
      <w:pPr>
        <w:spacing w:after="0" w:line="166" w:lineRule="exact"/>
        <w:rPr>
          <w:rFonts w:ascii="Arial" w:cs="Arial" w:eastAsia="Arial" w:hAnsi="Arial"/>
          <w:sz w:val="16"/>
          <w:szCs w:val="16"/>
          <w:color w:val="auto"/>
        </w:rPr>
      </w:pPr>
    </w:p>
    <w:p>
      <w:pPr>
        <w:ind w:left="426"/>
        <w:spacing w:after="0"/>
        <w:rPr>
          <w:rFonts w:ascii="Arial" w:cs="Arial" w:eastAsia="Arial" w:hAnsi="Arial"/>
          <w:sz w:val="16"/>
          <w:szCs w:val="16"/>
          <w:color w:val="auto"/>
        </w:rPr>
      </w:pPr>
      <w:r>
        <w:rPr>
          <w:rFonts w:ascii="Arial" w:cs="Arial" w:eastAsia="Arial" w:hAnsi="Arial"/>
          <w:sz w:val="16"/>
          <w:szCs w:val="16"/>
          <w:color w:val="auto"/>
        </w:rPr>
        <w:t>Foreign currency net investment hedges are accounted for similarly to cash flow hedges.</w:t>
      </w:r>
    </w:p>
    <w:p>
      <w:pPr>
        <w:spacing w:after="0" w:line="166" w:lineRule="exact"/>
        <w:rPr>
          <w:rFonts w:ascii="Arial" w:cs="Arial" w:eastAsia="Arial" w:hAnsi="Arial"/>
          <w:sz w:val="16"/>
          <w:szCs w:val="16"/>
          <w:color w:val="auto"/>
        </w:rPr>
      </w:pPr>
    </w:p>
    <w:p>
      <w:pPr>
        <w:ind w:left="426" w:right="100"/>
        <w:spacing w:after="0" w:line="293" w:lineRule="auto"/>
        <w:rPr>
          <w:rFonts w:ascii="Arial" w:cs="Arial" w:eastAsia="Arial" w:hAnsi="Arial"/>
          <w:sz w:val="16"/>
          <w:szCs w:val="16"/>
          <w:color w:val="auto"/>
        </w:rPr>
      </w:pPr>
      <w:r>
        <w:rPr>
          <w:rFonts w:ascii="Arial" w:cs="Arial" w:eastAsia="Arial" w:hAnsi="Arial"/>
          <w:sz w:val="14"/>
          <w:szCs w:val="14"/>
          <w:color w:val="auto"/>
        </w:rPr>
        <w:t>Any gain or loss on the hedging instrument related to the effective portion of the hedge is recognized in other comprehensive income and accumulated in the "Translation of operations abroad" line of the consolidated statement of changes in equity. The gain or loss related to the ineffective portion is recognized immediately in the consolidated statement of income within "Other income" or "Other expenses".</w:t>
      </w:r>
    </w:p>
    <w:p>
      <w:pPr>
        <w:spacing w:after="0" w:line="110" w:lineRule="exact"/>
        <w:rPr>
          <w:rFonts w:ascii="Arial" w:cs="Arial" w:eastAsia="Arial" w:hAnsi="Arial"/>
          <w:sz w:val="16"/>
          <w:szCs w:val="16"/>
          <w:color w:val="auto"/>
        </w:rPr>
      </w:pPr>
    </w:p>
    <w:p>
      <w:pPr>
        <w:ind w:left="426" w:right="240"/>
        <w:spacing w:after="0" w:line="255" w:lineRule="auto"/>
        <w:rPr>
          <w:rFonts w:ascii="Arial" w:cs="Arial" w:eastAsia="Arial" w:hAnsi="Arial"/>
          <w:sz w:val="16"/>
          <w:szCs w:val="16"/>
          <w:color w:val="auto"/>
        </w:rPr>
      </w:pPr>
      <w:r>
        <w:rPr>
          <w:rFonts w:ascii="Arial" w:cs="Arial" w:eastAsia="Arial" w:hAnsi="Arial"/>
          <w:sz w:val="16"/>
          <w:szCs w:val="16"/>
          <w:color w:val="auto"/>
        </w:rPr>
        <w:t>Accumulated gains and losses in the consolidated statement of changes in equity are reclassified to the consolidated statement of income when the net investment abroad is disposed of or partially sold.</w:t>
      </w:r>
    </w:p>
    <w:p>
      <w:pPr>
        <w:spacing w:after="0" w:line="134" w:lineRule="exact"/>
        <w:rPr>
          <w:rFonts w:ascii="Arial" w:cs="Arial" w:eastAsia="Arial" w:hAnsi="Arial"/>
          <w:sz w:val="16"/>
          <w:szCs w:val="16"/>
          <w:color w:val="auto"/>
        </w:rPr>
      </w:pPr>
    </w:p>
    <w:p>
      <w:pPr>
        <w:ind w:left="426" w:hanging="426"/>
        <w:spacing w:after="0"/>
        <w:tabs>
          <w:tab w:leader="none" w:pos="426" w:val="left"/>
        </w:tabs>
        <w:numPr>
          <w:ilvl w:val="0"/>
          <w:numId w:val="61"/>
        </w:numPr>
        <w:rPr>
          <w:rFonts w:ascii="Arial" w:cs="Arial" w:eastAsia="Arial" w:hAnsi="Arial"/>
          <w:sz w:val="16"/>
          <w:szCs w:val="16"/>
          <w:color w:val="auto"/>
        </w:rPr>
      </w:pPr>
      <w:r>
        <w:rPr>
          <w:rFonts w:ascii="Arial" w:cs="Arial" w:eastAsia="Arial" w:hAnsi="Arial"/>
          <w:sz w:val="16"/>
          <w:szCs w:val="16"/>
          <w:color w:val="auto"/>
        </w:rPr>
        <w:t>Implicit derivatives -</w:t>
      </w:r>
    </w:p>
    <w:p>
      <w:pPr>
        <w:spacing w:after="0" w:line="166" w:lineRule="exact"/>
        <w:rPr>
          <w:rFonts w:ascii="Arial" w:cs="Arial" w:eastAsia="Arial" w:hAnsi="Arial"/>
          <w:sz w:val="16"/>
          <w:szCs w:val="16"/>
          <w:color w:val="auto"/>
        </w:rPr>
      </w:pPr>
    </w:p>
    <w:p>
      <w:pPr>
        <w:ind w:left="426" w:right="660"/>
        <w:spacing w:after="0" w:line="241" w:lineRule="auto"/>
        <w:rPr>
          <w:rFonts w:ascii="Arial" w:cs="Arial" w:eastAsia="Arial" w:hAnsi="Arial"/>
          <w:sz w:val="16"/>
          <w:szCs w:val="16"/>
          <w:color w:val="auto"/>
        </w:rPr>
      </w:pPr>
      <w:r>
        <w:rPr>
          <w:rFonts w:ascii="Arial" w:cs="Arial" w:eastAsia="Arial" w:hAnsi="Arial"/>
          <w:sz w:val="16"/>
          <w:szCs w:val="16"/>
          <w:color w:val="auto"/>
        </w:rPr>
        <w:t>Implicit derivatives in a principal (or host) contract are treated as separate derivatives and recorded at fair value if their economic characteristics and risks are not closely related to those of the principal contract and such principal contract is not held for trading or measured at fair value with effect on income.</w:t>
      </w:r>
    </w:p>
    <w:p>
      <w:pPr>
        <w:spacing w:after="0" w:line="145" w:lineRule="exact"/>
        <w:rPr>
          <w:rFonts w:ascii="Arial" w:cs="Arial" w:eastAsia="Arial" w:hAnsi="Arial"/>
          <w:sz w:val="16"/>
          <w:szCs w:val="16"/>
          <w:color w:val="auto"/>
        </w:rPr>
      </w:pPr>
    </w:p>
    <w:p>
      <w:pPr>
        <w:ind w:left="426" w:right="40"/>
        <w:spacing w:after="0" w:line="255" w:lineRule="auto"/>
        <w:rPr>
          <w:rFonts w:ascii="Arial" w:cs="Arial" w:eastAsia="Arial" w:hAnsi="Arial"/>
          <w:sz w:val="16"/>
          <w:szCs w:val="16"/>
          <w:color w:val="auto"/>
        </w:rPr>
      </w:pPr>
      <w:r>
        <w:rPr>
          <w:rFonts w:ascii="Arial" w:cs="Arial" w:eastAsia="Arial" w:hAnsi="Arial"/>
          <w:sz w:val="16"/>
          <w:szCs w:val="16"/>
          <w:color w:val="auto"/>
        </w:rPr>
        <w:t>The Group has investments indexed to certain liabilities from life insurance contracts, called "</w:t>
      </w:r>
      <w:r>
        <w:rPr>
          <w:rFonts w:ascii="Arial" w:cs="Arial" w:eastAsia="Arial" w:hAnsi="Arial"/>
          <w:sz w:val="16"/>
          <w:szCs w:val="16"/>
          <w:i w:val="1"/>
          <w:iCs w:val="1"/>
          <w:color w:val="auto"/>
        </w:rPr>
        <w:t>Investment Link</w:t>
      </w:r>
      <w:r>
        <w:rPr>
          <w:rFonts w:ascii="Arial" w:cs="Arial" w:eastAsia="Arial" w:hAnsi="Arial"/>
          <w:sz w:val="16"/>
          <w:szCs w:val="16"/>
          <w:color w:val="auto"/>
        </w:rPr>
        <w:t xml:space="preserve">". These instruments have been classified by the Group since their initial recognition as " </w:t>
      </w:r>
      <w:r>
        <w:rPr>
          <w:rFonts w:ascii="Arial" w:cs="Arial" w:eastAsia="Arial" w:hAnsi="Arial"/>
          <w:sz w:val="16"/>
          <w:szCs w:val="16"/>
          <w:color w:val="001D35"/>
        </w:rPr>
        <w:t>Financial assets designated at fair value through profit or loss</w:t>
      </w:r>
      <w:r>
        <w:rPr>
          <w:rFonts w:ascii="Arial" w:cs="Arial" w:eastAsia="Arial" w:hAnsi="Arial"/>
          <w:sz w:val="16"/>
          <w:szCs w:val="16"/>
          <w:color w:val="auto"/>
        </w:rPr>
        <w:t xml:space="preserve"> ".</w:t>
      </w:r>
    </w:p>
    <w:p>
      <w:pPr>
        <w:spacing w:after="0" w:line="293" w:lineRule="exact"/>
        <w:rPr>
          <w:sz w:val="20"/>
          <w:szCs w:val="20"/>
          <w:color w:val="auto"/>
        </w:rPr>
      </w:pPr>
    </w:p>
    <w:p>
      <w:pPr>
        <w:ind w:left="4406"/>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26"/>
          </w:cols>
          <w:pgMar w:left="1434" w:top="124" w:right="339" w:bottom="1440" w:gutter="0" w:footer="0" w:header="0"/>
        </w:sectPr>
      </w:pPr>
    </w:p>
    <w:bookmarkStart w:id="52" w:name="page53"/>
    <w:bookmarkEnd w:id="52"/>
    <w:p>
      <w:pPr>
        <w:ind w:left="526" w:hanging="526"/>
        <w:spacing w:after="0"/>
        <w:tabs>
          <w:tab w:leader="none" w:pos="526" w:val="left"/>
        </w:tabs>
        <w:numPr>
          <w:ilvl w:val="0"/>
          <w:numId w:val="62"/>
        </w:numPr>
        <w:rPr>
          <w:rFonts w:ascii="Arial" w:cs="Arial" w:eastAsia="Arial" w:hAnsi="Arial"/>
          <w:sz w:val="16"/>
          <w:szCs w:val="16"/>
          <w:color w:val="auto"/>
        </w:rPr>
      </w:pPr>
      <w:r>
        <w:rPr>
          <w:rFonts w:ascii="Arial" w:cs="Arial" w:eastAsia="Arial" w:hAnsi="Arial"/>
          <w:sz w:val="16"/>
          <w:szCs w:val="16"/>
          <w:color w:val="auto"/>
        </w:rPr>
        <w:t>Fair value measurement -</w:t>
      </w:r>
    </w:p>
    <w:p>
      <w:pPr>
        <w:spacing w:after="0" w:line="167" w:lineRule="exact"/>
        <w:rPr>
          <w:sz w:val="20"/>
          <w:szCs w:val="20"/>
          <w:color w:val="auto"/>
        </w:rPr>
      </w:pPr>
    </w:p>
    <w:p>
      <w:pPr>
        <w:ind w:left="566"/>
        <w:spacing w:after="0" w:line="241" w:lineRule="auto"/>
        <w:rPr>
          <w:sz w:val="20"/>
          <w:szCs w:val="20"/>
          <w:color w:val="auto"/>
        </w:rPr>
      </w:pPr>
      <w:r>
        <w:rPr>
          <w:rFonts w:ascii="Arial" w:cs="Arial" w:eastAsia="Arial" w:hAnsi="Arial"/>
          <w:sz w:val="16"/>
          <w:szCs w:val="16"/>
          <w:color w:val="auto"/>
        </w:rPr>
        <w:t>Fair value is the price that would be received for selling an asset or that would be paid to transfer a liability in an orderly transaction between market participants at the measurement date. Fair value measurement is based on the assumption that the transaction to sell the asset or transfer the liability takes place, either:</w:t>
      </w:r>
    </w:p>
    <w:p>
      <w:pPr>
        <w:spacing w:after="0" w:line="146" w:lineRule="exact"/>
        <w:rPr>
          <w:sz w:val="20"/>
          <w:szCs w:val="20"/>
          <w:color w:val="auto"/>
        </w:rPr>
      </w:pPr>
    </w:p>
    <w:p>
      <w:pPr>
        <w:ind w:left="766" w:hanging="206"/>
        <w:spacing w:after="0"/>
        <w:tabs>
          <w:tab w:leader="none" w:pos="766"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principal market for the asset or liability, or</w:t>
      </w:r>
    </w:p>
    <w:p>
      <w:pPr>
        <w:spacing w:after="0" w:line="5" w:lineRule="exact"/>
        <w:rPr>
          <w:rFonts w:ascii="Arial" w:cs="Arial" w:eastAsia="Arial" w:hAnsi="Arial"/>
          <w:sz w:val="16"/>
          <w:szCs w:val="16"/>
          <w:color w:val="auto"/>
        </w:rPr>
      </w:pPr>
    </w:p>
    <w:p>
      <w:pPr>
        <w:ind w:left="766" w:hanging="206"/>
        <w:spacing w:after="0"/>
        <w:tabs>
          <w:tab w:leader="none" w:pos="766"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absence of a principal market, in the most advantageous market for the asset or liability.</w:t>
      </w:r>
    </w:p>
    <w:p>
      <w:pPr>
        <w:spacing w:after="0" w:line="152"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principal or most advantageous market must be accessible to the Group. Also, the fair value of a liability reflects its default risk.</w:t>
      </w:r>
    </w:p>
    <w:p>
      <w:pPr>
        <w:spacing w:after="0" w:line="166" w:lineRule="exact"/>
        <w:rPr>
          <w:sz w:val="20"/>
          <w:szCs w:val="20"/>
          <w:color w:val="auto"/>
        </w:rPr>
      </w:pPr>
    </w:p>
    <w:p>
      <w:pPr>
        <w:ind w:left="566" w:right="180"/>
        <w:spacing w:after="0" w:line="241" w:lineRule="auto"/>
        <w:rPr>
          <w:sz w:val="20"/>
          <w:szCs w:val="20"/>
          <w:color w:val="auto"/>
        </w:rPr>
      </w:pPr>
      <w:r>
        <w:rPr>
          <w:rFonts w:ascii="Arial" w:cs="Arial" w:eastAsia="Arial" w:hAnsi="Arial"/>
          <w:sz w:val="16"/>
          <w:szCs w:val="16"/>
          <w:color w:val="auto"/>
        </w:rPr>
        <w:t>When available, the Group measures the fair value of an instrument using the quoted price in an active market for that instrument. A market is considered active if transactions for the asset or liability occur with sufficient frequency and volume to provide pricing information on a continuous basis.</w:t>
      </w:r>
    </w:p>
    <w:p>
      <w:pPr>
        <w:spacing w:after="0" w:line="146" w:lineRule="exact"/>
        <w:rPr>
          <w:sz w:val="20"/>
          <w:szCs w:val="20"/>
          <w:color w:val="auto"/>
        </w:rPr>
      </w:pPr>
    </w:p>
    <w:p>
      <w:pPr>
        <w:ind w:left="566" w:right="660"/>
        <w:spacing w:after="0" w:line="255" w:lineRule="auto"/>
        <w:rPr>
          <w:sz w:val="20"/>
          <w:szCs w:val="20"/>
          <w:color w:val="auto"/>
        </w:rPr>
      </w:pPr>
      <w:r>
        <w:rPr>
          <w:rFonts w:ascii="Arial" w:cs="Arial" w:eastAsia="Arial" w:hAnsi="Arial"/>
          <w:sz w:val="16"/>
          <w:szCs w:val="16"/>
          <w:color w:val="auto"/>
        </w:rPr>
        <w:t>If there is no quoted price in an active market, the Group uses valuation techniques that maximize the use of relevant observable data and minimize the use of unobservable data.</w:t>
      </w:r>
    </w:p>
    <w:p>
      <w:pPr>
        <w:spacing w:after="0" w:line="134"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valuation technique chosen incorporates all factors that market participants would consider when setting the price of a transaction.</w:t>
      </w:r>
    </w:p>
    <w:p>
      <w:pPr>
        <w:spacing w:after="0" w:line="166" w:lineRule="exact"/>
        <w:rPr>
          <w:sz w:val="20"/>
          <w:szCs w:val="20"/>
          <w:color w:val="auto"/>
        </w:rPr>
      </w:pPr>
    </w:p>
    <w:p>
      <w:pPr>
        <w:ind w:left="566" w:right="80"/>
        <w:spacing w:after="0" w:line="255" w:lineRule="auto"/>
        <w:rPr>
          <w:sz w:val="20"/>
          <w:szCs w:val="20"/>
          <w:color w:val="auto"/>
        </w:rPr>
      </w:pPr>
      <w:r>
        <w:rPr>
          <w:rFonts w:ascii="Arial" w:cs="Arial" w:eastAsia="Arial" w:hAnsi="Arial"/>
          <w:sz w:val="16"/>
          <w:szCs w:val="16"/>
          <w:color w:val="auto"/>
        </w:rPr>
        <w:t>All assets and liabilities for which fair values are determined or disclosed in the consolidated financial statements are classified within the fair value hierarchy, described below, based on the lowest level of data used that is significant to the fair value measurement as a whole:</w:t>
      </w:r>
    </w:p>
    <w:p>
      <w:pPr>
        <w:spacing w:after="0" w:line="134" w:lineRule="exact"/>
        <w:rPr>
          <w:sz w:val="20"/>
          <w:szCs w:val="20"/>
          <w:color w:val="auto"/>
        </w:rPr>
      </w:pPr>
    </w:p>
    <w:p>
      <w:pPr>
        <w:ind w:left="766" w:hanging="206"/>
        <w:spacing w:after="0"/>
        <w:tabs>
          <w:tab w:leader="none" w:pos="7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Level 1: Quoted prices (unadjusted) in active markets for identical assets or liabilities.</w:t>
      </w:r>
    </w:p>
    <w:p>
      <w:pPr>
        <w:spacing w:after="0" w:line="166" w:lineRule="exact"/>
        <w:rPr>
          <w:rFonts w:ascii="Arial" w:cs="Arial" w:eastAsia="Arial" w:hAnsi="Arial"/>
          <w:sz w:val="16"/>
          <w:szCs w:val="16"/>
          <w:color w:val="auto"/>
        </w:rPr>
      </w:pPr>
    </w:p>
    <w:p>
      <w:pPr>
        <w:ind w:left="766" w:right="360" w:hanging="206"/>
        <w:spacing w:after="0" w:line="255" w:lineRule="auto"/>
        <w:tabs>
          <w:tab w:leader="none" w:pos="7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Level 2: Valuation techniques by which the lowest level of information that is significant to the fair value measurement is directly or indirectly observable.</w:t>
      </w:r>
    </w:p>
    <w:p>
      <w:pPr>
        <w:spacing w:after="0" w:line="134" w:lineRule="exact"/>
        <w:rPr>
          <w:rFonts w:ascii="Arial" w:cs="Arial" w:eastAsia="Arial" w:hAnsi="Arial"/>
          <w:sz w:val="16"/>
          <w:szCs w:val="16"/>
          <w:color w:val="auto"/>
        </w:rPr>
      </w:pPr>
    </w:p>
    <w:p>
      <w:pPr>
        <w:ind w:left="766" w:hanging="206"/>
        <w:spacing w:after="0"/>
        <w:tabs>
          <w:tab w:leader="none" w:pos="7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Level 3: Valuation techniques by which the lowest level of information that is significant to the fair value measurement is not observable.</w:t>
      </w:r>
    </w:p>
    <w:p>
      <w:pPr>
        <w:spacing w:after="0" w:line="166" w:lineRule="exact"/>
        <w:rPr>
          <w:sz w:val="20"/>
          <w:szCs w:val="20"/>
          <w:color w:val="auto"/>
        </w:rPr>
      </w:pPr>
    </w:p>
    <w:p>
      <w:pPr>
        <w:ind w:left="566" w:right="500"/>
        <w:spacing w:after="0" w:line="326" w:lineRule="auto"/>
        <w:rPr>
          <w:sz w:val="20"/>
          <w:szCs w:val="20"/>
          <w:color w:val="auto"/>
        </w:rPr>
      </w:pPr>
      <w:r>
        <w:rPr>
          <w:rFonts w:ascii="Arial" w:cs="Arial" w:eastAsia="Arial" w:hAnsi="Arial"/>
          <w:sz w:val="14"/>
          <w:szCs w:val="14"/>
          <w:color w:val="auto"/>
        </w:rPr>
        <w:t>The Group determines for assets and liabilities that are recognized at fair value in the consolidated financial statements on a recurring basis, whether transfers occurred between different levels within the hierarchy by reviewing the categorization at the end of each reporting period.</w:t>
      </w:r>
    </w:p>
    <w:p>
      <w:pPr>
        <w:spacing w:after="0" w:line="88" w:lineRule="exact"/>
        <w:rPr>
          <w:sz w:val="20"/>
          <w:szCs w:val="20"/>
          <w:color w:val="auto"/>
        </w:rPr>
      </w:pPr>
    </w:p>
    <w:p>
      <w:pPr>
        <w:ind w:left="566" w:right="100"/>
        <w:spacing w:after="0" w:line="255" w:lineRule="auto"/>
        <w:rPr>
          <w:sz w:val="20"/>
          <w:szCs w:val="20"/>
          <w:color w:val="auto"/>
        </w:rPr>
      </w:pPr>
      <w:r>
        <w:rPr>
          <w:rFonts w:ascii="Arial" w:cs="Arial" w:eastAsia="Arial" w:hAnsi="Arial"/>
          <w:sz w:val="16"/>
          <w:szCs w:val="16"/>
          <w:color w:val="auto"/>
        </w:rPr>
        <w:t>For fair value disclosure purposes, the Group has determined the classes of assets and liabilities based on the nature, characteristics, and risks of the asset or liability and the level of the fair value hierarchy as explained above.</w:t>
      </w:r>
    </w:p>
    <w:p>
      <w:pPr>
        <w:spacing w:after="0" w:line="134" w:lineRule="exact"/>
        <w:rPr>
          <w:sz w:val="20"/>
          <w:szCs w:val="20"/>
          <w:color w:val="auto"/>
        </w:rPr>
      </w:pPr>
    </w:p>
    <w:p>
      <w:pPr>
        <w:ind w:left="566"/>
        <w:spacing w:after="0"/>
        <w:rPr>
          <w:sz w:val="20"/>
          <w:szCs w:val="20"/>
          <w:color w:val="auto"/>
        </w:rPr>
      </w:pPr>
      <w:r>
        <w:rPr>
          <w:rFonts w:ascii="Arial" w:cs="Arial" w:eastAsia="Arial" w:hAnsi="Arial"/>
          <w:sz w:val="16"/>
          <w:szCs w:val="16"/>
          <w:color w:val="auto"/>
        </w:rPr>
        <w:t>Also, the fair value of financial instruments measured at amortized cost is disclosed in Note 30.11(b).</w:t>
      </w:r>
    </w:p>
    <w:p>
      <w:pPr>
        <w:spacing w:after="0" w:line="166" w:lineRule="exact"/>
        <w:rPr>
          <w:sz w:val="20"/>
          <w:szCs w:val="20"/>
          <w:color w:val="auto"/>
        </w:rPr>
      </w:pPr>
    </w:p>
    <w:p>
      <w:pPr>
        <w:ind w:left="526" w:hanging="526"/>
        <w:spacing w:after="0"/>
        <w:tabs>
          <w:tab w:leader="none" w:pos="526"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Segment information -</w:t>
      </w:r>
    </w:p>
    <w:p>
      <w:pPr>
        <w:spacing w:after="0" w:line="166" w:lineRule="exact"/>
        <w:rPr>
          <w:sz w:val="20"/>
          <w:szCs w:val="20"/>
          <w:color w:val="auto"/>
        </w:rPr>
      </w:pPr>
    </w:p>
    <w:p>
      <w:pPr>
        <w:ind w:left="566" w:right="840"/>
        <w:spacing w:after="0" w:line="255" w:lineRule="auto"/>
        <w:rPr>
          <w:sz w:val="20"/>
          <w:szCs w:val="20"/>
          <w:color w:val="auto"/>
        </w:rPr>
      </w:pPr>
      <w:r>
        <w:rPr>
          <w:rFonts w:ascii="Arial" w:cs="Arial" w:eastAsia="Arial" w:hAnsi="Arial"/>
          <w:sz w:val="16"/>
          <w:szCs w:val="16"/>
          <w:color w:val="0D0D0D"/>
        </w:rPr>
        <w:t>The Group reports financial and descriptive information about its reportable segments. Reportable segments are operating segments or aggregations of operating segments that meet specific criteria.</w:t>
      </w:r>
    </w:p>
    <w:p>
      <w:pPr>
        <w:spacing w:after="0" w:line="293" w:lineRule="exact"/>
        <w:rPr>
          <w:sz w:val="20"/>
          <w:szCs w:val="20"/>
          <w:color w:val="auto"/>
        </w:rPr>
      </w:pPr>
    </w:p>
    <w:p>
      <w:pPr>
        <w:ind w:left="4966"/>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6"/>
          </w:cols>
          <w:pgMar w:left="874" w:top="124" w:right="319" w:bottom="1440" w:gutter="0" w:footer="0" w:header="0"/>
        </w:sectPr>
      </w:pPr>
    </w:p>
    <w:bookmarkStart w:id="53" w:name="page54"/>
    <w:bookmarkEnd w:id="53"/>
    <w:p>
      <w:pPr>
        <w:ind w:left="566" w:right="220"/>
        <w:spacing w:after="0" w:line="294" w:lineRule="auto"/>
        <w:rPr>
          <w:sz w:val="20"/>
          <w:szCs w:val="20"/>
          <w:color w:val="auto"/>
        </w:rPr>
      </w:pPr>
      <w:r>
        <w:rPr>
          <w:rFonts w:ascii="Arial" w:cs="Arial" w:eastAsia="Arial" w:hAnsi="Arial"/>
          <w:sz w:val="14"/>
          <w:szCs w:val="14"/>
          <w:color w:val="0D0D0D"/>
        </w:rPr>
        <w:t>Operating segments are a component of an entity for which separate financial information is available and is evaluated periodically by the chief operating decision-maker ("CODM") related to the allocation of resources and performance evaluation. The Group discloses the same financial information that is used internally to assess the performance of operating segments and decide how to allocate resources to segments, Note 27.</w:t>
      </w:r>
    </w:p>
    <w:p>
      <w:pPr>
        <w:spacing w:after="0" w:line="110" w:lineRule="exact"/>
        <w:rPr>
          <w:sz w:val="20"/>
          <w:szCs w:val="20"/>
          <w:color w:val="auto"/>
        </w:rPr>
      </w:pPr>
    </w:p>
    <w:p>
      <w:pPr>
        <w:ind w:left="526" w:hanging="526"/>
        <w:spacing w:after="0"/>
        <w:tabs>
          <w:tab w:leader="none" w:pos="526" w:val="left"/>
        </w:tabs>
        <w:numPr>
          <w:ilvl w:val="0"/>
          <w:numId w:val="66"/>
        </w:numPr>
        <w:rPr>
          <w:rFonts w:ascii="Arial" w:cs="Arial" w:eastAsia="Arial" w:hAnsi="Arial"/>
          <w:sz w:val="16"/>
          <w:szCs w:val="16"/>
          <w:color w:val="auto"/>
        </w:rPr>
      </w:pPr>
      <w:r>
        <w:rPr>
          <w:rFonts w:ascii="Arial" w:cs="Arial" w:eastAsia="Arial" w:hAnsi="Arial"/>
          <w:sz w:val="16"/>
          <w:szCs w:val="16"/>
          <w:color w:val="auto"/>
        </w:rPr>
        <w:t>Fiduciary activities, fund management, and pension funds -</w:t>
      </w:r>
    </w:p>
    <w:p>
      <w:pPr>
        <w:spacing w:after="0" w:line="166" w:lineRule="exact"/>
        <w:rPr>
          <w:sz w:val="20"/>
          <w:szCs w:val="20"/>
          <w:color w:val="auto"/>
        </w:rPr>
      </w:pPr>
    </w:p>
    <w:p>
      <w:pPr>
        <w:jc w:val="both"/>
        <w:ind w:left="566" w:right="80"/>
        <w:spacing w:after="0" w:line="241" w:lineRule="auto"/>
        <w:rPr>
          <w:sz w:val="20"/>
          <w:szCs w:val="20"/>
          <w:color w:val="auto"/>
        </w:rPr>
      </w:pPr>
      <w:r>
        <w:rPr>
          <w:rFonts w:ascii="Arial" w:cs="Arial" w:eastAsia="Arial" w:hAnsi="Arial"/>
          <w:sz w:val="16"/>
          <w:szCs w:val="16"/>
          <w:color w:val="0D0D0D"/>
        </w:rPr>
        <w:t>The Group provides custody, administration, investment management, and advisory services to third parties that result in holding or lending assets on their behalf. These assets and the results on them are excluded from the consolidated financial statements, as they are not Group assets, Note 30.12.</w:t>
      </w:r>
    </w:p>
    <w:p>
      <w:pPr>
        <w:spacing w:after="0" w:line="146" w:lineRule="exact"/>
        <w:rPr>
          <w:sz w:val="20"/>
          <w:szCs w:val="20"/>
          <w:color w:val="auto"/>
        </w:rPr>
      </w:pPr>
    </w:p>
    <w:p>
      <w:pPr>
        <w:ind w:left="586"/>
        <w:spacing w:after="0"/>
        <w:rPr>
          <w:sz w:val="20"/>
          <w:szCs w:val="20"/>
          <w:color w:val="auto"/>
        </w:rPr>
      </w:pPr>
      <w:r>
        <w:rPr>
          <w:rFonts w:ascii="Arial" w:cs="Arial" w:eastAsia="Arial" w:hAnsi="Arial"/>
          <w:sz w:val="16"/>
          <w:szCs w:val="16"/>
          <w:color w:val="0D0D0D"/>
        </w:rPr>
        <w:t>Commissions generated by this activity are included in the "Commissions and fees" line of the consolidated statement of income.</w:t>
      </w:r>
    </w:p>
    <w:p>
      <w:pPr>
        <w:spacing w:after="0" w:line="166" w:lineRule="exact"/>
        <w:rPr>
          <w:sz w:val="20"/>
          <w:szCs w:val="20"/>
          <w:color w:val="auto"/>
        </w:rPr>
      </w:pPr>
    </w:p>
    <w:p>
      <w:pPr>
        <w:ind w:left="526" w:hanging="526"/>
        <w:spacing w:after="0"/>
        <w:tabs>
          <w:tab w:leader="none" w:pos="5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Cash and cash equivalents -</w:t>
      </w:r>
    </w:p>
    <w:p>
      <w:pPr>
        <w:spacing w:after="0" w:line="166" w:lineRule="exact"/>
        <w:rPr>
          <w:sz w:val="20"/>
          <w:szCs w:val="20"/>
          <w:color w:val="auto"/>
        </w:rPr>
      </w:pPr>
    </w:p>
    <w:p>
      <w:pPr>
        <w:jc w:val="both"/>
        <w:ind w:left="566" w:right="480"/>
        <w:spacing w:after="0" w:line="241" w:lineRule="auto"/>
        <w:rPr>
          <w:sz w:val="20"/>
          <w:szCs w:val="20"/>
          <w:color w:val="auto"/>
        </w:rPr>
      </w:pPr>
      <w:r>
        <w:rPr>
          <w:rFonts w:ascii="Arial" w:cs="Arial" w:eastAsia="Arial" w:hAnsi="Arial"/>
          <w:sz w:val="16"/>
          <w:szCs w:val="16"/>
          <w:color w:val="0D0D0D"/>
        </w:rPr>
        <w:t>For the purposes of the consolidated statement of cash flows, cash and cash equivalents correspond to cash balances, funds deposited with central banks, "overnight" deposits, interbank funds, and deposits with maturities of three months or less from the acquisition date, excluding restricted funds, see Note 4(a).</w:t>
      </w:r>
    </w:p>
    <w:p>
      <w:pPr>
        <w:spacing w:after="0" w:line="146" w:lineRule="exact"/>
        <w:rPr>
          <w:sz w:val="20"/>
          <w:szCs w:val="20"/>
          <w:color w:val="auto"/>
        </w:rPr>
      </w:pPr>
    </w:p>
    <w:p>
      <w:pPr>
        <w:ind w:left="566" w:right="40"/>
        <w:spacing w:after="0" w:line="255" w:lineRule="auto"/>
        <w:rPr>
          <w:sz w:val="20"/>
          <w:szCs w:val="20"/>
          <w:color w:val="auto"/>
        </w:rPr>
      </w:pPr>
      <w:r>
        <w:rPr>
          <w:rFonts w:ascii="Arial" w:cs="Arial" w:eastAsia="Arial" w:hAnsi="Arial"/>
          <w:sz w:val="16"/>
          <w:szCs w:val="16"/>
          <w:color w:val="0D0D0D"/>
        </w:rPr>
        <w:t>Guarantee funds committed as part of a repurchase agreement are presented in the "Guarantee funds, repurchase agreements, and financing with securities" line of the consolidated statement of financial position, see Note 5(a).</w:t>
      </w:r>
    </w:p>
    <w:p>
      <w:pPr>
        <w:spacing w:after="0" w:line="134" w:lineRule="exact"/>
        <w:rPr>
          <w:sz w:val="20"/>
          <w:szCs w:val="20"/>
          <w:color w:val="auto"/>
        </w:rPr>
      </w:pPr>
    </w:p>
    <w:p>
      <w:pPr>
        <w:ind w:left="566" w:right="180"/>
        <w:spacing w:after="0" w:line="255" w:lineRule="auto"/>
        <w:rPr>
          <w:sz w:val="20"/>
          <w:szCs w:val="20"/>
          <w:color w:val="auto"/>
        </w:rPr>
      </w:pPr>
      <w:r>
        <w:rPr>
          <w:rFonts w:ascii="Arial" w:cs="Arial" w:eastAsia="Arial" w:hAnsi="Arial"/>
          <w:sz w:val="16"/>
          <w:szCs w:val="16"/>
          <w:color w:val="0D0D0D"/>
        </w:rPr>
        <w:t>Guarantee funds committed in trading of derivative financial instruments are presented in the "Other assets" line of the consolidated statement of financial position, see Note 12(c).</w:t>
      </w:r>
    </w:p>
    <w:p>
      <w:pPr>
        <w:spacing w:after="0" w:line="134" w:lineRule="exact"/>
        <w:rPr>
          <w:sz w:val="20"/>
          <w:szCs w:val="20"/>
          <w:color w:val="auto"/>
        </w:rPr>
      </w:pPr>
    </w:p>
    <w:p>
      <w:pPr>
        <w:ind w:left="566" w:right="220"/>
        <w:spacing w:after="0" w:line="238" w:lineRule="auto"/>
        <w:rPr>
          <w:sz w:val="20"/>
          <w:szCs w:val="20"/>
          <w:color w:val="auto"/>
        </w:rPr>
      </w:pPr>
      <w:r>
        <w:rPr>
          <w:rFonts w:ascii="Arial" w:cs="Arial" w:eastAsia="Arial" w:hAnsi="Arial"/>
          <w:sz w:val="16"/>
          <w:szCs w:val="16"/>
          <w:color w:val="auto"/>
        </w:rPr>
        <w:t>Unrealized gains and losses arising from changes in foreign currency exchange rates are not cash flows. However, the effect of exchange rate changes on cash and cash equivalents held or due in a foreign currency is reported in the statement of cash flows in order to reconcile cash and cash equivalents at the beginning and the end of the period. This amount is presented separately from cash flows from operating, investing and financing activities and includes the differences, if any, had those cash flows been reported at end of period exchange rates.</w:t>
      </w:r>
    </w:p>
    <w:p>
      <w:pPr>
        <w:spacing w:after="0" w:line="145" w:lineRule="exact"/>
        <w:rPr>
          <w:sz w:val="20"/>
          <w:szCs w:val="20"/>
          <w:color w:val="auto"/>
        </w:rPr>
      </w:pPr>
    </w:p>
    <w:p>
      <w:pPr>
        <w:ind w:left="526" w:hanging="526"/>
        <w:spacing w:after="0"/>
        <w:tabs>
          <w:tab w:leader="none" w:pos="5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Repurchase and resale agreements and loans and financing with securities -</w:t>
      </w:r>
    </w:p>
    <w:p>
      <w:pPr>
        <w:spacing w:after="0" w:line="166" w:lineRule="exact"/>
        <w:rPr>
          <w:sz w:val="20"/>
          <w:szCs w:val="20"/>
          <w:color w:val="auto"/>
        </w:rPr>
      </w:pPr>
    </w:p>
    <w:p>
      <w:pPr>
        <w:ind w:left="566"/>
        <w:spacing w:after="0" w:line="234" w:lineRule="auto"/>
        <w:rPr>
          <w:sz w:val="20"/>
          <w:szCs w:val="20"/>
          <w:color w:val="auto"/>
        </w:rPr>
      </w:pPr>
      <w:r>
        <w:rPr>
          <w:rFonts w:ascii="Arial" w:cs="Arial" w:eastAsia="Arial" w:hAnsi="Arial"/>
          <w:sz w:val="16"/>
          <w:szCs w:val="16"/>
          <w:color w:val="0D0D0D"/>
        </w:rPr>
        <w:t>Securities sold under agreements to repurchase on a specific future date are not derecognized from the consolidated statement of financial position because the Group retains substantially all risks and benefits inherent in ownership. The cash received is recorded as an asset in the "Available funds" line, and the corresponding obligation to return it, including accrued interest, is recorded as a liability in the "Accounts payable for repurchase agreements and securities loans" line, reflecting the economic substance of the operation as a loan received by the Group. The difference between the selling price and the repurchase price is accrued during the contract term using the effective interest rate method and is recorded in the "Interest and similar expenses" line of the consolidated statement of income.</w:t>
      </w:r>
    </w:p>
    <w:p>
      <w:pPr>
        <w:spacing w:after="0" w:line="308" w:lineRule="exact"/>
        <w:rPr>
          <w:sz w:val="20"/>
          <w:szCs w:val="20"/>
          <w:color w:val="auto"/>
        </w:rPr>
      </w:pPr>
    </w:p>
    <w:p>
      <w:pPr>
        <w:ind w:left="4966"/>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54" w:name="page55"/>
    <w:bookmarkEnd w:id="54"/>
    <w:p>
      <w:pPr>
        <w:ind w:left="566" w:right="80"/>
        <w:spacing w:after="0" w:line="234" w:lineRule="auto"/>
        <w:rPr>
          <w:sz w:val="20"/>
          <w:szCs w:val="20"/>
          <w:color w:val="auto"/>
        </w:rPr>
      </w:pPr>
      <w:r>
        <w:rPr>
          <w:rFonts w:ascii="Arial" w:cs="Arial" w:eastAsia="Arial" w:hAnsi="Arial"/>
          <w:sz w:val="16"/>
          <w:szCs w:val="16"/>
          <w:color w:val="0D0D0D"/>
        </w:rPr>
        <w:t>As part of this transaction, the Group delivers assets as collateral. When the counterparty receives securities and has the right to sell them or re-deliver them as collateral, the Group reclassifies these securities to the "Investments at fair value with changes in other comprehensive income under collateral" or "Investments at amortized cost under collateral" lines, as appropriate, in the consolidated statement of financial position. When the counterparty receives guarantee funds that will be restricted until the contract maturity, the Group reclassifies such cash to the "Guarantee funds, repurchase agreements, and financing with securities" line of the consolidated statement of financial position. When the counterparty receives credit portfolios as collateral, the Group maintains these credits in the "Credit portfolio, net" line in the consolidated statement of financial position, the control of which is kept in off-balance sheet accounts.</w:t>
      </w:r>
    </w:p>
    <w:p>
      <w:pPr>
        <w:spacing w:after="0" w:line="146" w:lineRule="exact"/>
        <w:rPr>
          <w:sz w:val="20"/>
          <w:szCs w:val="20"/>
          <w:color w:val="auto"/>
        </w:rPr>
      </w:pPr>
    </w:p>
    <w:p>
      <w:pPr>
        <w:ind w:left="566" w:right="40"/>
        <w:spacing w:after="0" w:line="234" w:lineRule="auto"/>
        <w:rPr>
          <w:sz w:val="20"/>
          <w:szCs w:val="20"/>
          <w:color w:val="auto"/>
        </w:rPr>
      </w:pPr>
      <w:r>
        <w:rPr>
          <w:rFonts w:ascii="Arial" w:cs="Arial" w:eastAsia="Arial" w:hAnsi="Arial"/>
          <w:sz w:val="16"/>
          <w:szCs w:val="16"/>
          <w:color w:val="0D0D0D"/>
        </w:rPr>
        <w:t>On the other hand, securities purchased under agreements to resell on a specific future date are not recognized in the consolidated statement of financial position. The cash granted is recorded as an outflow of an asset from the "Available funds" line, and the corresponding right to collect it, including accrued interest, is recorded in the "Guarantee funds, repurchase agreements, and financing with securities" line, reflecting the economic substance of the operation as a loan granted by the Group. The difference between the purchase price and the resale price is accrued during the contract term using the effective interest rate method and is recorded in the "Interest and similar income" line of the consolidated statement of income.</w:t>
      </w:r>
    </w:p>
    <w:p>
      <w:pPr>
        <w:spacing w:after="0" w:line="149" w:lineRule="exact"/>
        <w:rPr>
          <w:sz w:val="20"/>
          <w:szCs w:val="20"/>
          <w:color w:val="auto"/>
        </w:rPr>
      </w:pPr>
    </w:p>
    <w:p>
      <w:pPr>
        <w:jc w:val="both"/>
        <w:ind w:left="566" w:right="20"/>
        <w:spacing w:after="0" w:line="241" w:lineRule="auto"/>
        <w:rPr>
          <w:sz w:val="20"/>
          <w:szCs w:val="20"/>
          <w:color w:val="auto"/>
        </w:rPr>
      </w:pPr>
      <w:r>
        <w:rPr>
          <w:rFonts w:ascii="Arial" w:cs="Arial" w:eastAsia="Arial" w:hAnsi="Arial"/>
          <w:sz w:val="16"/>
          <w:szCs w:val="16"/>
          <w:color w:val="0D0D0D"/>
        </w:rPr>
        <w:t>If securities purchased under a resale agreement are subsequently sold to third parties, the obligation to return the securities is recorded as a short sale in the "Financial liabilities at fair value with changes in income" line of the consolidated statement of financial position, and is measured at fair value, recording gains or losses in the "Net gain on securities" line of the consolidated statement of income.</w:t>
      </w:r>
    </w:p>
    <w:p>
      <w:pPr>
        <w:spacing w:after="0" w:line="146" w:lineRule="exact"/>
        <w:rPr>
          <w:sz w:val="20"/>
          <w:szCs w:val="20"/>
          <w:color w:val="auto"/>
        </w:rPr>
      </w:pPr>
    </w:p>
    <w:p>
      <w:pPr>
        <w:ind w:left="566" w:right="80"/>
        <w:spacing w:after="0" w:line="255" w:lineRule="auto"/>
        <w:rPr>
          <w:sz w:val="20"/>
          <w:szCs w:val="20"/>
          <w:color w:val="auto"/>
        </w:rPr>
      </w:pPr>
      <w:r>
        <w:rPr>
          <w:rFonts w:ascii="Arial" w:cs="Arial" w:eastAsia="Arial" w:hAnsi="Arial"/>
          <w:sz w:val="16"/>
          <w:szCs w:val="16"/>
          <w:color w:val="0D0D0D"/>
        </w:rPr>
        <w:t>Loans and financing are usually secured by securities. The transfer of securities to counterparties is only reflected in the consolidated statement of financial position if the risks and benefits inherent in ownership are also transferred.</w:t>
      </w:r>
    </w:p>
    <w:p>
      <w:pPr>
        <w:spacing w:after="0" w:line="134" w:lineRule="exact"/>
        <w:rPr>
          <w:sz w:val="20"/>
          <w:szCs w:val="20"/>
          <w:color w:val="auto"/>
        </w:rPr>
      </w:pPr>
    </w:p>
    <w:p>
      <w:pPr>
        <w:ind w:left="526" w:hanging="526"/>
        <w:spacing w:after="0"/>
        <w:tabs>
          <w:tab w:leader="none" w:pos="526" w:val="left"/>
        </w:tabs>
        <w:numPr>
          <w:ilvl w:val="0"/>
          <w:numId w:val="69"/>
        </w:numPr>
        <w:rPr>
          <w:rFonts w:ascii="Arial" w:cs="Arial" w:eastAsia="Arial" w:hAnsi="Arial"/>
          <w:sz w:val="16"/>
          <w:szCs w:val="16"/>
          <w:color w:val="0D0D0D"/>
        </w:rPr>
      </w:pPr>
      <w:r>
        <w:rPr>
          <w:rFonts w:ascii="Arial" w:cs="Arial" w:eastAsia="Arial" w:hAnsi="Arial"/>
          <w:sz w:val="16"/>
          <w:szCs w:val="16"/>
          <w:color w:val="auto"/>
        </w:rPr>
        <w:t>International Financial Reporting Standards issued, but not yet effective –</w:t>
      </w:r>
    </w:p>
    <w:p>
      <w:pPr>
        <w:spacing w:after="0" w:line="166" w:lineRule="exact"/>
        <w:rPr>
          <w:sz w:val="20"/>
          <w:szCs w:val="20"/>
          <w:color w:val="auto"/>
        </w:rPr>
      </w:pPr>
    </w:p>
    <w:p>
      <w:pPr>
        <w:ind w:left="566" w:right="360"/>
        <w:spacing w:after="0" w:line="255" w:lineRule="auto"/>
        <w:rPr>
          <w:sz w:val="20"/>
          <w:szCs w:val="20"/>
          <w:color w:val="auto"/>
        </w:rPr>
      </w:pPr>
      <w:r>
        <w:rPr>
          <w:rFonts w:ascii="Arial" w:cs="Arial" w:eastAsia="Arial" w:hAnsi="Arial"/>
          <w:sz w:val="16"/>
          <w:szCs w:val="16"/>
          <w:color w:val="auto"/>
        </w:rPr>
        <w:t>The Group decided not to early adopt the following standards and interpretations that were issued but are not yet effective as of December 31, 2024.</w:t>
      </w:r>
    </w:p>
    <w:p>
      <w:pPr>
        <w:spacing w:after="0" w:line="134" w:lineRule="exact"/>
        <w:rPr>
          <w:sz w:val="20"/>
          <w:szCs w:val="20"/>
          <w:color w:val="auto"/>
        </w:rPr>
      </w:pPr>
    </w:p>
    <w:p>
      <w:pPr>
        <w:ind w:left="846" w:hanging="286"/>
        <w:spacing w:after="0"/>
        <w:tabs>
          <w:tab w:leader="none" w:pos="846"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IFRS 18 - "Presentation and Disclosures in Financial Statements" –</w:t>
      </w:r>
    </w:p>
    <w:p>
      <w:pPr>
        <w:spacing w:after="0" w:line="166" w:lineRule="exact"/>
        <w:rPr>
          <w:rFonts w:ascii="Arial" w:cs="Arial" w:eastAsia="Arial" w:hAnsi="Arial"/>
          <w:sz w:val="16"/>
          <w:szCs w:val="16"/>
          <w:color w:val="auto"/>
        </w:rPr>
      </w:pPr>
    </w:p>
    <w:p>
      <w:pPr>
        <w:ind w:left="846" w:right="160"/>
        <w:spacing w:after="0" w:line="233" w:lineRule="auto"/>
        <w:rPr>
          <w:rFonts w:ascii="Arial" w:cs="Arial" w:eastAsia="Arial" w:hAnsi="Arial"/>
          <w:sz w:val="16"/>
          <w:szCs w:val="16"/>
          <w:color w:val="auto"/>
        </w:rPr>
      </w:pPr>
      <w:r>
        <w:rPr>
          <w:rFonts w:ascii="Arial" w:cs="Arial" w:eastAsia="Arial" w:hAnsi="Arial"/>
          <w:sz w:val="16"/>
          <w:szCs w:val="16"/>
          <w:color w:val="auto"/>
        </w:rPr>
        <w:t>On April 9, 2024, the IASB issued IFRS 18 "Presentation and Disclosures in Financial Statements" which introduces new requirements to improve the quality of information presented in financial statements and to promote analysis, transparency and comparability of companies' performance. Specifically, IFRS 18 introduces three predefined expense categories (operating, investing, financing) and two subtotals ("operating profit" and "profit before financing and income taxes") to provide a consistent structure in the income statement and facilitate the analysis of the income statement. Additionally, it introduces disclosure requirements for management-defined performance measures (MPM). Finally, it establishes requirements and provides guidance on aggregation/disaggregation of the information to be provided in the primary financial statements.</w:t>
      </w:r>
    </w:p>
    <w:p>
      <w:pPr>
        <w:spacing w:after="0" w:line="150" w:lineRule="exact"/>
        <w:rPr>
          <w:rFonts w:ascii="Arial" w:cs="Arial" w:eastAsia="Arial" w:hAnsi="Arial"/>
          <w:sz w:val="16"/>
          <w:szCs w:val="16"/>
          <w:color w:val="auto"/>
        </w:rPr>
      </w:pPr>
    </w:p>
    <w:p>
      <w:pPr>
        <w:ind w:left="846" w:right="420"/>
        <w:spacing w:after="0" w:line="255" w:lineRule="auto"/>
        <w:rPr>
          <w:rFonts w:ascii="Arial" w:cs="Arial" w:eastAsia="Arial" w:hAnsi="Arial"/>
          <w:sz w:val="16"/>
          <w:szCs w:val="16"/>
          <w:color w:val="auto"/>
        </w:rPr>
      </w:pPr>
      <w:r>
        <w:rPr>
          <w:rFonts w:ascii="Arial" w:cs="Arial" w:eastAsia="Arial" w:hAnsi="Arial"/>
          <w:sz w:val="16"/>
          <w:szCs w:val="16"/>
          <w:color w:val="auto"/>
        </w:rPr>
        <w:t>This new standard will come into force on January 1, 2027. Management is assessing the potential effects this could have on the Group's financial statements.</w:t>
      </w:r>
    </w:p>
    <w:p>
      <w:pPr>
        <w:spacing w:after="0" w:line="134" w:lineRule="exact"/>
        <w:rPr>
          <w:rFonts w:ascii="Arial" w:cs="Arial" w:eastAsia="Arial" w:hAnsi="Arial"/>
          <w:sz w:val="16"/>
          <w:szCs w:val="16"/>
          <w:color w:val="auto"/>
        </w:rPr>
      </w:pPr>
    </w:p>
    <w:p>
      <w:pPr>
        <w:ind w:left="846" w:hanging="286"/>
        <w:spacing w:after="0"/>
        <w:tabs>
          <w:tab w:leader="none" w:pos="846"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Amendments to IFRS 9 and IFRS 7 “Amendments to the classification and measurement of financial instruments” –</w:t>
      </w:r>
    </w:p>
    <w:p>
      <w:pPr>
        <w:spacing w:after="0" w:line="166" w:lineRule="exact"/>
        <w:rPr>
          <w:rFonts w:ascii="Arial" w:cs="Arial" w:eastAsia="Arial" w:hAnsi="Arial"/>
          <w:sz w:val="16"/>
          <w:szCs w:val="16"/>
          <w:color w:val="auto"/>
        </w:rPr>
      </w:pPr>
    </w:p>
    <w:p>
      <w:pPr>
        <w:ind w:left="826"/>
        <w:spacing w:after="0" w:line="236" w:lineRule="auto"/>
        <w:rPr>
          <w:rFonts w:ascii="Arial" w:cs="Arial" w:eastAsia="Arial" w:hAnsi="Arial"/>
          <w:sz w:val="16"/>
          <w:szCs w:val="16"/>
          <w:color w:val="auto"/>
        </w:rPr>
      </w:pPr>
      <w:r>
        <w:rPr>
          <w:rFonts w:ascii="Arial" w:cs="Arial" w:eastAsia="Arial" w:hAnsi="Arial"/>
          <w:sz w:val="16"/>
          <w:szCs w:val="16"/>
          <w:color w:val="auto"/>
        </w:rPr>
        <w:t>On May 30, 2024, the IASB issued amendments to IFRS 9 and IFRS 7 to clarify how to assess the contractual cash flow characteristics of financial assets that include contingent features such as environmental, social and governance (ESG). Additionally, they clarify that a financial liability should be derecognized on the 'settlement date' and introduce an accounting policy option to derecognize before that date financial liabilities that are settled using an electronic payment system. Finally, additional disclosures are required in IFRS 7 for financial instruments with contingent characteristics and equity instruments classified at fair value through other comprehensive income.</w:t>
      </w:r>
    </w:p>
    <w:p>
      <w:pPr>
        <w:spacing w:after="0" w:line="304" w:lineRule="exact"/>
        <w:rPr>
          <w:sz w:val="20"/>
          <w:szCs w:val="20"/>
          <w:color w:val="auto"/>
        </w:rPr>
      </w:pPr>
    </w:p>
    <w:p>
      <w:pPr>
        <w:jc w:val="center"/>
        <w:ind w:right="534"/>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55" w:name="page56"/>
    <w:bookmarkEnd w:id="55"/>
    <w:p>
      <w:pPr>
        <w:ind w:left="1380" w:right="500"/>
        <w:spacing w:after="0" w:line="257" w:lineRule="auto"/>
        <w:rPr>
          <w:sz w:val="20"/>
          <w:szCs w:val="20"/>
          <w:color w:val="auto"/>
        </w:rPr>
      </w:pPr>
      <w:r>
        <w:rPr>
          <w:rFonts w:ascii="Arial" w:cs="Arial" w:eastAsia="Arial" w:hAnsi="Arial"/>
          <w:sz w:val="16"/>
          <w:szCs w:val="16"/>
          <w:color w:val="auto"/>
        </w:rPr>
        <w:t>The amendments will come into force on January 1, 2026. Management is assessing the potential effects this could have on the Group's financial statements.</w:t>
      </w:r>
    </w:p>
    <w:p>
      <w:pPr>
        <w:spacing w:after="0" w:line="132" w:lineRule="exact"/>
        <w:rPr>
          <w:sz w:val="20"/>
          <w:szCs w:val="20"/>
          <w:color w:val="auto"/>
        </w:rPr>
      </w:pPr>
    </w:p>
    <w:p>
      <w:pPr>
        <w:ind w:left="1400" w:hanging="286"/>
        <w:spacing w:after="0"/>
        <w:tabs>
          <w:tab w:leader="none" w:pos="14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IFRS 19 “Subsidiaries without Public Accountability” –</w:t>
      </w:r>
    </w:p>
    <w:p>
      <w:pPr>
        <w:spacing w:after="0" w:line="166" w:lineRule="exact"/>
        <w:rPr>
          <w:rFonts w:ascii="Arial" w:cs="Arial" w:eastAsia="Arial" w:hAnsi="Arial"/>
          <w:sz w:val="16"/>
          <w:szCs w:val="16"/>
          <w:color w:val="auto"/>
        </w:rPr>
      </w:pPr>
    </w:p>
    <w:p>
      <w:pPr>
        <w:ind w:left="1380"/>
        <w:spacing w:after="0" w:line="238" w:lineRule="auto"/>
        <w:rPr>
          <w:rFonts w:ascii="Arial" w:cs="Arial" w:eastAsia="Arial" w:hAnsi="Arial"/>
          <w:sz w:val="16"/>
          <w:szCs w:val="16"/>
          <w:color w:val="auto"/>
        </w:rPr>
      </w:pPr>
      <w:r>
        <w:rPr>
          <w:rFonts w:ascii="Arial" w:cs="Arial" w:eastAsia="Arial" w:hAnsi="Arial"/>
          <w:sz w:val="16"/>
          <w:szCs w:val="16"/>
          <w:color w:val="auto"/>
        </w:rPr>
        <w:t>In May 2024, the IASB issued IFRS 19, which allows eligible entities to elect to apply its reduced disclosure requirements while still applying the recognition, measurement, and presentation requirements in other IFRS accounting standards. To be eligible, at the end of the reporting period, an entity must be a subsidiary as defined in IFRS 10, cannot have public accountability, and must have a parent (ultimate or intermediate) that prepares consolidated financial statements, available for public use, which comply with IFRS Accounting Standards.</w:t>
      </w:r>
    </w:p>
    <w:p>
      <w:pPr>
        <w:spacing w:after="0" w:line="145" w:lineRule="exact"/>
        <w:rPr>
          <w:sz w:val="20"/>
          <w:szCs w:val="20"/>
          <w:color w:val="auto"/>
        </w:rPr>
      </w:pPr>
    </w:p>
    <w:p>
      <w:pPr>
        <w:ind w:left="1380"/>
        <w:spacing w:after="0" w:line="255" w:lineRule="auto"/>
        <w:rPr>
          <w:sz w:val="20"/>
          <w:szCs w:val="20"/>
          <w:color w:val="auto"/>
        </w:rPr>
      </w:pPr>
      <w:r>
        <w:rPr>
          <w:rFonts w:ascii="Arial" w:cs="Arial" w:eastAsia="Arial" w:hAnsi="Arial"/>
          <w:sz w:val="16"/>
          <w:szCs w:val="16"/>
          <w:color w:val="auto"/>
        </w:rPr>
        <w:t>IFRS 19 will become effective for reporting periods beginning on or after 1 January 2027, with early application permitted. As the Group’s equity instruments are publicly traded, it is not eligible to elect to apply IFRS 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4</w:t>
            </w:r>
          </w:p>
        </w:tc>
        <w:tc>
          <w:tcPr>
            <w:tcW w:w="8020" w:type="dxa"/>
            <w:vAlign w:val="bottom"/>
          </w:tcPr>
          <w:p>
            <w:pPr>
              <w:ind w:left="240"/>
              <w:spacing w:after="0"/>
              <w:rPr>
                <w:sz w:val="20"/>
                <w:szCs w:val="20"/>
                <w:color w:val="auto"/>
              </w:rPr>
            </w:pPr>
            <w:r>
              <w:rPr>
                <w:rFonts w:ascii="Arial" w:cs="Arial" w:eastAsia="Arial" w:hAnsi="Arial"/>
                <w:sz w:val="16"/>
                <w:szCs w:val="16"/>
                <w:b w:val="1"/>
                <w:bCs w:val="1"/>
                <w:color w:val="auto"/>
              </w:rPr>
              <w:t>CASH AND DUE FROM BANKS</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2"/>
        </w:trPr>
        <w:tc>
          <w:tcPr>
            <w:tcW w:w="320" w:type="dxa"/>
            <w:vAlign w:val="bottom"/>
          </w:tcPr>
          <w:p>
            <w:pPr>
              <w:spacing w:after="0"/>
              <w:rPr>
                <w:sz w:val="24"/>
                <w:szCs w:val="24"/>
                <w:color w:val="auto"/>
              </w:rPr>
            </w:pPr>
          </w:p>
        </w:tc>
        <w:tc>
          <w:tcPr>
            <w:tcW w:w="8020" w:type="dxa"/>
            <w:vAlign w:val="bottom"/>
          </w:tcPr>
          <w:p>
            <w:pPr>
              <w:ind w:left="240"/>
              <w:spacing w:after="0"/>
              <w:rPr>
                <w:sz w:val="20"/>
                <w:szCs w:val="20"/>
                <w:color w:val="auto"/>
              </w:rPr>
            </w:pPr>
            <w:r>
              <w:rPr>
                <w:rFonts w:ascii="Arial" w:cs="Arial" w:eastAsia="Arial" w:hAnsi="Arial"/>
                <w:sz w:val="16"/>
                <w:szCs w:val="16"/>
                <w:color w:val="auto"/>
              </w:rPr>
              <w:t>a)  The composition of the item is presented below:</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7"/>
        </w:trPr>
        <w:tc>
          <w:tcPr>
            <w:tcW w:w="3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r>
      <w:tr>
        <w:trPr>
          <w:trHeight w:val="206"/>
        </w:trPr>
        <w:tc>
          <w:tcPr>
            <w:tcW w:w="3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320" w:type="dxa"/>
            <w:vAlign w:val="bottom"/>
          </w:tcPr>
          <w:p>
            <w:pPr>
              <w:spacing w:after="0"/>
              <w:rPr>
                <w:sz w:val="24"/>
                <w:szCs w:val="24"/>
                <w:color w:val="auto"/>
              </w:rPr>
            </w:pPr>
          </w:p>
        </w:tc>
        <w:tc>
          <w:tcPr>
            <w:tcW w:w="8020" w:type="dxa"/>
            <w:vAlign w:val="bottom"/>
          </w:tcPr>
          <w:p>
            <w:pPr>
              <w:ind w:left="520"/>
              <w:spacing w:after="0"/>
              <w:rPr>
                <w:sz w:val="20"/>
                <w:szCs w:val="20"/>
                <w:color w:val="auto"/>
              </w:rPr>
            </w:pPr>
            <w:r>
              <w:rPr>
                <w:rFonts w:ascii="Arial" w:cs="Arial" w:eastAsia="Arial" w:hAnsi="Arial"/>
                <w:sz w:val="16"/>
                <w:szCs w:val="16"/>
                <w:color w:val="auto"/>
              </w:rPr>
              <w:t>Cash and clearing (b)</w:t>
            </w: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4,892,244</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5,227,446</w:t>
            </w:r>
          </w:p>
        </w:tc>
      </w:tr>
      <w:tr>
        <w:trPr>
          <w:trHeight w:val="175"/>
        </w:trPr>
        <w:tc>
          <w:tcPr>
            <w:tcW w:w="320" w:type="dxa"/>
            <w:vAlign w:val="bottom"/>
          </w:tcPr>
          <w:p>
            <w:pPr>
              <w:spacing w:after="0"/>
              <w:rPr>
                <w:sz w:val="15"/>
                <w:szCs w:val="15"/>
                <w:color w:val="auto"/>
              </w:rPr>
            </w:pPr>
          </w:p>
        </w:tc>
        <w:tc>
          <w:tcPr>
            <w:tcW w:w="8020" w:type="dxa"/>
            <w:vAlign w:val="bottom"/>
          </w:tcPr>
          <w:p>
            <w:pPr>
              <w:ind w:left="520"/>
              <w:spacing w:after="0" w:line="175" w:lineRule="exact"/>
              <w:rPr>
                <w:sz w:val="20"/>
                <w:szCs w:val="20"/>
                <w:color w:val="auto"/>
              </w:rPr>
            </w:pPr>
            <w:r>
              <w:rPr>
                <w:rFonts w:ascii="Arial" w:cs="Arial" w:eastAsia="Arial" w:hAnsi="Arial"/>
                <w:sz w:val="16"/>
                <w:szCs w:val="16"/>
                <w:color w:val="auto"/>
              </w:rPr>
              <w:t>Deposits with Central Reserve Bank of Peru (BCRP) (b)</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36,665,481</w:t>
            </w:r>
          </w:p>
        </w:tc>
        <w:tc>
          <w:tcPr>
            <w:tcW w:w="1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23,673,777</w:t>
            </w:r>
          </w:p>
        </w:tc>
        <w:tc>
          <w:tcPr>
            <w:tcW w:w="2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8020" w:type="dxa"/>
            <w:vAlign w:val="bottom"/>
          </w:tcPr>
          <w:p>
            <w:pPr>
              <w:ind w:left="520"/>
              <w:spacing w:after="0" w:line="175" w:lineRule="exact"/>
              <w:rPr>
                <w:sz w:val="20"/>
                <w:szCs w:val="20"/>
                <w:color w:val="auto"/>
              </w:rPr>
            </w:pPr>
            <w:r>
              <w:rPr>
                <w:rFonts w:ascii="Arial" w:cs="Arial" w:eastAsia="Arial" w:hAnsi="Arial"/>
                <w:sz w:val="16"/>
                <w:szCs w:val="16"/>
                <w:color w:val="auto"/>
              </w:rPr>
              <w:t>Deposits with Central Bank of Bolivia and Colombia (b)</w:t>
            </w:r>
          </w:p>
        </w:tc>
        <w:tc>
          <w:tcPr>
            <w:tcW w:w="12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1,414,889</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1,397,469</w:t>
            </w:r>
          </w:p>
        </w:tc>
      </w:tr>
      <w:tr>
        <w:trPr>
          <w:trHeight w:val="175"/>
        </w:trPr>
        <w:tc>
          <w:tcPr>
            <w:tcW w:w="320" w:type="dxa"/>
            <w:vAlign w:val="bottom"/>
          </w:tcPr>
          <w:p>
            <w:pPr>
              <w:spacing w:after="0"/>
              <w:rPr>
                <w:sz w:val="15"/>
                <w:szCs w:val="15"/>
                <w:color w:val="auto"/>
              </w:rPr>
            </w:pPr>
          </w:p>
        </w:tc>
        <w:tc>
          <w:tcPr>
            <w:tcW w:w="8020" w:type="dxa"/>
            <w:vAlign w:val="bottom"/>
          </w:tcPr>
          <w:p>
            <w:pPr>
              <w:ind w:left="520"/>
              <w:spacing w:after="0" w:line="175" w:lineRule="exact"/>
              <w:rPr>
                <w:sz w:val="20"/>
                <w:szCs w:val="20"/>
                <w:color w:val="auto"/>
              </w:rPr>
            </w:pPr>
            <w:r>
              <w:rPr>
                <w:rFonts w:ascii="Arial" w:cs="Arial" w:eastAsia="Arial" w:hAnsi="Arial"/>
                <w:sz w:val="16"/>
                <w:szCs w:val="16"/>
                <w:color w:val="auto"/>
              </w:rPr>
              <w:t>Deposits with foreign banks (c)</w:t>
            </w:r>
          </w:p>
        </w:tc>
        <w:tc>
          <w:tcPr>
            <w:tcW w:w="12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3,841,338</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2,951,396</w:t>
            </w:r>
          </w:p>
        </w:tc>
      </w:tr>
      <w:tr>
        <w:trPr>
          <w:trHeight w:val="175"/>
        </w:trPr>
        <w:tc>
          <w:tcPr>
            <w:tcW w:w="320" w:type="dxa"/>
            <w:vAlign w:val="bottom"/>
          </w:tcPr>
          <w:p>
            <w:pPr>
              <w:spacing w:after="0"/>
              <w:rPr>
                <w:sz w:val="15"/>
                <w:szCs w:val="15"/>
                <w:color w:val="auto"/>
              </w:rPr>
            </w:pPr>
          </w:p>
        </w:tc>
        <w:tc>
          <w:tcPr>
            <w:tcW w:w="8020" w:type="dxa"/>
            <w:vAlign w:val="bottom"/>
          </w:tcPr>
          <w:p>
            <w:pPr>
              <w:ind w:left="520"/>
              <w:spacing w:after="0" w:line="175" w:lineRule="exact"/>
              <w:rPr>
                <w:sz w:val="20"/>
                <w:szCs w:val="20"/>
                <w:color w:val="auto"/>
              </w:rPr>
            </w:pPr>
            <w:r>
              <w:rPr>
                <w:rFonts w:ascii="Arial" w:cs="Arial" w:eastAsia="Arial" w:hAnsi="Arial"/>
                <w:sz w:val="16"/>
                <w:szCs w:val="16"/>
                <w:color w:val="auto"/>
              </w:rPr>
              <w:t>Deposits with local banks (c)</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638,272</w:t>
            </w:r>
          </w:p>
        </w:tc>
        <w:tc>
          <w:tcPr>
            <w:tcW w:w="18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600,180</w:t>
            </w:r>
          </w:p>
        </w:tc>
      </w:tr>
      <w:tr>
        <w:trPr>
          <w:trHeight w:val="175"/>
        </w:trPr>
        <w:tc>
          <w:tcPr>
            <w:tcW w:w="320" w:type="dxa"/>
            <w:vAlign w:val="bottom"/>
          </w:tcPr>
          <w:p>
            <w:pPr>
              <w:spacing w:after="0"/>
              <w:rPr>
                <w:sz w:val="15"/>
                <w:szCs w:val="15"/>
                <w:color w:val="auto"/>
              </w:rPr>
            </w:pPr>
          </w:p>
        </w:tc>
        <w:tc>
          <w:tcPr>
            <w:tcW w:w="8020" w:type="dxa"/>
            <w:vAlign w:val="bottom"/>
          </w:tcPr>
          <w:p>
            <w:pPr>
              <w:ind w:left="520"/>
              <w:spacing w:after="0" w:line="175" w:lineRule="exact"/>
              <w:rPr>
                <w:sz w:val="20"/>
                <w:szCs w:val="20"/>
                <w:color w:val="auto"/>
              </w:rPr>
            </w:pPr>
            <w:r>
              <w:rPr>
                <w:rFonts w:ascii="Arial" w:cs="Arial" w:eastAsia="Arial" w:hAnsi="Arial"/>
                <w:sz w:val="16"/>
                <w:szCs w:val="16"/>
                <w:color w:val="auto"/>
              </w:rPr>
              <w:t>Interbank funds</w:t>
            </w:r>
          </w:p>
        </w:tc>
        <w:tc>
          <w:tcPr>
            <w:tcW w:w="12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54,687</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r>
      <w:tr>
        <w:trPr>
          <w:trHeight w:val="201"/>
        </w:trPr>
        <w:tc>
          <w:tcPr>
            <w:tcW w:w="320" w:type="dxa"/>
            <w:vAlign w:val="bottom"/>
          </w:tcPr>
          <w:p>
            <w:pPr>
              <w:spacing w:after="0"/>
              <w:rPr>
                <w:sz w:val="17"/>
                <w:szCs w:val="17"/>
                <w:color w:val="auto"/>
              </w:rPr>
            </w:pPr>
          </w:p>
        </w:tc>
        <w:tc>
          <w:tcPr>
            <w:tcW w:w="8020" w:type="dxa"/>
            <w:vAlign w:val="bottom"/>
          </w:tcPr>
          <w:p>
            <w:pPr>
              <w:ind w:left="520"/>
              <w:spacing w:after="0"/>
              <w:rPr>
                <w:sz w:val="20"/>
                <w:szCs w:val="20"/>
                <w:color w:val="auto"/>
              </w:rPr>
            </w:pPr>
            <w:r>
              <w:rPr>
                <w:rFonts w:ascii="Arial" w:cs="Arial" w:eastAsia="Arial" w:hAnsi="Arial"/>
                <w:sz w:val="16"/>
                <w:szCs w:val="16"/>
                <w:color w:val="auto"/>
              </w:rPr>
              <w:t>Accrued interest</w:t>
            </w: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63,192</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70,346</w:t>
            </w:r>
          </w:p>
        </w:tc>
      </w:tr>
      <w:tr>
        <w:trPr>
          <w:trHeight w:val="152"/>
        </w:trPr>
        <w:tc>
          <w:tcPr>
            <w:tcW w:w="320" w:type="dxa"/>
            <w:vAlign w:val="bottom"/>
          </w:tcPr>
          <w:p>
            <w:pPr>
              <w:spacing w:after="0"/>
              <w:rPr>
                <w:sz w:val="13"/>
                <w:szCs w:val="13"/>
                <w:color w:val="auto"/>
              </w:rPr>
            </w:pPr>
          </w:p>
        </w:tc>
        <w:tc>
          <w:tcPr>
            <w:tcW w:w="8020" w:type="dxa"/>
            <w:vAlign w:val="bottom"/>
          </w:tcPr>
          <w:p>
            <w:pPr>
              <w:ind w:left="520"/>
              <w:spacing w:after="0" w:line="152" w:lineRule="exact"/>
              <w:rPr>
                <w:sz w:val="20"/>
                <w:szCs w:val="20"/>
                <w:color w:val="auto"/>
              </w:rPr>
            </w:pPr>
            <w:r>
              <w:rPr>
                <w:rFonts w:ascii="Arial" w:cs="Arial" w:eastAsia="Arial" w:hAnsi="Arial"/>
                <w:sz w:val="16"/>
                <w:szCs w:val="16"/>
                <w:color w:val="auto"/>
              </w:rPr>
              <w:t>Total cash and cash equivalents</w:t>
            </w:r>
          </w:p>
        </w:tc>
        <w:tc>
          <w:tcPr>
            <w:tcW w:w="20" w:type="dxa"/>
            <w:vAlign w:val="bottom"/>
          </w:tcPr>
          <w:p>
            <w:pPr>
              <w:spacing w:after="0"/>
              <w:rPr>
                <w:sz w:val="13"/>
                <w:szCs w:val="13"/>
                <w:color w:val="auto"/>
              </w:rPr>
            </w:pPr>
          </w:p>
        </w:tc>
        <w:tc>
          <w:tcPr>
            <w:tcW w:w="10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47,570,103</w:t>
            </w:r>
          </w:p>
        </w:tc>
        <w:tc>
          <w:tcPr>
            <w:tcW w:w="18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33,920,614</w:t>
            </w:r>
          </w:p>
        </w:tc>
        <w:tc>
          <w:tcPr>
            <w:tcW w:w="20" w:type="dxa"/>
            <w:vAlign w:val="bottom"/>
          </w:tcPr>
          <w:p>
            <w:pPr>
              <w:spacing w:after="0"/>
              <w:rPr>
                <w:sz w:val="13"/>
                <w:szCs w:val="13"/>
                <w:color w:val="auto"/>
              </w:rPr>
            </w:pPr>
          </w:p>
        </w:tc>
      </w:tr>
      <w:tr>
        <w:trPr>
          <w:trHeight w:val="201"/>
        </w:trPr>
        <w:tc>
          <w:tcPr>
            <w:tcW w:w="320" w:type="dxa"/>
            <w:vAlign w:val="bottom"/>
          </w:tcPr>
          <w:p>
            <w:pPr>
              <w:spacing w:after="0"/>
              <w:rPr>
                <w:sz w:val="17"/>
                <w:szCs w:val="17"/>
                <w:color w:val="auto"/>
              </w:rPr>
            </w:pPr>
          </w:p>
        </w:tc>
        <w:tc>
          <w:tcPr>
            <w:tcW w:w="8020" w:type="dxa"/>
            <w:vAlign w:val="bottom"/>
          </w:tcPr>
          <w:p>
            <w:pPr>
              <w:ind w:left="520"/>
              <w:spacing w:after="0"/>
              <w:rPr>
                <w:sz w:val="20"/>
                <w:szCs w:val="20"/>
                <w:color w:val="auto"/>
              </w:rPr>
            </w:pPr>
            <w:r>
              <w:rPr>
                <w:rFonts w:ascii="Arial" w:cs="Arial" w:eastAsia="Arial" w:hAnsi="Arial"/>
                <w:sz w:val="16"/>
                <w:szCs w:val="16"/>
                <w:color w:val="auto"/>
              </w:rPr>
              <w:t>Restricted funds</w:t>
            </w: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85,093</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10,334</w:t>
            </w:r>
          </w:p>
        </w:tc>
      </w:tr>
      <w:tr>
        <w:trPr>
          <w:trHeight w:val="170"/>
        </w:trPr>
        <w:tc>
          <w:tcPr>
            <w:tcW w:w="320" w:type="dxa"/>
            <w:vAlign w:val="bottom"/>
          </w:tcPr>
          <w:p>
            <w:pPr>
              <w:spacing w:after="0"/>
              <w:rPr>
                <w:sz w:val="14"/>
                <w:szCs w:val="14"/>
                <w:color w:val="auto"/>
              </w:rPr>
            </w:pPr>
          </w:p>
        </w:tc>
        <w:tc>
          <w:tcPr>
            <w:tcW w:w="8020" w:type="dxa"/>
            <w:vAlign w:val="bottom"/>
          </w:tcPr>
          <w:p>
            <w:pPr>
              <w:ind w:left="520"/>
              <w:spacing w:after="0" w:line="167" w:lineRule="exact"/>
              <w:rPr>
                <w:sz w:val="20"/>
                <w:szCs w:val="20"/>
                <w:color w:val="auto"/>
              </w:rPr>
            </w:pPr>
            <w:r>
              <w:rPr>
                <w:rFonts w:ascii="Arial" w:cs="Arial" w:eastAsia="Arial" w:hAnsi="Arial"/>
                <w:sz w:val="16"/>
                <w:szCs w:val="16"/>
                <w:b w:val="1"/>
                <w:bCs w:val="1"/>
                <w:color w:val="auto"/>
              </w:rPr>
              <w:t>Total cash</w:t>
            </w:r>
          </w:p>
        </w:tc>
        <w:tc>
          <w:tcPr>
            <w:tcW w:w="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47,655,196</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33,930,948</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Cash and cash equivalents presented in the consolidated statement of cash flows exclude restricted funds, see Note 3(x).</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ind w:left="286" w:hanging="286"/>
        <w:spacing w:after="0"/>
        <w:tabs>
          <w:tab w:leader="none" w:pos="286"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Cash and clearing and deposits with Central Reserve Banks -</w:t>
      </w:r>
    </w:p>
    <w:p>
      <w:pPr>
        <w:spacing w:after="0" w:line="167" w:lineRule="exact"/>
        <w:rPr>
          <w:rFonts w:ascii="Arial" w:cs="Arial" w:eastAsia="Arial" w:hAnsi="Arial"/>
          <w:sz w:val="16"/>
          <w:szCs w:val="16"/>
          <w:color w:val="auto"/>
        </w:rPr>
      </w:pPr>
    </w:p>
    <w:p>
      <w:pPr>
        <w:ind w:left="286" w:right="180"/>
        <w:spacing w:after="0" w:line="255" w:lineRule="auto"/>
        <w:rPr>
          <w:rFonts w:ascii="Arial" w:cs="Arial" w:eastAsia="Arial" w:hAnsi="Arial"/>
          <w:sz w:val="16"/>
          <w:szCs w:val="16"/>
          <w:color w:val="auto"/>
        </w:rPr>
      </w:pPr>
      <w:r>
        <w:rPr>
          <w:rFonts w:ascii="Arial" w:cs="Arial" w:eastAsia="Arial" w:hAnsi="Arial"/>
          <w:sz w:val="16"/>
          <w:szCs w:val="16"/>
          <w:color w:val="auto"/>
        </w:rPr>
        <w:t>These accounts mainly include the legal cash requirements that Subsidiaries of Credicorp must be maintained able to honor their obligations with the public. The composition of these funds is as follows:</w:t>
      </w:r>
    </w:p>
    <w:p>
      <w:pPr>
        <w:spacing w:after="0" w:line="132" w:lineRule="exact"/>
        <w:rPr>
          <w:sz w:val="20"/>
          <w:szCs w:val="20"/>
          <w:color w:val="auto"/>
        </w:rPr>
      </w:pPr>
    </w:p>
    <w:tbl>
      <w:tblPr>
        <w:tblLayout w:type="fixed"/>
        <w:tblInd w:w="286"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82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6"/>
                <w:szCs w:val="16"/>
                <w:color w:val="auto"/>
              </w:rPr>
            </w:pPr>
          </w:p>
        </w:tc>
      </w:tr>
      <w:tr>
        <w:trPr>
          <w:trHeight w:val="206"/>
        </w:trPr>
        <w:tc>
          <w:tcPr>
            <w:tcW w:w="5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331"/>
        </w:trPr>
        <w:tc>
          <w:tcPr>
            <w:tcW w:w="5720" w:type="dxa"/>
            <w:vAlign w:val="bottom"/>
          </w:tcPr>
          <w:p>
            <w:pPr>
              <w:spacing w:after="0"/>
              <w:rPr>
                <w:sz w:val="20"/>
                <w:szCs w:val="20"/>
                <w:color w:val="auto"/>
              </w:rPr>
            </w:pPr>
            <w:r>
              <w:rPr>
                <w:rFonts w:ascii="Arial" w:cs="Arial" w:eastAsia="Arial" w:hAnsi="Arial"/>
                <w:sz w:val="16"/>
                <w:szCs w:val="16"/>
                <w:b w:val="1"/>
                <w:bCs w:val="1"/>
                <w:color w:val="auto"/>
              </w:rPr>
              <w:t>Legal cash requirements</w:t>
            </w: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5720" w:type="dxa"/>
            <w:vAlign w:val="bottom"/>
          </w:tcPr>
          <w:p>
            <w:pPr>
              <w:spacing w:after="0"/>
              <w:rPr>
                <w:sz w:val="20"/>
                <w:szCs w:val="20"/>
                <w:color w:val="auto"/>
              </w:rPr>
            </w:pPr>
            <w:r>
              <w:rPr>
                <w:rFonts w:ascii="Arial" w:cs="Arial" w:eastAsia="Arial" w:hAnsi="Arial"/>
                <w:sz w:val="16"/>
                <w:szCs w:val="16"/>
                <w:color w:val="auto"/>
              </w:rPr>
              <w:t>Deposits with Central Reserve Bank of Peru (i)</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21,665,571</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21,182,492</w:t>
            </w:r>
          </w:p>
        </w:tc>
        <w:tc>
          <w:tcPr>
            <w:tcW w:w="20" w:type="dxa"/>
            <w:vAlign w:val="bottom"/>
          </w:tcPr>
          <w:p>
            <w:pPr>
              <w:spacing w:after="0"/>
              <w:rPr>
                <w:sz w:val="16"/>
                <w:szCs w:val="16"/>
                <w:color w:val="auto"/>
              </w:rPr>
            </w:pPr>
          </w:p>
        </w:tc>
      </w:tr>
      <w:tr>
        <w:trPr>
          <w:trHeight w:val="187"/>
        </w:trPr>
        <w:tc>
          <w:tcPr>
            <w:tcW w:w="5720" w:type="dxa"/>
            <w:vAlign w:val="bottom"/>
          </w:tcPr>
          <w:p>
            <w:pPr>
              <w:spacing w:after="0"/>
              <w:rPr>
                <w:sz w:val="20"/>
                <w:szCs w:val="20"/>
                <w:color w:val="auto"/>
              </w:rPr>
            </w:pPr>
            <w:r>
              <w:rPr>
                <w:rFonts w:ascii="Arial" w:cs="Arial" w:eastAsia="Arial" w:hAnsi="Arial"/>
                <w:sz w:val="16"/>
                <w:szCs w:val="16"/>
                <w:color w:val="auto"/>
              </w:rPr>
              <w:t>Deposits with Central Bank of Bolivia</w:t>
            </w:r>
          </w:p>
        </w:tc>
        <w:tc>
          <w:tcPr>
            <w:tcW w:w="3000" w:type="dxa"/>
            <w:vAlign w:val="bottom"/>
            <w:gridSpan w:val="3"/>
          </w:tcPr>
          <w:p>
            <w:pPr>
              <w:jc w:val="right"/>
              <w:ind w:right="180"/>
              <w:spacing w:after="0"/>
              <w:rPr>
                <w:sz w:val="20"/>
                <w:szCs w:val="20"/>
                <w:color w:val="auto"/>
              </w:rPr>
            </w:pPr>
            <w:r>
              <w:rPr>
                <w:rFonts w:ascii="Arial" w:cs="Arial" w:eastAsia="Arial" w:hAnsi="Arial"/>
                <w:sz w:val="16"/>
                <w:szCs w:val="16"/>
                <w:color w:val="auto"/>
              </w:rPr>
              <w:t>1,414,889</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1,352,378</w:t>
            </w:r>
          </w:p>
        </w:tc>
      </w:tr>
      <w:tr>
        <w:trPr>
          <w:trHeight w:val="187"/>
        </w:trPr>
        <w:tc>
          <w:tcPr>
            <w:tcW w:w="5720" w:type="dxa"/>
            <w:vAlign w:val="bottom"/>
          </w:tcPr>
          <w:p>
            <w:pPr>
              <w:spacing w:after="0"/>
              <w:rPr>
                <w:sz w:val="20"/>
                <w:szCs w:val="20"/>
                <w:color w:val="auto"/>
              </w:rPr>
            </w:pPr>
            <w:r>
              <w:rPr>
                <w:rFonts w:ascii="Arial" w:cs="Arial" w:eastAsia="Arial" w:hAnsi="Arial"/>
                <w:sz w:val="16"/>
                <w:szCs w:val="16"/>
                <w:color w:val="auto"/>
              </w:rPr>
              <w:t>Deposits with Republic Bank of Colombia</w:t>
            </w:r>
          </w:p>
        </w:tc>
        <w:tc>
          <w:tcPr>
            <w:tcW w:w="17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45,091</w:t>
            </w:r>
          </w:p>
        </w:tc>
      </w:tr>
      <w:tr>
        <w:trPr>
          <w:trHeight w:val="201"/>
        </w:trPr>
        <w:tc>
          <w:tcPr>
            <w:tcW w:w="5720" w:type="dxa"/>
            <w:vAlign w:val="bottom"/>
          </w:tcPr>
          <w:p>
            <w:pPr>
              <w:spacing w:after="0"/>
              <w:rPr>
                <w:sz w:val="20"/>
                <w:szCs w:val="20"/>
                <w:color w:val="auto"/>
              </w:rPr>
            </w:pPr>
            <w:r>
              <w:rPr>
                <w:rFonts w:ascii="Arial" w:cs="Arial" w:eastAsia="Arial" w:hAnsi="Arial"/>
                <w:sz w:val="16"/>
                <w:szCs w:val="16"/>
                <w:color w:val="auto"/>
              </w:rPr>
              <w:t>Cash in vaults of Bank</w:t>
            </w:r>
          </w:p>
        </w:tc>
        <w:tc>
          <w:tcPr>
            <w:tcW w:w="3000" w:type="dxa"/>
            <w:vAlign w:val="bottom"/>
            <w:gridSpan w:val="3"/>
          </w:tcPr>
          <w:p>
            <w:pPr>
              <w:jc w:val="right"/>
              <w:ind w:right="180"/>
              <w:spacing w:after="0"/>
              <w:rPr>
                <w:sz w:val="20"/>
                <w:szCs w:val="20"/>
                <w:color w:val="auto"/>
              </w:rPr>
            </w:pPr>
            <w:r>
              <w:rPr>
                <w:rFonts w:ascii="Arial" w:cs="Arial" w:eastAsia="Arial" w:hAnsi="Arial"/>
                <w:sz w:val="16"/>
                <w:szCs w:val="16"/>
                <w:color w:val="auto"/>
              </w:rPr>
              <w:t>4,420,164</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4,490,602</w:t>
            </w:r>
          </w:p>
        </w:tc>
      </w:tr>
      <w:tr>
        <w:trPr>
          <w:trHeight w:val="170"/>
        </w:trPr>
        <w:tc>
          <w:tcPr>
            <w:tcW w:w="5720" w:type="dxa"/>
            <w:vAlign w:val="bottom"/>
          </w:tcPr>
          <w:p>
            <w:pPr>
              <w:spacing w:after="0" w:line="167" w:lineRule="exact"/>
              <w:rPr>
                <w:sz w:val="20"/>
                <w:szCs w:val="20"/>
                <w:color w:val="auto"/>
              </w:rPr>
            </w:pPr>
            <w:r>
              <w:rPr>
                <w:rFonts w:ascii="Arial" w:cs="Arial" w:eastAsia="Arial" w:hAnsi="Arial"/>
                <w:sz w:val="16"/>
                <w:szCs w:val="16"/>
                <w:b w:val="1"/>
                <w:bCs w:val="1"/>
                <w:color w:val="auto"/>
              </w:rPr>
              <w:t>Total legal cash requirements</w:t>
            </w:r>
          </w:p>
        </w:tc>
        <w:tc>
          <w:tcPr>
            <w:tcW w:w="17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27,500,624</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27,070,563</w:t>
            </w:r>
          </w:p>
        </w:tc>
        <w:tc>
          <w:tcPr>
            <w:tcW w:w="20" w:type="dxa"/>
            <w:vAlign w:val="bottom"/>
          </w:tcPr>
          <w:p>
            <w:pPr>
              <w:spacing w:after="0"/>
              <w:rPr>
                <w:sz w:val="14"/>
                <w:szCs w:val="14"/>
                <w:color w:val="auto"/>
              </w:rPr>
            </w:pPr>
          </w:p>
        </w:tc>
      </w:tr>
      <w:tr>
        <w:trPr>
          <w:trHeight w:val="359"/>
        </w:trPr>
        <w:tc>
          <w:tcPr>
            <w:tcW w:w="5720" w:type="dxa"/>
            <w:vAlign w:val="bottom"/>
          </w:tcPr>
          <w:p>
            <w:pPr>
              <w:spacing w:after="0"/>
              <w:rPr>
                <w:sz w:val="20"/>
                <w:szCs w:val="20"/>
                <w:color w:val="auto"/>
              </w:rPr>
            </w:pPr>
            <w:r>
              <w:rPr>
                <w:rFonts w:ascii="Arial" w:cs="Arial" w:eastAsia="Arial" w:hAnsi="Arial"/>
                <w:sz w:val="16"/>
                <w:szCs w:val="16"/>
                <w:b w:val="1"/>
                <w:bCs w:val="1"/>
                <w:color w:val="auto"/>
              </w:rPr>
              <w:t>Additional funds</w:t>
            </w: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5720" w:type="dxa"/>
            <w:vAlign w:val="bottom"/>
          </w:tcPr>
          <w:p>
            <w:pPr>
              <w:spacing w:after="0"/>
              <w:rPr>
                <w:sz w:val="20"/>
                <w:szCs w:val="20"/>
                <w:color w:val="auto"/>
              </w:rPr>
            </w:pPr>
            <w:r>
              <w:rPr>
                <w:rFonts w:ascii="Arial" w:cs="Arial" w:eastAsia="Arial" w:hAnsi="Arial"/>
                <w:sz w:val="16"/>
                <w:szCs w:val="16"/>
                <w:color w:val="auto"/>
              </w:rPr>
              <w:t>Overnight deposits with Central Reserve Bank of Peru (ii)</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14,049,388</w:t>
            </w:r>
          </w:p>
        </w:tc>
        <w:tc>
          <w:tcPr>
            <w:tcW w:w="1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1,546,478</w:t>
            </w:r>
          </w:p>
        </w:tc>
      </w:tr>
      <w:tr>
        <w:trPr>
          <w:trHeight w:val="187"/>
        </w:trPr>
        <w:tc>
          <w:tcPr>
            <w:tcW w:w="5720" w:type="dxa"/>
            <w:vAlign w:val="bottom"/>
          </w:tcPr>
          <w:p>
            <w:pPr>
              <w:spacing w:after="0"/>
              <w:rPr>
                <w:sz w:val="20"/>
                <w:szCs w:val="20"/>
                <w:color w:val="auto"/>
              </w:rPr>
            </w:pPr>
            <w:r>
              <w:rPr>
                <w:rFonts w:ascii="Arial" w:cs="Arial" w:eastAsia="Arial" w:hAnsi="Arial"/>
                <w:sz w:val="16"/>
                <w:szCs w:val="16"/>
                <w:color w:val="auto"/>
              </w:rPr>
              <w:t>Term deposits with Central Reserve Bank of Peru (iii)</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240,000</w:t>
            </w:r>
          </w:p>
        </w:tc>
        <w:tc>
          <w:tcPr>
            <w:tcW w:w="1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7"/>
        </w:trPr>
        <w:tc>
          <w:tcPr>
            <w:tcW w:w="5720" w:type="dxa"/>
            <w:vAlign w:val="bottom"/>
          </w:tcPr>
          <w:p>
            <w:pPr>
              <w:spacing w:after="0"/>
              <w:rPr>
                <w:sz w:val="20"/>
                <w:szCs w:val="20"/>
                <w:color w:val="auto"/>
              </w:rPr>
            </w:pPr>
            <w:r>
              <w:rPr>
                <w:rFonts w:ascii="Arial" w:cs="Arial" w:eastAsia="Arial" w:hAnsi="Arial"/>
                <w:sz w:val="16"/>
                <w:szCs w:val="16"/>
                <w:color w:val="auto"/>
              </w:rPr>
              <w:t>Cash in vaults of Bank and others</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472,080</w:t>
            </w:r>
          </w:p>
        </w:tc>
        <w:tc>
          <w:tcPr>
            <w:tcW w:w="1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736,844</w:t>
            </w:r>
          </w:p>
        </w:tc>
      </w:tr>
      <w:tr>
        <w:trPr>
          <w:trHeight w:val="201"/>
        </w:trPr>
        <w:tc>
          <w:tcPr>
            <w:tcW w:w="5720" w:type="dxa"/>
            <w:vAlign w:val="bottom"/>
          </w:tcPr>
          <w:p>
            <w:pPr>
              <w:spacing w:after="0"/>
              <w:rPr>
                <w:sz w:val="20"/>
                <w:szCs w:val="20"/>
                <w:color w:val="auto"/>
              </w:rPr>
            </w:pPr>
            <w:r>
              <w:rPr>
                <w:rFonts w:ascii="Arial" w:cs="Arial" w:eastAsia="Arial" w:hAnsi="Arial"/>
                <w:sz w:val="16"/>
                <w:szCs w:val="16"/>
                <w:color w:val="auto"/>
              </w:rPr>
              <w:t>Other Deposits BCRP</w:t>
            </w:r>
          </w:p>
        </w:tc>
        <w:tc>
          <w:tcPr>
            <w:tcW w:w="2820" w:type="dxa"/>
            <w:vAlign w:val="bottom"/>
            <w:gridSpan w:val="2"/>
          </w:tcPr>
          <w:p>
            <w:pPr>
              <w:jc w:val="right"/>
              <w:spacing w:after="0"/>
              <w:rPr>
                <w:sz w:val="20"/>
                <w:szCs w:val="20"/>
                <w:color w:val="auto"/>
              </w:rPr>
            </w:pPr>
            <w:r>
              <w:rPr>
                <w:rFonts w:ascii="Arial" w:cs="Arial" w:eastAsia="Arial" w:hAnsi="Arial"/>
                <w:sz w:val="16"/>
                <w:szCs w:val="16"/>
                <w:color w:val="auto"/>
              </w:rPr>
              <w:t>710,522</w:t>
            </w: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944,807</w:t>
            </w:r>
          </w:p>
        </w:tc>
      </w:tr>
      <w:tr>
        <w:trPr>
          <w:trHeight w:val="178"/>
        </w:trPr>
        <w:tc>
          <w:tcPr>
            <w:tcW w:w="5720" w:type="dxa"/>
            <w:vAlign w:val="bottom"/>
          </w:tcPr>
          <w:p>
            <w:pPr>
              <w:spacing w:after="0" w:line="178" w:lineRule="exact"/>
              <w:rPr>
                <w:sz w:val="20"/>
                <w:szCs w:val="20"/>
                <w:color w:val="auto"/>
              </w:rPr>
            </w:pPr>
            <w:r>
              <w:rPr>
                <w:rFonts w:ascii="Arial" w:cs="Arial" w:eastAsia="Arial" w:hAnsi="Arial"/>
                <w:sz w:val="16"/>
                <w:szCs w:val="16"/>
                <w:b w:val="1"/>
                <w:bCs w:val="1"/>
                <w:color w:val="auto"/>
              </w:rPr>
              <w:t>Total additional funds</w:t>
            </w:r>
          </w:p>
        </w:tc>
        <w:tc>
          <w:tcPr>
            <w:tcW w:w="17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15,471,990</w:t>
            </w:r>
          </w:p>
        </w:tc>
        <w:tc>
          <w:tcPr>
            <w:tcW w:w="1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3,228,129</w:t>
            </w:r>
          </w:p>
        </w:tc>
        <w:tc>
          <w:tcPr>
            <w:tcW w:w="20" w:type="dxa"/>
            <w:vAlign w:val="bottom"/>
          </w:tcPr>
          <w:p>
            <w:pPr>
              <w:spacing w:after="0"/>
              <w:rPr>
                <w:sz w:val="15"/>
                <w:szCs w:val="15"/>
                <w:color w:val="auto"/>
              </w:rPr>
            </w:pPr>
          </w:p>
        </w:tc>
      </w:tr>
      <w:tr>
        <w:trPr>
          <w:trHeight w:val="170"/>
        </w:trPr>
        <w:tc>
          <w:tcPr>
            <w:tcW w:w="572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1780" w:type="dxa"/>
            <w:vAlign w:val="bottom"/>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42,972,614</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30,298,692</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566" w:right="80" w:hanging="286"/>
        <w:spacing w:after="0" w:line="241" w:lineRule="auto"/>
        <w:tabs>
          <w:tab w:leader="none" w:pos="566"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of December 31, 2024 cash and deposits that generate interest subject to legal cash requirements in Peru in local and foreign currency are subject to an implicit rate of 5.61 percent and 34.60 percent, respectively, on the total balance of obligations subject to legal cash requirements, as required by the BCRP (6.01 percent and 34.87 percent, respectively, as of December 31, 2023)</w:t>
      </w:r>
    </w:p>
    <w:p>
      <w:pPr>
        <w:spacing w:after="0" w:line="145" w:lineRule="exact"/>
        <w:rPr>
          <w:rFonts w:ascii="Arial" w:cs="Arial" w:eastAsia="Arial" w:hAnsi="Arial"/>
          <w:sz w:val="16"/>
          <w:szCs w:val="16"/>
          <w:color w:val="auto"/>
        </w:rPr>
      </w:pPr>
    </w:p>
    <w:p>
      <w:pPr>
        <w:ind w:left="566" w:right="20"/>
        <w:spacing w:after="0" w:line="241" w:lineRule="auto"/>
        <w:rPr>
          <w:rFonts w:ascii="Arial" w:cs="Arial" w:eastAsia="Arial" w:hAnsi="Arial"/>
          <w:sz w:val="16"/>
          <w:szCs w:val="16"/>
          <w:color w:val="auto"/>
        </w:rPr>
      </w:pPr>
      <w:r>
        <w:rPr>
          <w:rFonts w:ascii="Arial" w:cs="Arial" w:eastAsia="Arial" w:hAnsi="Arial"/>
          <w:sz w:val="16"/>
          <w:szCs w:val="16"/>
          <w:color w:val="auto"/>
        </w:rPr>
        <w:t>As of December 31, 2024, part of the additional reserve funds in U.S. Dollar at a variable rate amounting to US$150.0 million, equivalent to S/564.6 million, have a cash flow hedge through interest rate swaps (IRS), through which said funds are converted to U.S. Dollar at a fixed rate, see Note 12(c).</w:t>
      </w:r>
    </w:p>
    <w:p>
      <w:pPr>
        <w:spacing w:after="0" w:line="145" w:lineRule="exact"/>
        <w:rPr>
          <w:rFonts w:ascii="Arial" w:cs="Arial" w:eastAsia="Arial" w:hAnsi="Arial"/>
          <w:sz w:val="16"/>
          <w:szCs w:val="16"/>
          <w:color w:val="auto"/>
        </w:rPr>
      </w:pPr>
    </w:p>
    <w:p>
      <w:pPr>
        <w:ind w:left="566" w:right="160"/>
        <w:spacing w:after="0" w:line="255" w:lineRule="auto"/>
        <w:rPr>
          <w:rFonts w:ascii="Arial" w:cs="Arial" w:eastAsia="Arial" w:hAnsi="Arial"/>
          <w:sz w:val="16"/>
          <w:szCs w:val="16"/>
          <w:color w:val="auto"/>
        </w:rPr>
      </w:pPr>
      <w:r>
        <w:rPr>
          <w:rFonts w:ascii="Arial" w:cs="Arial" w:eastAsia="Arial" w:hAnsi="Arial"/>
          <w:sz w:val="16"/>
          <w:szCs w:val="16"/>
          <w:color w:val="auto"/>
        </w:rPr>
        <w:t>The reserve funds, which represent the minimum mandatory, do not earn interest; however, the mandatory reserve deposited in BCRP more than minimum mandatory, earns interests at a nominal rate established by BCRP.</w:t>
      </w:r>
    </w:p>
    <w:p>
      <w:pPr>
        <w:spacing w:after="0" w:line="134" w:lineRule="exact"/>
        <w:rPr>
          <w:rFonts w:ascii="Arial" w:cs="Arial" w:eastAsia="Arial" w:hAnsi="Arial"/>
          <w:sz w:val="16"/>
          <w:szCs w:val="16"/>
          <w:color w:val="auto"/>
        </w:rPr>
      </w:pPr>
    </w:p>
    <w:p>
      <w:pPr>
        <w:ind w:left="566" w:right="220"/>
        <w:spacing w:after="0" w:line="255" w:lineRule="auto"/>
        <w:rPr>
          <w:rFonts w:ascii="Arial" w:cs="Arial" w:eastAsia="Arial" w:hAnsi="Arial"/>
          <w:sz w:val="16"/>
          <w:szCs w:val="16"/>
          <w:color w:val="auto"/>
        </w:rPr>
      </w:pPr>
      <w:r>
        <w:rPr>
          <w:rFonts w:ascii="Arial" w:cs="Arial" w:eastAsia="Arial" w:hAnsi="Arial"/>
          <w:sz w:val="16"/>
          <w:szCs w:val="16"/>
          <w:color w:val="auto"/>
        </w:rPr>
        <w:t>In Management's opinion, the Group has complied with the requirements established by current regulations related to the calculation of the legal reserve.</w:t>
      </w:r>
    </w:p>
    <w:p>
      <w:pPr>
        <w:spacing w:after="0" w:line="134" w:lineRule="exact"/>
        <w:rPr>
          <w:rFonts w:ascii="Arial" w:cs="Arial" w:eastAsia="Arial" w:hAnsi="Arial"/>
          <w:sz w:val="16"/>
          <w:szCs w:val="16"/>
          <w:color w:val="auto"/>
        </w:rPr>
      </w:pPr>
    </w:p>
    <w:p>
      <w:pPr>
        <w:ind w:left="566" w:right="20" w:hanging="286"/>
        <w:spacing w:after="0" w:line="241" w:lineRule="auto"/>
        <w:tabs>
          <w:tab w:leader="none" w:pos="566"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of December 31, 2024, the Group maintains four "overnight" deposits with the BCRP, of which two is denominated in soles in amount of S/435.0 million and two in U.S. Dollar for a total of US$3,617.0 million, equivalent to S/13,614.4 million. To that date, the deposit in soles and deposits in U.S. Dollar accrue interest at annual rates of 3.00 percent and 4.44 percent, respectively, and have maturities at 3 days.</w:t>
      </w:r>
    </w:p>
    <w:p>
      <w:pPr>
        <w:spacing w:after="0" w:line="145" w:lineRule="exact"/>
        <w:rPr>
          <w:rFonts w:ascii="Arial" w:cs="Arial" w:eastAsia="Arial" w:hAnsi="Arial"/>
          <w:sz w:val="16"/>
          <w:szCs w:val="16"/>
          <w:color w:val="auto"/>
        </w:rPr>
      </w:pPr>
    </w:p>
    <w:p>
      <w:pPr>
        <w:ind w:left="566"/>
        <w:spacing w:after="0" w:line="241" w:lineRule="auto"/>
        <w:rPr>
          <w:rFonts w:ascii="Arial" w:cs="Arial" w:eastAsia="Arial" w:hAnsi="Arial"/>
          <w:sz w:val="16"/>
          <w:szCs w:val="16"/>
          <w:color w:val="auto"/>
        </w:rPr>
      </w:pPr>
      <w:r>
        <w:rPr>
          <w:rFonts w:ascii="Arial" w:cs="Arial" w:eastAsia="Arial" w:hAnsi="Arial"/>
          <w:sz w:val="16"/>
          <w:szCs w:val="16"/>
          <w:color w:val="auto"/>
        </w:rPr>
        <w:t>As of December 31, 2023, the Group maintains four “overnight” deposits with the BCRP, which two are denominated in soles for a total of S/1,160.0 million and two are denominated in U.S. Dollar for a total of US$104.2 million, equivalent to S/386.5 million. At said date, deposit in soles and deposits in U.S. Dollar accrue interest at annual rates of 4.00 percent and 5.34 percent, respectively, and have maturities at 5 days.</w:t>
      </w:r>
    </w:p>
    <w:p>
      <w:pPr>
        <w:spacing w:after="0" w:line="304" w:lineRule="exact"/>
        <w:rPr>
          <w:sz w:val="20"/>
          <w:szCs w:val="20"/>
          <w:color w:val="auto"/>
        </w:rPr>
      </w:pPr>
    </w:p>
    <w:p>
      <w:pPr>
        <w:jc w:val="center"/>
        <w:ind w:right="534"/>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57" w:name="page58"/>
    <w:bookmarkEnd w:id="57"/>
    <w:p>
      <w:pPr>
        <w:ind w:left="1127" w:right="20" w:hanging="286"/>
        <w:spacing w:after="0" w:line="257" w:lineRule="auto"/>
        <w:tabs>
          <w:tab w:leader="none" w:pos="1127" w:val="left"/>
        </w:tabs>
        <w:numPr>
          <w:ilvl w:val="1"/>
          <w:numId w:val="74"/>
        </w:numPr>
        <w:rPr>
          <w:rFonts w:ascii="Arial" w:cs="Arial" w:eastAsia="Arial" w:hAnsi="Arial"/>
          <w:sz w:val="16"/>
          <w:szCs w:val="16"/>
          <w:color w:val="auto"/>
        </w:rPr>
      </w:pPr>
      <w:r>
        <w:rPr>
          <w:rFonts w:ascii="Arial" w:cs="Arial" w:eastAsia="Arial" w:hAnsi="Arial"/>
          <w:sz w:val="16"/>
          <w:szCs w:val="16"/>
          <w:color w:val="auto"/>
        </w:rPr>
        <w:t>As of December 31, 2024, the Group maintain term deposits with the BCRP for an amount of S/240.0 million, accruing interest at an annual rate between 4.81 to 4.84 percent. As of December 31, 2023, the Bank and its Subsidiaries did not maintain term deposits with the BCRP.</w:t>
      </w:r>
    </w:p>
    <w:p>
      <w:pPr>
        <w:spacing w:after="0" w:line="132" w:lineRule="exact"/>
        <w:rPr>
          <w:rFonts w:ascii="Arial" w:cs="Arial" w:eastAsia="Arial" w:hAnsi="Arial"/>
          <w:sz w:val="16"/>
          <w:szCs w:val="16"/>
          <w:color w:val="auto"/>
        </w:rPr>
      </w:pPr>
    </w:p>
    <w:p>
      <w:pPr>
        <w:ind w:left="847" w:hanging="286"/>
        <w:spacing w:after="0"/>
        <w:tabs>
          <w:tab w:leader="none" w:pos="8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Deposits with local and foreign banks -</w:t>
      </w:r>
    </w:p>
    <w:p>
      <w:pPr>
        <w:spacing w:after="0" w:line="166" w:lineRule="exact"/>
        <w:rPr>
          <w:rFonts w:ascii="Arial" w:cs="Arial" w:eastAsia="Arial" w:hAnsi="Arial"/>
          <w:sz w:val="16"/>
          <w:szCs w:val="16"/>
          <w:color w:val="auto"/>
        </w:rPr>
      </w:pPr>
    </w:p>
    <w:p>
      <w:pPr>
        <w:ind w:left="847" w:right="40"/>
        <w:spacing w:after="0" w:line="255" w:lineRule="auto"/>
        <w:rPr>
          <w:rFonts w:ascii="Arial" w:cs="Arial" w:eastAsia="Arial" w:hAnsi="Arial"/>
          <w:sz w:val="16"/>
          <w:szCs w:val="16"/>
          <w:color w:val="auto"/>
        </w:rPr>
      </w:pPr>
      <w:r>
        <w:rPr>
          <w:rFonts w:ascii="Arial" w:cs="Arial" w:eastAsia="Arial" w:hAnsi="Arial"/>
          <w:sz w:val="16"/>
          <w:szCs w:val="16"/>
          <w:color w:val="auto"/>
        </w:rPr>
        <w:t>Deposits with local and foreign banks mainly consist of balances in soles and U.S. Dollar; these represent cash on hand and earn interest at market rates. As of December 31, 2024, and 2023 the Group do not maintain significant deposits with any bank.</w:t>
      </w:r>
    </w:p>
    <w:p>
      <w:pPr>
        <w:spacing w:after="0" w:line="132" w:lineRule="exact"/>
        <w:rPr>
          <w:sz w:val="20"/>
          <w:szCs w:val="20"/>
          <w:color w:val="auto"/>
        </w:rPr>
      </w:pPr>
    </w:p>
    <w:p>
      <w:pPr>
        <w:ind w:left="567" w:right="580" w:hanging="567"/>
        <w:spacing w:after="0" w:line="268" w:lineRule="auto"/>
        <w:tabs>
          <w:tab w:leader="none" w:pos="567"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CASH COLLATERAL, REVERSE REPURCHASE AGREEMENTS AND SECURITIES BORROWING AND PAYABLES FROM REPURCHASE AGREEMENTS AND SECURITIES LENDING</w:t>
      </w:r>
    </w:p>
    <w:p>
      <w:pPr>
        <w:spacing w:after="0" w:line="116" w:lineRule="exact"/>
        <w:rPr>
          <w:rFonts w:ascii="Arial" w:cs="Arial" w:eastAsia="Arial" w:hAnsi="Arial"/>
          <w:sz w:val="16"/>
          <w:szCs w:val="16"/>
          <w:b w:val="1"/>
          <w:bCs w:val="1"/>
          <w:color w:val="auto"/>
        </w:rPr>
      </w:pPr>
    </w:p>
    <w:p>
      <w:pPr>
        <w:ind w:left="847" w:hanging="286"/>
        <w:spacing w:after="0"/>
        <w:tabs>
          <w:tab w:leader="none" w:pos="847" w:val="left"/>
        </w:tabs>
        <w:numPr>
          <w:ilvl w:val="1"/>
          <w:numId w:val="76"/>
        </w:numPr>
        <w:rPr>
          <w:rFonts w:ascii="Arial" w:cs="Arial" w:eastAsia="Arial" w:hAnsi="Arial"/>
          <w:sz w:val="16"/>
          <w:szCs w:val="16"/>
          <w:color w:val="auto"/>
        </w:rPr>
      </w:pPr>
      <w:r>
        <w:rPr>
          <w:rFonts w:ascii="Arial" w:cs="Arial" w:eastAsia="Arial" w:hAnsi="Arial"/>
          <w:sz w:val="16"/>
          <w:szCs w:val="16"/>
          <w:color w:val="auto"/>
        </w:rPr>
        <w:t>We present below the composition of cash collateral, reverse repurchase agreements and securities borrowing:</w:t>
      </w:r>
    </w:p>
    <w:p>
      <w:pPr>
        <w:spacing w:after="0" w:line="164" w:lineRule="exact"/>
        <w:rPr>
          <w:sz w:val="20"/>
          <w:szCs w:val="20"/>
          <w:color w:val="auto"/>
        </w:rPr>
      </w:pPr>
    </w:p>
    <w:tbl>
      <w:tblPr>
        <w:tblLayout w:type="fixed"/>
        <w:tblInd w:w="847"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8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6"/>
                <w:szCs w:val="16"/>
                <w:color w:val="auto"/>
              </w:rPr>
            </w:pPr>
          </w:p>
        </w:tc>
      </w:tr>
      <w:tr>
        <w:trPr>
          <w:trHeight w:val="206"/>
        </w:trPr>
        <w:tc>
          <w:tcPr>
            <w:tcW w:w="60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331"/>
        </w:trPr>
        <w:tc>
          <w:tcPr>
            <w:tcW w:w="6060" w:type="dxa"/>
            <w:vAlign w:val="bottom"/>
          </w:tcPr>
          <w:p>
            <w:pPr>
              <w:spacing w:after="0"/>
              <w:rPr>
                <w:sz w:val="20"/>
                <w:szCs w:val="20"/>
                <w:color w:val="auto"/>
              </w:rPr>
            </w:pPr>
            <w:r>
              <w:rPr>
                <w:rFonts w:ascii="Arial" w:cs="Arial" w:eastAsia="Arial" w:hAnsi="Arial"/>
                <w:sz w:val="16"/>
                <w:szCs w:val="16"/>
                <w:color w:val="auto"/>
              </w:rPr>
              <w:t>Cash collateral on repurchase agreements and security lendings (i)</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362,723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607,639</w:t>
            </w:r>
          </w:p>
        </w:tc>
      </w:tr>
      <w:tr>
        <w:trPr>
          <w:trHeight w:val="187"/>
        </w:trPr>
        <w:tc>
          <w:tcPr>
            <w:tcW w:w="6060" w:type="dxa"/>
            <w:vAlign w:val="bottom"/>
          </w:tcPr>
          <w:p>
            <w:pPr>
              <w:spacing w:after="0"/>
              <w:rPr>
                <w:sz w:val="20"/>
                <w:szCs w:val="20"/>
                <w:color w:val="auto"/>
              </w:rPr>
            </w:pPr>
            <w:r>
              <w:rPr>
                <w:rFonts w:ascii="Arial" w:cs="Arial" w:eastAsia="Arial" w:hAnsi="Arial"/>
                <w:sz w:val="16"/>
                <w:szCs w:val="16"/>
                <w:color w:val="auto"/>
              </w:rPr>
              <w:t>Reverse repurchase agreement and security borrowings (ii)</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670,454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719,722</w:t>
            </w:r>
          </w:p>
        </w:tc>
      </w:tr>
      <w:tr>
        <w:trPr>
          <w:trHeight w:val="201"/>
        </w:trPr>
        <w:tc>
          <w:tcPr>
            <w:tcW w:w="6060" w:type="dxa"/>
            <w:vAlign w:val="bottom"/>
          </w:tcPr>
          <w:p>
            <w:pPr>
              <w:spacing w:after="0"/>
              <w:rPr>
                <w:sz w:val="20"/>
                <w:szCs w:val="20"/>
                <w:color w:val="auto"/>
              </w:rPr>
            </w:pPr>
            <w:r>
              <w:rPr>
                <w:rFonts w:ascii="Arial" w:cs="Arial" w:eastAsia="Arial" w:hAnsi="Arial"/>
                <w:sz w:val="16"/>
                <w:szCs w:val="16"/>
                <w:color w:val="auto"/>
              </w:rPr>
              <w:t>Receivables for short sales</w:t>
            </w:r>
          </w:p>
        </w:tc>
        <w:tc>
          <w:tcPr>
            <w:tcW w:w="144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83,286</w:t>
            </w:r>
          </w:p>
        </w:tc>
      </w:tr>
      <w:tr>
        <w:trPr>
          <w:trHeight w:val="170"/>
        </w:trPr>
        <w:tc>
          <w:tcPr>
            <w:tcW w:w="606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14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1,033,177</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1,410,647</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1127" w:right="40" w:hanging="286"/>
        <w:spacing w:after="0" w:line="326" w:lineRule="auto"/>
        <w:tabs>
          <w:tab w:leader="none" w:pos="11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As of December 31, 2024, the balance mainly comprises cash guarantees in U.S. Dollar and Bolivianos. Cash guarantees were delivered to the Central Bank of Bolivia, received in Bolivianos and U.S. Dollar for the equivalent of S/343.6 million (S/590.7 million, as of December 31, 2023).</w:t>
      </w:r>
    </w:p>
    <w:p>
      <w:pPr>
        <w:spacing w:after="0" w:line="87" w:lineRule="exact"/>
        <w:rPr>
          <w:rFonts w:ascii="Arial" w:cs="Arial" w:eastAsia="Arial" w:hAnsi="Arial"/>
          <w:sz w:val="14"/>
          <w:szCs w:val="14"/>
          <w:color w:val="auto"/>
        </w:rPr>
      </w:pPr>
    </w:p>
    <w:p>
      <w:pPr>
        <w:ind w:left="1127"/>
        <w:spacing w:after="0" w:line="241" w:lineRule="auto"/>
        <w:rPr>
          <w:rFonts w:ascii="Arial" w:cs="Arial" w:eastAsia="Arial" w:hAnsi="Arial"/>
          <w:sz w:val="14"/>
          <w:szCs w:val="14"/>
          <w:color w:val="auto"/>
        </w:rPr>
      </w:pPr>
      <w:r>
        <w:rPr>
          <w:rFonts w:ascii="Arial" w:cs="Arial" w:eastAsia="Arial" w:hAnsi="Arial"/>
          <w:sz w:val="16"/>
          <w:szCs w:val="16"/>
          <w:color w:val="auto"/>
        </w:rPr>
        <w:t>The guarantee fund granted accrues interest at an average annual effective rate based on market rates. The liability related to this transaction is presented in “Accounts payable under repurchase agreements and securities lending” in the consolidated statement of financial position, see paragraph (c) below.</w:t>
      </w:r>
    </w:p>
    <w:p>
      <w:pPr>
        <w:spacing w:after="0" w:line="304" w:lineRule="exact"/>
        <w:rPr>
          <w:sz w:val="20"/>
          <w:szCs w:val="20"/>
          <w:color w:val="auto"/>
        </w:rPr>
      </w:pPr>
    </w:p>
    <w:p>
      <w:pPr>
        <w:jc w:val="center"/>
        <w:ind w:right="-246"/>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027"/>
          </w:cols>
          <w:pgMar w:left="313" w:top="124" w:right="559" w:bottom="1440" w:gutter="0" w:footer="0" w:header="0"/>
        </w:sectPr>
      </w:pPr>
    </w:p>
    <w:bookmarkStart w:id="58" w:name="page59"/>
    <w:bookmarkEnd w:id="58"/>
    <w:p>
      <w:pPr>
        <w:ind w:left="1120" w:right="120" w:hanging="286"/>
        <w:spacing w:after="0" w:line="257" w:lineRule="auto"/>
        <w:tabs>
          <w:tab w:leader="none" w:pos="11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Credicorp, through its subsidiaries, provides financing to its customers through reverse repurchase agreements and securities borrowing, in which a financial instrument serves as collateral. Details of said transactions are as follows:</w:t>
      </w:r>
    </w:p>
    <w:p>
      <w:pPr>
        <w:spacing w:after="0" w:line="139" w:lineRule="exact"/>
        <w:rPr>
          <w:sz w:val="20"/>
          <w:szCs w:val="20"/>
          <w:color w:val="auto"/>
        </w:rPr>
      </w:pPr>
    </w:p>
    <w:tbl>
      <w:tblPr>
        <w:tblLayout w:type="fixed"/>
        <w:tblInd w:w="1120" w:type="dxa"/>
        <w:tblCellMar>
          <w:top w:w="0" w:type="dxa"/>
          <w:left w:w="0" w:type="dxa"/>
          <w:bottom w:w="0" w:type="dxa"/>
          <w:right w:w="0" w:type="dxa"/>
        </w:tblCellMar>
      </w:tblPr>
      <w:tr>
        <w:trPr>
          <w:trHeight w:val="148"/>
        </w:trPr>
        <w:tc>
          <w:tcPr>
            <w:tcW w:w="1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4"/>
        </w:trPr>
        <w:tc>
          <w:tcPr>
            <w:tcW w:w="1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ind w:left="40"/>
              <w:spacing w:after="0" w:line="124" w:lineRule="exact"/>
              <w:rPr>
                <w:sz w:val="20"/>
                <w:szCs w:val="20"/>
                <w:color w:val="auto"/>
              </w:rPr>
            </w:pPr>
            <w:r>
              <w:rPr>
                <w:rFonts w:ascii="Arial" w:cs="Arial" w:eastAsia="Arial" w:hAnsi="Arial"/>
                <w:sz w:val="12"/>
                <w:szCs w:val="12"/>
                <w:b w:val="1"/>
                <w:bCs w:val="1"/>
                <w:color w:val="auto"/>
              </w:rPr>
              <w:t>Fair value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Fair value</w:t>
            </w:r>
          </w:p>
        </w:tc>
        <w:tc>
          <w:tcPr>
            <w:tcW w:w="20" w:type="dxa"/>
            <w:vAlign w:val="bottom"/>
          </w:tcPr>
          <w:p>
            <w:pPr>
              <w:spacing w:after="0"/>
              <w:rPr>
                <w:sz w:val="10"/>
                <w:szCs w:val="10"/>
                <w:color w:val="auto"/>
              </w:rPr>
            </w:pPr>
          </w:p>
        </w:tc>
      </w:tr>
      <w:tr>
        <w:trPr>
          <w:trHeight w:val="140"/>
        </w:trPr>
        <w:tc>
          <w:tcPr>
            <w:tcW w:w="1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From 3</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More</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of</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Average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From 3</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More</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w:t>
            </w:r>
          </w:p>
        </w:tc>
      </w:tr>
      <w:tr>
        <w:trPr>
          <w:trHeight w:val="140"/>
        </w:trPr>
        <w:tc>
          <w:tcPr>
            <w:tcW w:w="1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w:t>
            </w: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Up to 3</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to 30</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than 30</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Carrying</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underlying</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interest</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Up to 3</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to 30</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than 30</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Carrying</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underlying</w:t>
            </w:r>
          </w:p>
        </w:tc>
      </w:tr>
      <w:tr>
        <w:trPr>
          <w:trHeight w:val="148"/>
        </w:trPr>
        <w:tc>
          <w:tcPr>
            <w:tcW w:w="1760" w:type="dxa"/>
            <w:vAlign w:val="bottom"/>
          </w:tcPr>
          <w:p>
            <w:pPr>
              <w:spacing w:after="0"/>
              <w:rPr>
                <w:sz w:val="12"/>
                <w:szCs w:val="12"/>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Currency</w:t>
            </w:r>
          </w:p>
        </w:tc>
        <w:tc>
          <w:tcPr>
            <w:tcW w:w="580" w:type="dxa"/>
            <w:vAlign w:val="bottom"/>
            <w:gridSpan w:val="2"/>
          </w:tcPr>
          <w:p>
            <w:pPr>
              <w:ind w:left="80"/>
              <w:spacing w:after="0"/>
              <w:rPr>
                <w:sz w:val="20"/>
                <w:szCs w:val="20"/>
                <w:color w:val="auto"/>
              </w:rPr>
            </w:pPr>
            <w:r>
              <w:rPr>
                <w:rFonts w:ascii="Arial" w:cs="Arial" w:eastAsia="Arial" w:hAnsi="Arial"/>
                <w:sz w:val="12"/>
                <w:szCs w:val="12"/>
                <w:b w:val="1"/>
                <w:bCs w:val="1"/>
                <w:color w:val="auto"/>
              </w:rPr>
              <w:t>rate</w:t>
            </w: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days</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days</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days</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assets</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rate</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days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days</w:t>
            </w: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days</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assets</w:t>
            </w:r>
          </w:p>
        </w:tc>
      </w:tr>
      <w:tr>
        <w:trPr>
          <w:trHeight w:val="162"/>
        </w:trPr>
        <w:tc>
          <w:tcPr>
            <w:tcW w:w="17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4"/>
                <w:szCs w:val="14"/>
                <w:color w:val="auto"/>
              </w:rPr>
            </w:pPr>
          </w:p>
        </w:tc>
      </w:tr>
      <w:tr>
        <w:trPr>
          <w:trHeight w:val="242"/>
        </w:trPr>
        <w:tc>
          <w:tcPr>
            <w:tcW w:w="1760" w:type="dxa"/>
            <w:vAlign w:val="bottom"/>
          </w:tcPr>
          <w:p>
            <w:pPr>
              <w:spacing w:after="0"/>
              <w:rPr>
                <w:sz w:val="20"/>
                <w:szCs w:val="20"/>
                <w:color w:val="auto"/>
              </w:rPr>
            </w:pPr>
            <w:r>
              <w:rPr>
                <w:rFonts w:ascii="Arial" w:cs="Arial" w:eastAsia="Arial" w:hAnsi="Arial"/>
                <w:sz w:val="12"/>
                <w:szCs w:val="12"/>
                <w:color w:val="auto"/>
              </w:rPr>
              <w:t>Instruments issued by the</w:t>
            </w:r>
          </w:p>
        </w:tc>
        <w:tc>
          <w:tcPr>
            <w:tcW w:w="600" w:type="dxa"/>
            <w:vAlign w:val="bottom"/>
          </w:tcPr>
          <w:p>
            <w:pPr>
              <w:spacing w:after="0"/>
              <w:rPr>
                <w:sz w:val="20"/>
                <w:szCs w:val="20"/>
                <w:color w:val="auto"/>
              </w:rPr>
            </w:pPr>
            <w:r>
              <w:rPr>
                <w:rFonts w:ascii="Arial" w:cs="Arial" w:eastAsia="Arial" w:hAnsi="Arial"/>
                <w:sz w:val="12"/>
                <w:szCs w:val="12"/>
                <w:color w:val="auto"/>
              </w:rPr>
              <w:t>Colombian</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0"/>
        </w:trPr>
        <w:tc>
          <w:tcPr>
            <w:tcW w:w="1760" w:type="dxa"/>
            <w:vAlign w:val="bottom"/>
          </w:tcPr>
          <w:p>
            <w:pPr>
              <w:spacing w:after="0"/>
              <w:rPr>
                <w:sz w:val="20"/>
                <w:szCs w:val="20"/>
                <w:color w:val="auto"/>
              </w:rPr>
            </w:pPr>
            <w:r>
              <w:rPr>
                <w:rFonts w:ascii="Arial" w:cs="Arial" w:eastAsia="Arial" w:hAnsi="Arial"/>
                <w:sz w:val="12"/>
                <w:szCs w:val="12"/>
                <w:color w:val="auto"/>
              </w:rPr>
              <w:t>Colombian Government</w:t>
            </w:r>
          </w:p>
        </w:tc>
        <w:tc>
          <w:tcPr>
            <w:tcW w:w="600" w:type="dxa"/>
            <w:vAlign w:val="bottom"/>
          </w:tcPr>
          <w:p>
            <w:pPr>
              <w:spacing w:after="0"/>
              <w:rPr>
                <w:sz w:val="20"/>
                <w:szCs w:val="20"/>
                <w:color w:val="auto"/>
              </w:rPr>
            </w:pPr>
            <w:r>
              <w:rPr>
                <w:rFonts w:ascii="Arial" w:cs="Arial" w:eastAsia="Arial" w:hAnsi="Arial"/>
                <w:sz w:val="12"/>
                <w:szCs w:val="12"/>
                <w:color w:val="auto"/>
              </w:rPr>
              <w:t>peso</w:t>
            </w:r>
          </w:p>
        </w:tc>
        <w:tc>
          <w:tcPr>
            <w:tcW w:w="580" w:type="dxa"/>
            <w:vAlign w:val="bottom"/>
            <w:gridSpan w:val="2"/>
          </w:tcPr>
          <w:p>
            <w:pPr>
              <w:ind w:left="340"/>
              <w:spacing w:after="0"/>
              <w:rPr>
                <w:sz w:val="20"/>
                <w:szCs w:val="20"/>
                <w:color w:val="auto"/>
              </w:rPr>
            </w:pPr>
            <w:r>
              <w:rPr>
                <w:rFonts w:ascii="Arial" w:cs="Arial" w:eastAsia="Arial" w:hAnsi="Arial"/>
                <w:sz w:val="12"/>
                <w:szCs w:val="12"/>
                <w:color w:val="auto"/>
                <w:w w:val="93"/>
              </w:rPr>
              <w:t>8.09</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174,598</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274,114</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154,743</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603,455</w:t>
            </w:r>
          </w:p>
        </w:tc>
        <w:tc>
          <w:tcPr>
            <w:tcW w:w="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594,096</w:t>
            </w:r>
          </w:p>
        </w:tc>
        <w:tc>
          <w:tcPr>
            <w:tcW w:w="40" w:type="dxa"/>
            <w:vAlign w:val="bottom"/>
          </w:tcPr>
          <w:p>
            <w:pPr>
              <w:spacing w:after="0"/>
              <w:rPr>
                <w:sz w:val="12"/>
                <w:szCs w:val="12"/>
                <w:color w:val="auto"/>
              </w:rPr>
            </w:pPr>
          </w:p>
        </w:tc>
        <w:tc>
          <w:tcPr>
            <w:tcW w:w="620" w:type="dxa"/>
            <w:vAlign w:val="bottom"/>
            <w:gridSpan w:val="3"/>
          </w:tcPr>
          <w:p>
            <w:pPr>
              <w:ind w:left="300"/>
              <w:spacing w:after="0"/>
              <w:rPr>
                <w:sz w:val="20"/>
                <w:szCs w:val="20"/>
                <w:color w:val="auto"/>
              </w:rPr>
            </w:pPr>
            <w:r>
              <w:rPr>
                <w:rFonts w:ascii="Arial" w:cs="Arial" w:eastAsia="Arial" w:hAnsi="Arial"/>
                <w:sz w:val="12"/>
                <w:szCs w:val="12"/>
                <w:color w:val="auto"/>
              </w:rPr>
              <w:t>6.09</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603,441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82,075</w:t>
            </w: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685,516</w:t>
            </w:r>
          </w:p>
        </w:tc>
        <w:tc>
          <w:tcPr>
            <w:tcW w:w="680" w:type="dxa"/>
            <w:vAlign w:val="bottom"/>
          </w:tcPr>
          <w:p>
            <w:pPr>
              <w:jc w:val="right"/>
              <w:spacing w:after="0"/>
              <w:rPr>
                <w:sz w:val="20"/>
                <w:szCs w:val="20"/>
                <w:color w:val="auto"/>
              </w:rPr>
            </w:pPr>
            <w:r>
              <w:rPr>
                <w:rFonts w:ascii="Arial" w:cs="Arial" w:eastAsia="Arial" w:hAnsi="Arial"/>
                <w:sz w:val="12"/>
                <w:szCs w:val="12"/>
                <w:color w:val="auto"/>
              </w:rPr>
              <w:t>687,878</w:t>
            </w:r>
          </w:p>
        </w:tc>
        <w:tc>
          <w:tcPr>
            <w:tcW w:w="20" w:type="dxa"/>
            <w:vAlign w:val="bottom"/>
          </w:tcPr>
          <w:p>
            <w:pPr>
              <w:spacing w:after="0"/>
              <w:rPr>
                <w:sz w:val="12"/>
                <w:szCs w:val="12"/>
                <w:color w:val="auto"/>
              </w:rPr>
            </w:pPr>
          </w:p>
        </w:tc>
      </w:tr>
      <w:tr>
        <w:trPr>
          <w:trHeight w:val="148"/>
        </w:trPr>
        <w:tc>
          <w:tcPr>
            <w:tcW w:w="1760" w:type="dxa"/>
            <w:vAlign w:val="bottom"/>
          </w:tcPr>
          <w:p>
            <w:pPr>
              <w:spacing w:after="0"/>
              <w:rPr>
                <w:sz w:val="20"/>
                <w:szCs w:val="20"/>
                <w:color w:val="auto"/>
              </w:rPr>
            </w:pPr>
            <w:r>
              <w:rPr>
                <w:rFonts w:ascii="Arial" w:cs="Arial" w:eastAsia="Arial" w:hAnsi="Arial"/>
                <w:sz w:val="12"/>
                <w:szCs w:val="12"/>
                <w:color w:val="auto"/>
              </w:rPr>
              <w:t>Other instruments</w:t>
            </w:r>
          </w:p>
        </w:tc>
        <w:tc>
          <w:tcPr>
            <w:tcW w:w="600" w:type="dxa"/>
            <w:vAlign w:val="bottom"/>
          </w:tcPr>
          <w:p>
            <w:pPr>
              <w:spacing w:after="0"/>
              <w:rPr>
                <w:sz w:val="20"/>
                <w:szCs w:val="20"/>
                <w:color w:val="auto"/>
              </w:rPr>
            </w:pPr>
            <w:r>
              <w:rPr>
                <w:rFonts w:ascii="Arial" w:cs="Arial" w:eastAsia="Arial" w:hAnsi="Arial"/>
                <w:sz w:val="12"/>
                <w:szCs w:val="12"/>
                <w:color w:val="auto"/>
              </w:rPr>
              <w:t>Several</w:t>
            </w:r>
          </w:p>
        </w:tc>
        <w:tc>
          <w:tcPr>
            <w:tcW w:w="580" w:type="dxa"/>
            <w:vAlign w:val="bottom"/>
            <w:gridSpan w:val="2"/>
          </w:tcPr>
          <w:p>
            <w:pPr>
              <w:ind w:left="340"/>
              <w:spacing w:after="0"/>
              <w:rPr>
                <w:sz w:val="20"/>
                <w:szCs w:val="20"/>
                <w:color w:val="auto"/>
              </w:rPr>
            </w:pPr>
            <w:r>
              <w:rPr>
                <w:rFonts w:ascii="Arial" w:cs="Arial" w:eastAsia="Arial" w:hAnsi="Arial"/>
                <w:sz w:val="12"/>
                <w:szCs w:val="12"/>
                <w:color w:val="auto"/>
                <w:w w:val="93"/>
              </w:rPr>
              <w:t>2.64</w:t>
            </w:r>
          </w:p>
        </w:tc>
        <w:tc>
          <w:tcPr>
            <w:tcW w:w="620" w:type="dxa"/>
            <w:vAlign w:val="bottom"/>
            <w:gridSpan w:val="3"/>
          </w:tcPr>
          <w:p>
            <w:pPr>
              <w:jc w:val="right"/>
              <w:ind w:right="60"/>
              <w:spacing w:after="0"/>
              <w:rPr>
                <w:sz w:val="20"/>
                <w:szCs w:val="20"/>
                <w:color w:val="auto"/>
              </w:rPr>
            </w:pPr>
            <w:r>
              <w:rPr>
                <w:rFonts w:ascii="Arial" w:cs="Arial" w:eastAsia="Arial" w:hAnsi="Arial"/>
                <w:sz w:val="12"/>
                <w:szCs w:val="12"/>
                <w:color w:val="auto"/>
              </w:rPr>
              <w:t>34,065</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9,562</w:t>
            </w: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23,372</w:t>
            </w:r>
          </w:p>
        </w:tc>
        <w:tc>
          <w:tcPr>
            <w:tcW w:w="600" w:type="dxa"/>
            <w:vAlign w:val="bottom"/>
            <w:gridSpan w:val="3"/>
          </w:tcPr>
          <w:p>
            <w:pPr>
              <w:jc w:val="right"/>
              <w:ind w:right="20"/>
              <w:spacing w:after="0"/>
              <w:rPr>
                <w:sz w:val="20"/>
                <w:szCs w:val="20"/>
                <w:color w:val="auto"/>
              </w:rPr>
            </w:pPr>
            <w:r>
              <w:rPr>
                <w:rFonts w:ascii="Arial" w:cs="Arial" w:eastAsia="Arial" w:hAnsi="Arial"/>
                <w:sz w:val="12"/>
                <w:szCs w:val="12"/>
                <w:color w:val="auto"/>
              </w:rPr>
              <w:t>66,999</w:t>
            </w:r>
          </w:p>
        </w:tc>
        <w:tc>
          <w:tcPr>
            <w:tcW w:w="740" w:type="dxa"/>
            <w:vAlign w:val="bottom"/>
            <w:gridSpan w:val="3"/>
          </w:tcPr>
          <w:p>
            <w:pPr>
              <w:jc w:val="right"/>
              <w:ind w:right="40"/>
              <w:spacing w:after="0"/>
              <w:rPr>
                <w:sz w:val="20"/>
                <w:szCs w:val="20"/>
                <w:color w:val="auto"/>
              </w:rPr>
            </w:pPr>
            <w:r>
              <w:rPr>
                <w:rFonts w:ascii="Arial" w:cs="Arial" w:eastAsia="Arial" w:hAnsi="Arial"/>
                <w:sz w:val="12"/>
                <w:szCs w:val="12"/>
                <w:color w:val="auto"/>
              </w:rPr>
              <w:t>66,993</w:t>
            </w:r>
          </w:p>
        </w:tc>
        <w:tc>
          <w:tcPr>
            <w:tcW w:w="620" w:type="dxa"/>
            <w:vAlign w:val="bottom"/>
            <w:gridSpan w:val="3"/>
          </w:tcPr>
          <w:p>
            <w:pPr>
              <w:ind w:left="300"/>
              <w:spacing w:after="0"/>
              <w:rPr>
                <w:sz w:val="20"/>
                <w:szCs w:val="20"/>
                <w:color w:val="auto"/>
              </w:rPr>
            </w:pPr>
            <w:r>
              <w:rPr>
                <w:rFonts w:ascii="Arial" w:cs="Arial" w:eastAsia="Arial" w:hAnsi="Arial"/>
                <w:sz w:val="12"/>
                <w:szCs w:val="12"/>
                <w:color w:val="auto"/>
              </w:rPr>
              <w:t>0.96</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6,722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25,585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1,899</w:t>
            </w: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34,206</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34,223</w:t>
            </w:r>
          </w:p>
        </w:tc>
      </w:tr>
      <w:tr>
        <w:trPr>
          <w:trHeight w:val="135"/>
        </w:trPr>
        <w:tc>
          <w:tcPr>
            <w:tcW w:w="1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208,663</w:t>
            </w:r>
          </w:p>
        </w:tc>
        <w:tc>
          <w:tcPr>
            <w:tcW w:w="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283,676</w:t>
            </w:r>
          </w:p>
        </w:tc>
        <w:tc>
          <w:tcPr>
            <w:tcW w:w="6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178,115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670,454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661,089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6,722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629,026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83,974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719,722</w:t>
            </w: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722,101</w:t>
            </w:r>
          </w:p>
        </w:tc>
        <w:tc>
          <w:tcPr>
            <w:tcW w:w="20" w:type="dxa"/>
            <w:vAlign w:val="bottom"/>
            <w:tcBorders>
              <w:top w:val="single" w:sz="8" w:color="auto"/>
              <w:bottom w:val="single" w:sz="8" w:color="auto"/>
            </w:tcBorders>
          </w:tcPr>
          <w:p>
            <w:pPr>
              <w:spacing w:after="0"/>
              <w:rPr>
                <w:sz w:val="11"/>
                <w:szCs w:val="11"/>
                <w:color w:val="auto"/>
              </w:rPr>
            </w:pPr>
          </w:p>
        </w:tc>
      </w:tr>
    </w:tbl>
    <w:p>
      <w:pPr>
        <w:spacing w:after="0" w:line="160" w:lineRule="exact"/>
        <w:rPr>
          <w:sz w:val="20"/>
          <w:szCs w:val="20"/>
          <w:color w:val="auto"/>
        </w:rPr>
      </w:pPr>
    </w:p>
    <w:p>
      <w:pPr>
        <w:jc w:val="both"/>
        <w:ind w:left="840" w:right="580" w:hanging="286"/>
        <w:spacing w:after="0" w:line="326" w:lineRule="auto"/>
        <w:tabs>
          <w:tab w:leader="none" w:pos="8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Credicorp, through its subsidiaries, obtains financing through “Payables from repurchase agreements and securities lending” by selling financial instruments and committing to repurchase them at future dates, including interest at a fixed rate. The details of said transactions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2024</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2023</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24"/>
        </w:trPr>
        <w:tc>
          <w:tcPr>
            <w:tcW w:w="2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line="124" w:lineRule="exact"/>
              <w:rPr>
                <w:sz w:val="20"/>
                <w:szCs w:val="20"/>
                <w:color w:val="auto"/>
              </w:rPr>
            </w:pPr>
            <w:r>
              <w:rPr>
                <w:rFonts w:ascii="Arial" w:cs="Arial" w:eastAsia="Arial" w:hAnsi="Arial"/>
                <w:sz w:val="12"/>
                <w:szCs w:val="12"/>
                <w:b w:val="1"/>
                <w:bCs w:val="1"/>
                <w:color w:val="auto"/>
              </w:rPr>
              <w:t>Fair value</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0"/>
        </w:trPr>
        <w:tc>
          <w:tcPr>
            <w:tcW w:w="2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Average</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From 3</w:t>
            </w:r>
          </w:p>
        </w:tc>
        <w:tc>
          <w:tcPr>
            <w:tcW w:w="560" w:type="dxa"/>
            <w:vAlign w:val="bottom"/>
          </w:tcPr>
          <w:p>
            <w:pPr>
              <w:spacing w:after="0"/>
              <w:rPr>
                <w:sz w:val="20"/>
                <w:szCs w:val="20"/>
                <w:color w:val="auto"/>
              </w:rPr>
            </w:pPr>
            <w:r>
              <w:rPr>
                <w:rFonts w:ascii="Arial" w:cs="Arial" w:eastAsia="Arial" w:hAnsi="Arial"/>
                <w:sz w:val="12"/>
                <w:szCs w:val="12"/>
                <w:b w:val="1"/>
                <w:bCs w:val="1"/>
                <w:color w:val="auto"/>
              </w:rPr>
              <w:t>More</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Average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More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w:t>
            </w:r>
          </w:p>
        </w:tc>
        <w:tc>
          <w:tcPr>
            <w:tcW w:w="520" w:type="dxa"/>
            <w:vAlign w:val="bottom"/>
          </w:tcPr>
          <w:p>
            <w:pPr>
              <w:spacing w:after="0"/>
              <w:rPr>
                <w:sz w:val="12"/>
                <w:szCs w:val="12"/>
                <w:color w:val="auto"/>
              </w:rPr>
            </w:pPr>
          </w:p>
        </w:tc>
      </w:tr>
      <w:tr>
        <w:trPr>
          <w:trHeight w:val="140"/>
        </w:trPr>
        <w:tc>
          <w:tcPr>
            <w:tcW w:w="2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interest</w:t>
            </w:r>
          </w:p>
        </w:tc>
        <w:tc>
          <w:tcPr>
            <w:tcW w:w="560" w:type="dxa"/>
            <w:vAlign w:val="bottom"/>
            <w:gridSpan w:val="3"/>
          </w:tcPr>
          <w:p>
            <w:pPr>
              <w:ind w:left="40"/>
              <w:spacing w:after="0"/>
              <w:rPr>
                <w:sz w:val="20"/>
                <w:szCs w:val="20"/>
                <w:color w:val="auto"/>
              </w:rPr>
            </w:pPr>
            <w:r>
              <w:rPr>
                <w:rFonts w:ascii="Arial" w:cs="Arial" w:eastAsia="Arial" w:hAnsi="Arial"/>
                <w:sz w:val="12"/>
                <w:szCs w:val="12"/>
                <w:b w:val="1"/>
                <w:bCs w:val="1"/>
                <w:color w:val="auto"/>
              </w:rPr>
              <w:t>Up to 3</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to 30</w:t>
            </w:r>
          </w:p>
        </w:tc>
        <w:tc>
          <w:tcPr>
            <w:tcW w:w="560" w:type="dxa"/>
            <w:vAlign w:val="bottom"/>
          </w:tcPr>
          <w:p>
            <w:pPr>
              <w:spacing w:after="0"/>
              <w:rPr>
                <w:sz w:val="20"/>
                <w:szCs w:val="20"/>
                <w:color w:val="auto"/>
              </w:rPr>
            </w:pPr>
            <w:r>
              <w:rPr>
                <w:rFonts w:ascii="Arial" w:cs="Arial" w:eastAsia="Arial" w:hAnsi="Arial"/>
                <w:sz w:val="12"/>
                <w:szCs w:val="12"/>
                <w:b w:val="1"/>
                <w:bCs w:val="1"/>
                <w:color w:val="auto"/>
              </w:rPr>
              <w:t>than 30</w:t>
            </w:r>
          </w:p>
        </w:tc>
        <w:tc>
          <w:tcPr>
            <w:tcW w:w="6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Carrying</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interest</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Up to 3</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From 3 to</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than 30</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Carrying</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underlying</w:t>
            </w:r>
          </w:p>
        </w:tc>
        <w:tc>
          <w:tcPr>
            <w:tcW w:w="520" w:type="dxa"/>
            <w:vAlign w:val="bottom"/>
          </w:tcPr>
          <w:p>
            <w:pPr>
              <w:spacing w:after="0"/>
              <w:rPr>
                <w:sz w:val="12"/>
                <w:szCs w:val="12"/>
                <w:color w:val="auto"/>
              </w:rPr>
            </w:pPr>
          </w:p>
        </w:tc>
      </w:tr>
      <w:tr>
        <w:trPr>
          <w:trHeight w:val="148"/>
        </w:trPr>
        <w:tc>
          <w:tcPr>
            <w:tcW w:w="260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Currency</w:t>
            </w: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rate</w:t>
            </w:r>
          </w:p>
        </w:tc>
        <w:tc>
          <w:tcPr>
            <w:tcW w:w="560" w:type="dxa"/>
            <w:vAlign w:val="bottom"/>
            <w:gridSpan w:val="3"/>
          </w:tcPr>
          <w:p>
            <w:pPr>
              <w:ind w:left="40"/>
              <w:spacing w:after="0"/>
              <w:rPr>
                <w:sz w:val="20"/>
                <w:szCs w:val="20"/>
                <w:color w:val="auto"/>
              </w:rPr>
            </w:pPr>
            <w:r>
              <w:rPr>
                <w:rFonts w:ascii="Arial" w:cs="Arial" w:eastAsia="Arial" w:hAnsi="Arial"/>
                <w:sz w:val="12"/>
                <w:szCs w:val="12"/>
                <w:b w:val="1"/>
                <w:bCs w:val="1"/>
                <w:color w:val="auto"/>
              </w:rPr>
              <w:t>days</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days</w:t>
            </w:r>
          </w:p>
        </w:tc>
        <w:tc>
          <w:tcPr>
            <w:tcW w:w="560" w:type="dxa"/>
            <w:vAlign w:val="bottom"/>
          </w:tcPr>
          <w:p>
            <w:pPr>
              <w:spacing w:after="0"/>
              <w:rPr>
                <w:sz w:val="20"/>
                <w:szCs w:val="20"/>
                <w:color w:val="auto"/>
              </w:rPr>
            </w:pPr>
            <w:r>
              <w:rPr>
                <w:rFonts w:ascii="Arial" w:cs="Arial" w:eastAsia="Arial" w:hAnsi="Arial"/>
                <w:sz w:val="12"/>
                <w:szCs w:val="12"/>
                <w:b w:val="1"/>
                <w:bCs w:val="1"/>
                <w:color w:val="auto"/>
              </w:rPr>
              <w:t>days</w:t>
            </w:r>
          </w:p>
        </w:tc>
        <w:tc>
          <w:tcPr>
            <w:tcW w:w="6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assets</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rate</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days</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30 days</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days</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assets</w:t>
            </w:r>
          </w:p>
        </w:tc>
        <w:tc>
          <w:tcPr>
            <w:tcW w:w="520" w:type="dxa"/>
            <w:vAlign w:val="bottom"/>
          </w:tcPr>
          <w:p>
            <w:pPr>
              <w:spacing w:after="0"/>
              <w:rPr>
                <w:sz w:val="12"/>
                <w:szCs w:val="12"/>
                <w:color w:val="auto"/>
              </w:rPr>
            </w:pPr>
          </w:p>
        </w:tc>
      </w:tr>
      <w:tr>
        <w:trPr>
          <w:trHeight w:val="162"/>
        </w:trPr>
        <w:tc>
          <w:tcPr>
            <w:tcW w:w="26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42"/>
        </w:trPr>
        <w:tc>
          <w:tcPr>
            <w:tcW w:w="2600" w:type="dxa"/>
            <w:vAlign w:val="bottom"/>
          </w:tcPr>
          <w:p>
            <w:pPr>
              <w:ind w:left="840"/>
              <w:spacing w:after="0"/>
              <w:rPr>
                <w:sz w:val="20"/>
                <w:szCs w:val="20"/>
                <w:color w:val="auto"/>
              </w:rPr>
            </w:pPr>
            <w:r>
              <w:rPr>
                <w:rFonts w:ascii="Arial" w:cs="Arial" w:eastAsia="Arial" w:hAnsi="Arial"/>
                <w:sz w:val="12"/>
                <w:szCs w:val="12"/>
                <w:color w:val="auto"/>
              </w:rPr>
              <w:t>Debt instruments, cash and</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140"/>
        </w:trPr>
        <w:tc>
          <w:tcPr>
            <w:tcW w:w="2600" w:type="dxa"/>
            <w:vAlign w:val="bottom"/>
          </w:tcPr>
          <w:p>
            <w:pPr>
              <w:ind w:left="840"/>
              <w:spacing w:after="0"/>
              <w:rPr>
                <w:sz w:val="20"/>
                <w:szCs w:val="20"/>
                <w:color w:val="auto"/>
              </w:rPr>
            </w:pPr>
            <w:r>
              <w:rPr>
                <w:rFonts w:ascii="Arial" w:cs="Arial" w:eastAsia="Arial" w:hAnsi="Arial"/>
                <w:sz w:val="12"/>
                <w:szCs w:val="12"/>
                <w:color w:val="auto"/>
              </w:rPr>
              <w:t>credit portfolio (c)</w:t>
            </w:r>
          </w:p>
        </w:tc>
        <w:tc>
          <w:tcPr>
            <w:tcW w:w="680" w:type="dxa"/>
            <w:vAlign w:val="bottom"/>
            <w:gridSpan w:val="2"/>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281,977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7,547,457</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7,829,434</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8,155,962</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9,582</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8,596,559</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8,606,141</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9,268,346</w:t>
            </w:r>
          </w:p>
        </w:tc>
        <w:tc>
          <w:tcPr>
            <w:tcW w:w="520" w:type="dxa"/>
            <w:vAlign w:val="bottom"/>
          </w:tcPr>
          <w:p>
            <w:pPr>
              <w:spacing w:after="0"/>
              <w:rPr>
                <w:sz w:val="12"/>
                <w:szCs w:val="12"/>
                <w:color w:val="auto"/>
              </w:rPr>
            </w:pPr>
          </w:p>
        </w:tc>
      </w:tr>
      <w:tr>
        <w:trPr>
          <w:trHeight w:val="140"/>
        </w:trPr>
        <w:tc>
          <w:tcPr>
            <w:tcW w:w="2600" w:type="dxa"/>
            <w:vAlign w:val="bottom"/>
          </w:tcPr>
          <w:p>
            <w:pPr>
              <w:ind w:left="840"/>
              <w:spacing w:after="0"/>
              <w:rPr>
                <w:sz w:val="20"/>
                <w:szCs w:val="20"/>
                <w:color w:val="auto"/>
              </w:rPr>
            </w:pPr>
            <w:r>
              <w:rPr>
                <w:rFonts w:ascii="Arial" w:cs="Arial" w:eastAsia="Arial" w:hAnsi="Arial"/>
                <w:sz w:val="12"/>
                <w:szCs w:val="12"/>
                <w:color w:val="auto"/>
              </w:rPr>
              <w:t>Instruments issued by the</w:t>
            </w:r>
          </w:p>
        </w:tc>
        <w:tc>
          <w:tcPr>
            <w:tcW w:w="680" w:type="dxa"/>
            <w:vAlign w:val="bottom"/>
            <w:gridSpan w:val="2"/>
          </w:tcPr>
          <w:p>
            <w:pPr>
              <w:spacing w:after="0"/>
              <w:rPr>
                <w:sz w:val="20"/>
                <w:szCs w:val="20"/>
                <w:color w:val="auto"/>
              </w:rPr>
            </w:pPr>
            <w:r>
              <w:rPr>
                <w:rFonts w:ascii="Arial" w:cs="Arial" w:eastAsia="Arial" w:hAnsi="Arial"/>
                <w:sz w:val="12"/>
                <w:szCs w:val="12"/>
                <w:color w:val="auto"/>
              </w:rPr>
              <w:t>Colombian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0"/>
        </w:trPr>
        <w:tc>
          <w:tcPr>
            <w:tcW w:w="2600" w:type="dxa"/>
            <w:vAlign w:val="bottom"/>
          </w:tcPr>
          <w:p>
            <w:pPr>
              <w:ind w:left="840"/>
              <w:spacing w:after="0"/>
              <w:rPr>
                <w:sz w:val="20"/>
                <w:szCs w:val="20"/>
                <w:color w:val="auto"/>
              </w:rPr>
            </w:pPr>
            <w:r>
              <w:rPr>
                <w:rFonts w:ascii="Arial" w:cs="Arial" w:eastAsia="Arial" w:hAnsi="Arial"/>
                <w:sz w:val="12"/>
                <w:szCs w:val="12"/>
                <w:color w:val="auto"/>
              </w:rPr>
              <w:t>Colombian Government</w:t>
            </w:r>
          </w:p>
        </w:tc>
        <w:tc>
          <w:tcPr>
            <w:tcW w:w="680" w:type="dxa"/>
            <w:vAlign w:val="bottom"/>
            <w:gridSpan w:val="2"/>
          </w:tcPr>
          <w:p>
            <w:pPr>
              <w:spacing w:after="0"/>
              <w:rPr>
                <w:sz w:val="20"/>
                <w:szCs w:val="20"/>
                <w:color w:val="auto"/>
              </w:rPr>
            </w:pPr>
            <w:r>
              <w:rPr>
                <w:rFonts w:ascii="Arial" w:cs="Arial" w:eastAsia="Arial" w:hAnsi="Arial"/>
                <w:sz w:val="12"/>
                <w:szCs w:val="12"/>
                <w:color w:val="auto"/>
              </w:rPr>
              <w:t>Pesos</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4.68</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127,103</w:t>
            </w:r>
          </w:p>
        </w:tc>
        <w:tc>
          <w:tcPr>
            <w:tcW w:w="4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rPr>
              <w:t>721,207</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848,310</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848,310</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6.22</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1,410,328</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1,410,328</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1,408,486</w:t>
            </w:r>
          </w:p>
        </w:tc>
        <w:tc>
          <w:tcPr>
            <w:tcW w:w="520" w:type="dxa"/>
            <w:vAlign w:val="bottom"/>
          </w:tcPr>
          <w:p>
            <w:pPr>
              <w:spacing w:after="0"/>
              <w:rPr>
                <w:sz w:val="12"/>
                <w:szCs w:val="12"/>
                <w:color w:val="auto"/>
              </w:rPr>
            </w:pPr>
          </w:p>
        </w:tc>
      </w:tr>
      <w:tr>
        <w:trPr>
          <w:trHeight w:val="140"/>
        </w:trPr>
        <w:tc>
          <w:tcPr>
            <w:tcW w:w="2600" w:type="dxa"/>
            <w:vAlign w:val="bottom"/>
          </w:tcPr>
          <w:p>
            <w:pPr>
              <w:ind w:left="840"/>
              <w:spacing w:after="0"/>
              <w:rPr>
                <w:sz w:val="20"/>
                <w:szCs w:val="20"/>
                <w:color w:val="auto"/>
              </w:rPr>
            </w:pPr>
            <w:r>
              <w:rPr>
                <w:rFonts w:ascii="Arial" w:cs="Arial" w:eastAsia="Arial" w:hAnsi="Arial"/>
                <w:sz w:val="12"/>
                <w:szCs w:val="12"/>
                <w:color w:val="auto"/>
              </w:rPr>
              <w:t>Instruments issued by the</w:t>
            </w:r>
          </w:p>
        </w:tc>
        <w:tc>
          <w:tcPr>
            <w:tcW w:w="680" w:type="dxa"/>
            <w:vAlign w:val="bottom"/>
            <w:gridSpan w:val="2"/>
          </w:tcPr>
          <w:p>
            <w:pPr>
              <w:spacing w:after="0"/>
              <w:rPr>
                <w:sz w:val="20"/>
                <w:szCs w:val="20"/>
                <w:color w:val="auto"/>
              </w:rPr>
            </w:pPr>
            <w:r>
              <w:rPr>
                <w:rFonts w:ascii="Arial" w:cs="Arial" w:eastAsia="Arial" w:hAnsi="Arial"/>
                <w:sz w:val="12"/>
                <w:szCs w:val="12"/>
                <w:color w:val="auto"/>
              </w:rPr>
              <w:t>Chilean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0"/>
        </w:trPr>
        <w:tc>
          <w:tcPr>
            <w:tcW w:w="2600" w:type="dxa"/>
            <w:vAlign w:val="bottom"/>
          </w:tcPr>
          <w:p>
            <w:pPr>
              <w:ind w:left="840"/>
              <w:spacing w:after="0"/>
              <w:rPr>
                <w:sz w:val="20"/>
                <w:szCs w:val="20"/>
                <w:color w:val="auto"/>
              </w:rPr>
            </w:pPr>
            <w:r>
              <w:rPr>
                <w:rFonts w:ascii="Arial" w:cs="Arial" w:eastAsia="Arial" w:hAnsi="Arial"/>
                <w:sz w:val="12"/>
                <w:szCs w:val="12"/>
                <w:color w:val="auto"/>
              </w:rPr>
              <w:t>Chilean Government</w:t>
            </w:r>
          </w:p>
        </w:tc>
        <w:tc>
          <w:tcPr>
            <w:tcW w:w="680" w:type="dxa"/>
            <w:vAlign w:val="bottom"/>
            <w:gridSpan w:val="2"/>
          </w:tcPr>
          <w:p>
            <w:pPr>
              <w:spacing w:after="0"/>
              <w:rPr>
                <w:sz w:val="20"/>
                <w:szCs w:val="20"/>
                <w:color w:val="auto"/>
              </w:rPr>
            </w:pPr>
            <w:r>
              <w:rPr>
                <w:rFonts w:ascii="Arial" w:cs="Arial" w:eastAsia="Arial" w:hAnsi="Arial"/>
                <w:sz w:val="12"/>
                <w:szCs w:val="12"/>
                <w:color w:val="auto"/>
              </w:rPr>
              <w:t>pesos</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0.46</w:t>
            </w:r>
          </w:p>
        </w:tc>
        <w:tc>
          <w:tcPr>
            <w:tcW w:w="560" w:type="dxa"/>
            <w:vAlign w:val="bottom"/>
            <w:gridSpan w:val="3"/>
          </w:tcPr>
          <w:p>
            <w:pPr>
              <w:jc w:val="right"/>
              <w:ind w:right="40"/>
              <w:spacing w:after="0"/>
              <w:rPr>
                <w:sz w:val="20"/>
                <w:szCs w:val="20"/>
                <w:color w:val="auto"/>
              </w:rPr>
            </w:pPr>
            <w:r>
              <w:rPr>
                <w:rFonts w:ascii="Arial" w:cs="Arial" w:eastAsia="Arial" w:hAnsi="Arial"/>
                <w:sz w:val="12"/>
                <w:szCs w:val="12"/>
                <w:color w:val="auto"/>
              </w:rPr>
              <w:t>83,375</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83,375</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83,398</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0.75</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57,066</w:t>
            </w:r>
          </w:p>
        </w:tc>
        <w:tc>
          <w:tcPr>
            <w:tcW w:w="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57,066</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57,095</w:t>
            </w:r>
          </w:p>
        </w:tc>
        <w:tc>
          <w:tcPr>
            <w:tcW w:w="520" w:type="dxa"/>
            <w:vAlign w:val="bottom"/>
          </w:tcPr>
          <w:p>
            <w:pPr>
              <w:spacing w:after="0"/>
              <w:rPr>
                <w:sz w:val="12"/>
                <w:szCs w:val="12"/>
                <w:color w:val="auto"/>
              </w:rPr>
            </w:pPr>
          </w:p>
        </w:tc>
      </w:tr>
      <w:tr>
        <w:trPr>
          <w:trHeight w:val="148"/>
        </w:trPr>
        <w:tc>
          <w:tcPr>
            <w:tcW w:w="2600" w:type="dxa"/>
            <w:vAlign w:val="bottom"/>
          </w:tcPr>
          <w:p>
            <w:pPr>
              <w:ind w:left="840"/>
              <w:spacing w:after="0"/>
              <w:rPr>
                <w:sz w:val="20"/>
                <w:szCs w:val="20"/>
                <w:color w:val="auto"/>
              </w:rPr>
            </w:pPr>
            <w:r>
              <w:rPr>
                <w:rFonts w:ascii="Arial" w:cs="Arial" w:eastAsia="Arial" w:hAnsi="Arial"/>
                <w:sz w:val="12"/>
                <w:szCs w:val="12"/>
                <w:color w:val="auto"/>
              </w:rPr>
              <w:t>Other instruments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5.11</w:t>
            </w:r>
          </w:p>
        </w:tc>
        <w:tc>
          <w:tcPr>
            <w:tcW w:w="560" w:type="dxa"/>
            <w:vAlign w:val="bottom"/>
            <w:gridSpan w:val="3"/>
          </w:tcPr>
          <w:p>
            <w:pPr>
              <w:jc w:val="right"/>
              <w:ind w:right="40"/>
              <w:spacing w:after="0"/>
              <w:rPr>
                <w:sz w:val="20"/>
                <w:szCs w:val="20"/>
                <w:color w:val="auto"/>
              </w:rPr>
            </w:pPr>
            <w:r>
              <w:rPr>
                <w:rFonts w:ascii="Arial" w:cs="Arial" w:eastAsia="Arial" w:hAnsi="Arial"/>
                <w:sz w:val="12"/>
                <w:szCs w:val="12"/>
                <w:color w:val="auto"/>
              </w:rPr>
              <w:t>46,843</w:t>
            </w: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rPr>
              <w:t>4,976</w:t>
            </w:r>
          </w:p>
        </w:tc>
        <w:tc>
          <w:tcPr>
            <w:tcW w:w="560" w:type="dxa"/>
            <w:vAlign w:val="bottom"/>
          </w:tcPr>
          <w:p>
            <w:pPr>
              <w:jc w:val="right"/>
              <w:spacing w:after="0"/>
              <w:rPr>
                <w:sz w:val="20"/>
                <w:szCs w:val="20"/>
                <w:color w:val="auto"/>
              </w:rPr>
            </w:pPr>
            <w:r>
              <w:rPr>
                <w:rFonts w:ascii="Arial" w:cs="Arial" w:eastAsia="Arial" w:hAnsi="Arial"/>
                <w:sz w:val="12"/>
                <w:szCs w:val="12"/>
                <w:color w:val="auto"/>
              </w:rPr>
              <w:t>247,772</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299,591</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299,603</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6.91</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41,056</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53,836</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94,892</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94,659</w:t>
            </w:r>
          </w:p>
        </w:tc>
        <w:tc>
          <w:tcPr>
            <w:tcW w:w="520" w:type="dxa"/>
            <w:vAlign w:val="bottom"/>
          </w:tcPr>
          <w:p>
            <w:pPr>
              <w:spacing w:after="0"/>
              <w:rPr>
                <w:sz w:val="12"/>
                <w:szCs w:val="12"/>
                <w:color w:val="auto"/>
              </w:rPr>
            </w:pPr>
          </w:p>
        </w:tc>
      </w:tr>
      <w:tr>
        <w:trPr>
          <w:trHeight w:val="135"/>
        </w:trPr>
        <w:tc>
          <w:tcPr>
            <w:tcW w:w="2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539,298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726,183</w:t>
            </w:r>
          </w:p>
        </w:tc>
        <w:tc>
          <w:tcPr>
            <w:tcW w:w="8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7,795,229</w:t>
            </w:r>
          </w:p>
        </w:tc>
        <w:tc>
          <w:tcPr>
            <w:tcW w:w="6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9,060,710</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9,387,273</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98,122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1,473,746</w:t>
            </w:r>
          </w:p>
        </w:tc>
        <w:tc>
          <w:tcPr>
            <w:tcW w:w="6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8,596,559</w:t>
            </w:r>
          </w:p>
        </w:tc>
        <w:tc>
          <w:tcPr>
            <w:tcW w:w="6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10,168,427</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10,828,586</w:t>
            </w:r>
          </w:p>
        </w:tc>
        <w:tc>
          <w:tcPr>
            <w:tcW w:w="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r>
      <w:tr>
        <w:trPr>
          <w:trHeight w:val="483"/>
        </w:trPr>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2"/>
          </w:tcPr>
          <w:p>
            <w:pPr>
              <w:jc w:val="right"/>
              <w:ind w:right="338"/>
              <w:spacing w:after="0"/>
              <w:rPr>
                <w:sz w:val="20"/>
                <w:szCs w:val="20"/>
                <w:color w:val="auto"/>
              </w:rPr>
            </w:pPr>
            <w:r>
              <w:rPr>
                <w:rFonts w:ascii="Arial" w:cs="Arial" w:eastAsia="Arial" w:hAnsi="Arial"/>
                <w:sz w:val="12"/>
                <w:szCs w:val="12"/>
                <w:color w:val="auto"/>
                <w:w w:val="93"/>
              </w:rPr>
              <w:t>-56-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59" w:name="page60"/>
    <w:bookmarkEnd w:id="59"/>
    <w:p>
      <w:pPr>
        <w:ind w:left="840" w:hanging="286"/>
        <w:spacing w:after="0" w:line="257" w:lineRule="auto"/>
        <w:tabs>
          <w:tab w:leader="none" w:pos="8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of December 31, 2024, and 2023, the Group has repurchased agreements secured with: (i) cash, see Note 4(a) and (ii) investments, see Note 6(b). This item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Currency</w:t>
            </w: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rPr>
              <w:t>Carrying</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vMerge w:val="restart"/>
          </w:tcPr>
          <w:p>
            <w:pPr>
              <w:spacing w:after="0"/>
              <w:rPr>
                <w:sz w:val="20"/>
                <w:szCs w:val="20"/>
                <w:color w:val="auto"/>
              </w:rPr>
            </w:pPr>
            <w:r>
              <w:rPr>
                <w:rFonts w:ascii="Arial" w:cs="Arial" w:eastAsia="Arial" w:hAnsi="Arial"/>
                <w:sz w:val="16"/>
                <w:szCs w:val="16"/>
                <w:b w:val="1"/>
                <w:bCs w:val="1"/>
                <w:color w:val="auto"/>
              </w:rPr>
              <w:t>Maturity</w:t>
            </w:r>
          </w:p>
        </w:tc>
        <w:tc>
          <w:tcPr>
            <w:tcW w:w="1120" w:type="dxa"/>
            <w:vAlign w:val="bottom"/>
            <w:gridSpan w:val="2"/>
          </w:tcPr>
          <w:p>
            <w:pPr>
              <w:ind w:left="100"/>
              <w:spacing w:after="0" w:line="161" w:lineRule="exact"/>
              <w:rPr>
                <w:sz w:val="20"/>
                <w:szCs w:val="20"/>
                <w:color w:val="auto"/>
              </w:rPr>
            </w:pPr>
            <w:r>
              <w:rPr>
                <w:rFonts w:ascii="Arial" w:cs="Arial" w:eastAsia="Arial" w:hAnsi="Arial"/>
                <w:sz w:val="16"/>
                <w:szCs w:val="16"/>
                <w:b w:val="1"/>
                <w:bCs w:val="1"/>
                <w:color w:val="auto"/>
              </w:rPr>
              <w:t>Carrying</w:t>
            </w:r>
          </w:p>
        </w:tc>
        <w:tc>
          <w:tcPr>
            <w:tcW w:w="11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Collateral</w:t>
            </w:r>
          </w:p>
        </w:tc>
        <w:tc>
          <w:tcPr>
            <w:tcW w:w="0" w:type="dxa"/>
            <w:vAlign w:val="bottom"/>
          </w:tcPr>
          <w:p>
            <w:pPr>
              <w:spacing w:after="0"/>
              <w:rPr>
                <w:sz w:val="1"/>
                <w:szCs w:val="1"/>
                <w:color w:val="auto"/>
              </w:rPr>
            </w:pPr>
          </w:p>
        </w:tc>
      </w:tr>
      <w:tr>
        <w:trPr>
          <w:trHeight w:val="192"/>
        </w:trPr>
        <w:tc>
          <w:tcPr>
            <w:tcW w:w="2100" w:type="dxa"/>
            <w:vAlign w:val="bottom"/>
            <w:gridSpan w:val="2"/>
          </w:tcPr>
          <w:p>
            <w:pPr>
              <w:spacing w:after="0"/>
              <w:rPr>
                <w:sz w:val="20"/>
                <w:szCs w:val="20"/>
                <w:color w:val="auto"/>
              </w:rPr>
            </w:pPr>
            <w:r>
              <w:rPr>
                <w:rFonts w:ascii="Arial" w:cs="Arial" w:eastAsia="Arial" w:hAnsi="Arial"/>
                <w:sz w:val="16"/>
                <w:szCs w:val="16"/>
                <w:b w:val="1"/>
                <w:bCs w:val="1"/>
                <w:color w:val="auto"/>
              </w:rPr>
              <w:t>Counterparties</w:t>
            </w:r>
          </w:p>
        </w:tc>
        <w:tc>
          <w:tcPr>
            <w:tcW w:w="820" w:type="dxa"/>
            <w:vAlign w:val="bottom"/>
            <w:gridSpan w:val="2"/>
            <w:vMerge w:val="continue"/>
          </w:tcPr>
          <w:p>
            <w:pPr>
              <w:spacing w:after="0"/>
              <w:rPr>
                <w:sz w:val="16"/>
                <w:szCs w:val="16"/>
                <w:color w:val="auto"/>
              </w:rPr>
            </w:pPr>
          </w:p>
        </w:tc>
        <w:tc>
          <w:tcPr>
            <w:tcW w:w="2100" w:type="dxa"/>
            <w:vAlign w:val="bottom"/>
            <w:gridSpan w:val="2"/>
          </w:tcPr>
          <w:p>
            <w:pPr>
              <w:spacing w:after="0"/>
              <w:rPr>
                <w:sz w:val="20"/>
                <w:szCs w:val="20"/>
                <w:color w:val="auto"/>
              </w:rPr>
            </w:pPr>
            <w:r>
              <w:rPr>
                <w:rFonts w:ascii="Arial" w:cs="Arial" w:eastAsia="Arial" w:hAnsi="Arial"/>
                <w:sz w:val="16"/>
                <w:szCs w:val="16"/>
                <w:b w:val="1"/>
                <w:bCs w:val="1"/>
                <w:color w:val="auto"/>
              </w:rPr>
              <w:t>Maturity</w:t>
            </w: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Collateral</w:t>
            </w:r>
          </w:p>
        </w:tc>
        <w:tc>
          <w:tcPr>
            <w:tcW w:w="1780" w:type="dxa"/>
            <w:vAlign w:val="bottom"/>
            <w:vMerge w:val="continue"/>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S/(000)</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rPr>
              <w:t>Investments</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January 2025 / September</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January 2024 /</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and credit</w:t>
            </w: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BCRP</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Sol</w:t>
            </w:r>
          </w:p>
        </w:tc>
        <w:tc>
          <w:tcPr>
            <w:tcW w:w="202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5"/>
                <w:szCs w:val="15"/>
                <w:color w:val="auto"/>
              </w:rPr>
            </w:pP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6,115,254</w:t>
            </w: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Investments</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September 2025</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5,436,564</w:t>
            </w: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portfolio</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Loans</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Loans</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guaranteed by</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w w:val="99"/>
              </w:rPr>
              <w:t>guaranteed by</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National</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May 2024 / December</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National</w:t>
            </w: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BCRP - Reactiva Perú (*)</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Sol</w:t>
            </w:r>
          </w:p>
        </w:tc>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May 2025 / December 2025</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459,775</w:t>
            </w: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Government</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1,779,934</w:t>
            </w: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Government</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December 2024 / March</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Banco Central de Bolivia</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Boliviano</w:t>
            </w:r>
          </w:p>
        </w:tc>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March 2026</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343,571</w:t>
            </w: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Cash</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590,715</w:t>
            </w: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Cash</w:t>
            </w: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Banco de la República de</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Colombian</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December 2024 / March</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Colombia</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Peso</w:t>
            </w:r>
          </w:p>
        </w:tc>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January 2025</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281,837</w:t>
            </w: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Cash</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9,569</w:t>
            </w: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Cash</w:t>
            </w: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Natixis S.A.</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Sol</w:t>
            </w:r>
          </w:p>
        </w:tc>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August 2028</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270,000</w:t>
            </w: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Investments</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August 2028</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270,000</w:t>
            </w: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Investments</w:t>
            </w: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Citigroup Global Markets</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U.S.</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Limited</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Dollar</w:t>
            </w:r>
          </w:p>
        </w:tc>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August 2026</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169,380</w:t>
            </w: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Investments</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August 2026</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166,905</w:t>
            </w: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Investments</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U.S.</w:t>
            </w: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Natixis S.A.</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Dollar</w:t>
            </w:r>
          </w:p>
        </w:tc>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August 2026</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94,100</w:t>
            </w: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Investments</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August 2026</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92,725</w:t>
            </w: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Investments</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Loans</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Loans</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guaranteed by</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w w:val="99"/>
              </w:rPr>
              <w:t>guaranteed by</w:t>
            </w: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BCRP - Reactiva Perú</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October 2025 / December</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National</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June 2024 / December</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National</w:t>
            </w: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Especial (*)</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Sol</w:t>
            </w:r>
          </w:p>
        </w:tc>
        <w:tc>
          <w:tcPr>
            <w:tcW w:w="202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5"/>
                <w:szCs w:val="15"/>
                <w:color w:val="auto"/>
              </w:rPr>
            </w:pP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19,212</w:t>
            </w: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Government</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133,309</w:t>
            </w:r>
          </w:p>
        </w:tc>
        <w:tc>
          <w:tcPr>
            <w:tcW w:w="1100" w:type="dxa"/>
            <w:vAlign w:val="bottom"/>
          </w:tcPr>
          <w:p>
            <w:pPr>
              <w:ind w:left="60"/>
              <w:spacing w:after="0" w:line="175" w:lineRule="exact"/>
              <w:rPr>
                <w:sz w:val="20"/>
                <w:szCs w:val="20"/>
                <w:color w:val="auto"/>
              </w:rPr>
            </w:pPr>
            <w:r>
              <w:rPr>
                <w:rFonts w:ascii="Arial" w:cs="Arial" w:eastAsia="Arial" w:hAnsi="Arial"/>
                <w:sz w:val="16"/>
                <w:szCs w:val="16"/>
                <w:color w:val="auto"/>
              </w:rPr>
              <w:t>Government</w:t>
            </w:r>
          </w:p>
        </w:tc>
        <w:tc>
          <w:tcPr>
            <w:tcW w:w="0" w:type="dxa"/>
            <w:vAlign w:val="bottom"/>
          </w:tcPr>
          <w:p>
            <w:pPr>
              <w:spacing w:after="0"/>
              <w:rPr>
                <w:sz w:val="1"/>
                <w:szCs w:val="1"/>
                <w:color w:val="auto"/>
              </w:rPr>
            </w:pPr>
          </w:p>
        </w:tc>
      </w:tr>
      <w:tr>
        <w:trPr>
          <w:trHeight w:val="175"/>
        </w:trPr>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Barclays Bank PLC</w:t>
            </w:r>
          </w:p>
        </w:tc>
        <w:tc>
          <w:tcPr>
            <w:tcW w:w="820" w:type="dxa"/>
            <w:vAlign w:val="bottom"/>
            <w:gridSpan w:val="2"/>
          </w:tcPr>
          <w:p>
            <w:pPr>
              <w:spacing w:after="0" w:line="175" w:lineRule="exact"/>
              <w:rPr>
                <w:sz w:val="20"/>
                <w:szCs w:val="20"/>
                <w:color w:val="auto"/>
              </w:rPr>
            </w:pPr>
            <w:r>
              <w:rPr>
                <w:rFonts w:ascii="Arial" w:cs="Arial" w:eastAsia="Arial" w:hAnsi="Arial"/>
                <w:sz w:val="16"/>
                <w:szCs w:val="16"/>
                <w:color w:val="auto"/>
              </w:rPr>
              <w:t>Sol</w:t>
            </w:r>
          </w:p>
        </w:tc>
        <w:tc>
          <w:tcPr>
            <w:tcW w:w="2100" w:type="dxa"/>
            <w:vAlign w:val="bottom"/>
            <w:gridSpan w:val="2"/>
          </w:tcPr>
          <w:p>
            <w:pPr>
              <w:spacing w:after="0" w:line="175" w:lineRule="exact"/>
              <w:rPr>
                <w:sz w:val="20"/>
                <w:szCs w:val="20"/>
                <w:color w:val="auto"/>
              </w:rPr>
            </w:pPr>
            <w:r>
              <w:rPr>
                <w:rFonts w:ascii="Arial" w:cs="Arial" w:eastAsia="Arial" w:hAnsi="Arial"/>
                <w:sz w:val="16"/>
                <w:szCs w:val="16"/>
                <w:color w:val="auto"/>
              </w:rPr>
              <w:t>August 2028</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9,090</w:t>
            </w:r>
          </w:p>
        </w:tc>
        <w:tc>
          <w:tcPr>
            <w:tcW w:w="1180" w:type="dxa"/>
            <w:vAlign w:val="bottom"/>
            <w:gridSpan w:val="2"/>
          </w:tcPr>
          <w:p>
            <w:pPr>
              <w:spacing w:after="0" w:line="175" w:lineRule="exact"/>
              <w:rPr>
                <w:sz w:val="20"/>
                <w:szCs w:val="20"/>
                <w:color w:val="auto"/>
              </w:rPr>
            </w:pPr>
            <w:r>
              <w:rPr>
                <w:rFonts w:ascii="Arial" w:cs="Arial" w:eastAsia="Arial" w:hAnsi="Arial"/>
                <w:sz w:val="16"/>
                <w:szCs w:val="16"/>
                <w:color w:val="auto"/>
              </w:rPr>
              <w:t>Investments</w:t>
            </w:r>
          </w:p>
        </w:tc>
        <w:tc>
          <w:tcPr>
            <w:tcW w:w="17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120" w:type="dxa"/>
            <w:vAlign w:val="bottom"/>
            <w:gridSpan w:val="2"/>
          </w:tcPr>
          <w:p>
            <w:pPr>
              <w:ind w:left="920"/>
              <w:spacing w:after="0" w:line="175"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5"/>
        </w:trPr>
        <w:tc>
          <w:tcPr>
            <w:tcW w:w="2100" w:type="dxa"/>
            <w:vAlign w:val="bottom"/>
            <w:gridSpan w:val="2"/>
          </w:tcPr>
          <w:p>
            <w:pPr>
              <w:spacing w:after="0"/>
              <w:rPr>
                <w:sz w:val="20"/>
                <w:szCs w:val="20"/>
                <w:color w:val="auto"/>
              </w:rPr>
            </w:pPr>
            <w:r>
              <w:rPr>
                <w:rFonts w:ascii="Arial" w:cs="Arial" w:eastAsia="Arial" w:hAnsi="Arial"/>
                <w:sz w:val="16"/>
                <w:szCs w:val="16"/>
                <w:color w:val="auto"/>
              </w:rPr>
              <w:t>Accrued interest</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67,215</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126,420</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vMerge w:val="restart"/>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7,829,434</w:t>
            </w:r>
          </w:p>
        </w:tc>
        <w:tc>
          <w:tcPr>
            <w:tcW w:w="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8,606,141</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left="1120" w:hanging="286"/>
        <w:spacing w:after="0" w:line="234" w:lineRule="auto"/>
        <w:tabs>
          <w:tab w:leader="none" w:pos="11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Throug Repo Operations, BCP and MiBanco sell representing credit securities guaranteed by the BCRP, they receive soles and are obliged to buy them back at a later date. The credit representing securities with guarantee of the National Government may have the form of a portfolio of credit representing titles or of Certificates of Participation in trustee of the loan portfolio guaranteed by the National Government (Reactiva Especial). The BCRP will charge a fixed interest annual rate in soles of 0.50 percent for the operation and will include a grace period of twelve months without payment of interest or principal. As of December 31, 2024, the Bank and its Subsidiaries maintained repurchase agreements guaranteed for Reactiva program credits S/533.1 million (S/2,128.3 million, as of December 31, 2023).</w:t>
      </w:r>
    </w:p>
    <w:p>
      <w:pPr>
        <w:spacing w:after="0" w:line="149" w:lineRule="exact"/>
        <w:rPr>
          <w:sz w:val="20"/>
          <w:szCs w:val="20"/>
          <w:color w:val="auto"/>
        </w:rPr>
      </w:pPr>
    </w:p>
    <w:p>
      <w:pPr>
        <w:ind w:left="840" w:right="280"/>
        <w:spacing w:after="0" w:line="241" w:lineRule="auto"/>
        <w:rPr>
          <w:sz w:val="20"/>
          <w:szCs w:val="20"/>
          <w:color w:val="auto"/>
        </w:rPr>
      </w:pPr>
      <w:r>
        <w:rPr>
          <w:rFonts w:ascii="Arial" w:cs="Arial" w:eastAsia="Arial" w:hAnsi="Arial"/>
          <w:sz w:val="16"/>
          <w:szCs w:val="16"/>
          <w:color w:val="auto"/>
        </w:rPr>
        <w:t>As of December 31, 2024, said operations accrue interest at fixed and variable rates between 0.5 percent and 9.5 percent and daily SOFR between 7.02 percent and 7.24 percent, respectively (between 0.5 percent and 13.0 percent and daily SOFR between 7.42 percent and 7.64 percent, respectively, as of December 31, 2023).</w:t>
      </w: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60" w:name="page61"/>
    <w:bookmarkEnd w:id="60"/>
    <w:p>
      <w:pPr>
        <w:ind w:left="567" w:hanging="567"/>
        <w:spacing w:after="0"/>
        <w:tabs>
          <w:tab w:leader="none" w:pos="567"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w:t>
      </w:r>
    </w:p>
    <w:p>
      <w:pPr>
        <w:spacing w:after="0" w:line="167" w:lineRule="exact"/>
        <w:rPr>
          <w:rFonts w:ascii="Arial" w:cs="Arial" w:eastAsia="Arial" w:hAnsi="Arial"/>
          <w:sz w:val="16"/>
          <w:szCs w:val="16"/>
          <w:b w:val="1"/>
          <w:bCs w:val="1"/>
          <w:color w:val="auto"/>
        </w:rPr>
      </w:pPr>
    </w:p>
    <w:p>
      <w:pPr>
        <w:ind w:left="847" w:hanging="286"/>
        <w:spacing w:after="0"/>
        <w:tabs>
          <w:tab w:leader="none" w:pos="847" w:val="left"/>
        </w:tabs>
        <w:numPr>
          <w:ilvl w:val="1"/>
          <w:numId w:val="82"/>
        </w:numPr>
        <w:rPr>
          <w:rFonts w:ascii="Arial" w:cs="Arial" w:eastAsia="Arial" w:hAnsi="Arial"/>
          <w:sz w:val="16"/>
          <w:szCs w:val="16"/>
          <w:color w:val="auto"/>
        </w:rPr>
      </w:pPr>
      <w:r>
        <w:rPr>
          <w:rFonts w:ascii="Arial" w:cs="Arial" w:eastAsia="Arial" w:hAnsi="Arial"/>
          <w:sz w:val="16"/>
          <w:szCs w:val="16"/>
          <w:color w:val="auto"/>
        </w:rPr>
        <w:t>Investment at fair value through profit or loss consist of the following:</w:t>
      </w:r>
    </w:p>
    <w:p>
      <w:pPr>
        <w:spacing w:after="0" w:line="164" w:lineRule="exact"/>
        <w:rPr>
          <w:sz w:val="20"/>
          <w:szCs w:val="20"/>
          <w:color w:val="auto"/>
        </w:rPr>
      </w:pPr>
    </w:p>
    <w:tbl>
      <w:tblPr>
        <w:tblLayout w:type="fixed"/>
        <w:tblInd w:w="847"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60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6"/>
                <w:szCs w:val="16"/>
                <w:color w:val="auto"/>
              </w:rPr>
            </w:pPr>
          </w:p>
        </w:tc>
      </w:tr>
      <w:tr>
        <w:trPr>
          <w:trHeight w:val="206"/>
        </w:trPr>
        <w:tc>
          <w:tcPr>
            <w:tcW w:w="4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331"/>
        </w:trPr>
        <w:tc>
          <w:tcPr>
            <w:tcW w:w="4940" w:type="dxa"/>
            <w:vAlign w:val="bottom"/>
          </w:tcPr>
          <w:p>
            <w:pPr>
              <w:spacing w:after="0"/>
              <w:rPr>
                <w:sz w:val="20"/>
                <w:szCs w:val="20"/>
                <w:color w:val="auto"/>
              </w:rPr>
            </w:pPr>
            <w:r>
              <w:rPr>
                <w:rFonts w:ascii="Arial" w:cs="Arial" w:eastAsia="Arial" w:hAnsi="Arial"/>
                <w:sz w:val="16"/>
                <w:szCs w:val="16"/>
                <w:color w:val="auto"/>
              </w:rPr>
              <w:t>Government Bonds (i)</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1,685,543</w:t>
            </w:r>
          </w:p>
        </w:tc>
        <w:tc>
          <w:tcPr>
            <w:tcW w:w="1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1,555,548</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Investment funds (ii)</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1,401,956</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1,199,026</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Mutual funds (iii)</w:t>
            </w:r>
          </w:p>
        </w:tc>
        <w:tc>
          <w:tcPr>
            <w:tcW w:w="3600" w:type="dxa"/>
            <w:vAlign w:val="bottom"/>
            <w:gridSpan w:val="2"/>
          </w:tcPr>
          <w:p>
            <w:pPr>
              <w:jc w:val="right"/>
              <w:spacing w:after="0"/>
              <w:rPr>
                <w:sz w:val="20"/>
                <w:szCs w:val="20"/>
                <w:color w:val="auto"/>
              </w:rPr>
            </w:pPr>
            <w:r>
              <w:rPr>
                <w:rFonts w:ascii="Arial" w:cs="Arial" w:eastAsia="Arial" w:hAnsi="Arial"/>
                <w:sz w:val="16"/>
                <w:szCs w:val="16"/>
                <w:color w:val="auto"/>
              </w:rPr>
              <w:t>622,157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1,106,548</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Participation in RAL Funds (iv)</w:t>
            </w:r>
          </w:p>
        </w:tc>
        <w:tc>
          <w:tcPr>
            <w:tcW w:w="3600" w:type="dxa"/>
            <w:vAlign w:val="bottom"/>
            <w:gridSpan w:val="2"/>
          </w:tcPr>
          <w:p>
            <w:pPr>
              <w:jc w:val="right"/>
              <w:spacing w:after="0"/>
              <w:rPr>
                <w:sz w:val="20"/>
                <w:szCs w:val="20"/>
                <w:color w:val="auto"/>
              </w:rPr>
            </w:pPr>
            <w:r>
              <w:rPr>
                <w:rFonts w:ascii="Arial" w:cs="Arial" w:eastAsia="Arial" w:hAnsi="Arial"/>
                <w:sz w:val="16"/>
                <w:szCs w:val="16"/>
                <w:color w:val="auto"/>
              </w:rPr>
              <w:t>432,503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145,414</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Restricted mutual funds (v)</w:t>
            </w:r>
          </w:p>
        </w:tc>
        <w:tc>
          <w:tcPr>
            <w:tcW w:w="3600" w:type="dxa"/>
            <w:vAlign w:val="bottom"/>
            <w:gridSpan w:val="2"/>
          </w:tcPr>
          <w:p>
            <w:pPr>
              <w:jc w:val="right"/>
              <w:spacing w:after="0"/>
              <w:rPr>
                <w:sz w:val="20"/>
                <w:szCs w:val="20"/>
                <w:color w:val="auto"/>
              </w:rPr>
            </w:pPr>
            <w:r>
              <w:rPr>
                <w:rFonts w:ascii="Arial" w:cs="Arial" w:eastAsia="Arial" w:hAnsi="Arial"/>
                <w:sz w:val="16"/>
                <w:szCs w:val="16"/>
                <w:color w:val="auto"/>
              </w:rPr>
              <w:t>307,225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334,162</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Corporate bonds</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75,601</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228,302</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Shares</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71,425</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38,723</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ETF (Exchange - Traded Fund)</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39,309</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29,582</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Subordinated bonds</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24,587</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31,582</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Bonds from financial organizations</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22,081</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92,907</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Central Bank of Chile bonds</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11,355</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12,655</w:t>
            </w: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Certificates of deposit BCRP</w:t>
            </w:r>
          </w:p>
        </w:tc>
        <w:tc>
          <w:tcPr>
            <w:tcW w:w="2560" w:type="dxa"/>
            <w:vAlign w:val="bottom"/>
          </w:tcPr>
          <w:p>
            <w:pPr>
              <w:spacing w:after="0"/>
              <w:rPr>
                <w:sz w:val="16"/>
                <w:szCs w:val="16"/>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192,666</w:t>
            </w:r>
          </w:p>
        </w:tc>
      </w:tr>
      <w:tr>
        <w:trPr>
          <w:trHeight w:val="201"/>
        </w:trPr>
        <w:tc>
          <w:tcPr>
            <w:tcW w:w="4940" w:type="dxa"/>
            <w:vAlign w:val="bottom"/>
          </w:tcPr>
          <w:p>
            <w:pPr>
              <w:spacing w:after="0"/>
              <w:rPr>
                <w:sz w:val="20"/>
                <w:szCs w:val="20"/>
                <w:color w:val="auto"/>
              </w:rPr>
            </w:pPr>
            <w:r>
              <w:rPr>
                <w:rFonts w:ascii="Arial" w:cs="Arial" w:eastAsia="Arial" w:hAnsi="Arial"/>
                <w:sz w:val="16"/>
                <w:szCs w:val="16"/>
                <w:color w:val="auto"/>
              </w:rPr>
              <w:t>Others</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7,676</w:t>
            </w:r>
          </w:p>
        </w:tc>
        <w:tc>
          <w:tcPr>
            <w:tcW w:w="1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9,208</w:t>
            </w:r>
          </w:p>
        </w:tc>
      </w:tr>
      <w:tr>
        <w:trPr>
          <w:trHeight w:val="152"/>
        </w:trPr>
        <w:tc>
          <w:tcPr>
            <w:tcW w:w="4940" w:type="dxa"/>
            <w:vAlign w:val="bottom"/>
          </w:tcPr>
          <w:p>
            <w:pPr>
              <w:spacing w:after="0" w:line="152" w:lineRule="exact"/>
              <w:rPr>
                <w:sz w:val="20"/>
                <w:szCs w:val="20"/>
                <w:color w:val="auto"/>
              </w:rPr>
            </w:pPr>
            <w:r>
              <w:rPr>
                <w:rFonts w:ascii="Arial" w:cs="Arial" w:eastAsia="Arial" w:hAnsi="Arial"/>
                <w:sz w:val="16"/>
                <w:szCs w:val="16"/>
                <w:color w:val="auto"/>
              </w:rPr>
              <w:t>Balance before accrued interest</w:t>
            </w:r>
          </w:p>
        </w:tc>
        <w:tc>
          <w:tcPr>
            <w:tcW w:w="256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20"/>
              <w:spacing w:after="0" w:line="152" w:lineRule="exact"/>
              <w:rPr>
                <w:sz w:val="20"/>
                <w:szCs w:val="20"/>
                <w:color w:val="auto"/>
              </w:rPr>
            </w:pPr>
            <w:r>
              <w:rPr>
                <w:rFonts w:ascii="Arial" w:cs="Arial" w:eastAsia="Arial" w:hAnsi="Arial"/>
                <w:sz w:val="16"/>
                <w:szCs w:val="16"/>
                <w:color w:val="auto"/>
              </w:rPr>
              <w:t>4,701,418</w:t>
            </w:r>
          </w:p>
        </w:tc>
        <w:tc>
          <w:tcPr>
            <w:tcW w:w="16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4,976,323</w:t>
            </w:r>
          </w:p>
        </w:tc>
        <w:tc>
          <w:tcPr>
            <w:tcW w:w="20" w:type="dxa"/>
            <w:vAlign w:val="bottom"/>
          </w:tcPr>
          <w:p>
            <w:pPr>
              <w:spacing w:after="0"/>
              <w:rPr>
                <w:sz w:val="13"/>
                <w:szCs w:val="13"/>
                <w:color w:val="auto"/>
              </w:rPr>
            </w:pPr>
          </w:p>
        </w:tc>
      </w:tr>
      <w:tr>
        <w:trPr>
          <w:trHeight w:val="190"/>
        </w:trPr>
        <w:tc>
          <w:tcPr>
            <w:tcW w:w="4940" w:type="dxa"/>
            <w:vAlign w:val="bottom"/>
          </w:tcPr>
          <w:p>
            <w:pPr>
              <w:spacing w:after="0"/>
              <w:rPr>
                <w:sz w:val="20"/>
                <w:szCs w:val="20"/>
                <w:color w:val="auto"/>
              </w:rPr>
            </w:pPr>
            <w:r>
              <w:rPr>
                <w:rFonts w:ascii="Arial" w:cs="Arial" w:eastAsia="Arial" w:hAnsi="Arial"/>
                <w:sz w:val="16"/>
                <w:szCs w:val="16"/>
                <w:color w:val="auto"/>
              </w:rPr>
              <w:t>Accrued interest</w:t>
            </w:r>
          </w:p>
        </w:tc>
        <w:tc>
          <w:tcPr>
            <w:tcW w:w="3620" w:type="dxa"/>
            <w:vAlign w:val="bottom"/>
            <w:gridSpan w:val="3"/>
          </w:tcPr>
          <w:p>
            <w:pPr>
              <w:jc w:val="right"/>
              <w:ind w:right="20"/>
              <w:spacing w:after="0"/>
              <w:rPr>
                <w:sz w:val="20"/>
                <w:szCs w:val="20"/>
                <w:color w:val="auto"/>
              </w:rPr>
            </w:pPr>
            <w:r>
              <w:rPr>
                <w:rFonts w:ascii="Arial" w:cs="Arial" w:eastAsia="Arial" w:hAnsi="Arial"/>
                <w:sz w:val="16"/>
                <w:szCs w:val="16"/>
                <w:color w:val="auto"/>
              </w:rPr>
              <w:t>13,925</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6,338</w:t>
            </w:r>
          </w:p>
        </w:tc>
      </w:tr>
      <w:tr>
        <w:trPr>
          <w:trHeight w:val="170"/>
        </w:trPr>
        <w:tc>
          <w:tcPr>
            <w:tcW w:w="494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2560" w:type="dxa"/>
            <w:vAlign w:val="bottom"/>
          </w:tcPr>
          <w:p>
            <w:pPr>
              <w:spacing w:after="0"/>
              <w:rPr>
                <w:sz w:val="14"/>
                <w:szCs w:val="14"/>
                <w:color w:val="auto"/>
              </w:rPr>
            </w:pPr>
          </w:p>
        </w:tc>
        <w:tc>
          <w:tcPr>
            <w:tcW w:w="106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4,715,343</w:t>
            </w: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4,982,661</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847"/>
        <w:spacing w:after="0"/>
        <w:tabs>
          <w:tab w:leader="none" w:pos="1106"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4"/>
          <w:szCs w:val="14"/>
          <w:color w:val="auto"/>
        </w:rPr>
        <w:t>As of December 31, 2024, and 2023 the balance of these instruments includes the following government treasury bonds:</w:t>
      </w:r>
    </w:p>
    <w:p>
      <w:pPr>
        <w:spacing w:after="0" w:line="152" w:lineRule="exact"/>
        <w:rPr>
          <w:sz w:val="20"/>
          <w:szCs w:val="20"/>
          <w:color w:val="auto"/>
        </w:rPr>
      </w:pPr>
    </w:p>
    <w:tbl>
      <w:tblPr>
        <w:tblLayout w:type="fixed"/>
        <w:tblInd w:w="1127"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300" w:type="dxa"/>
            <w:vAlign w:val="bottom"/>
            <w:gridSpan w:val="2"/>
          </w:tcPr>
          <w:p>
            <w:pPr>
              <w:jc w:val="right"/>
              <w:ind w:right="58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62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6"/>
                <w:szCs w:val="16"/>
                <w:color w:val="auto"/>
              </w:rPr>
            </w:pPr>
          </w:p>
        </w:tc>
      </w:tr>
      <w:tr>
        <w:trPr>
          <w:trHeight w:val="206"/>
        </w:trPr>
        <w:tc>
          <w:tcPr>
            <w:tcW w:w="5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5000" w:type="dxa"/>
            <w:vAlign w:val="bottom"/>
          </w:tcPr>
          <w:p>
            <w:pPr>
              <w:spacing w:after="0"/>
              <w:rPr>
                <w:sz w:val="20"/>
                <w:szCs w:val="20"/>
                <w:color w:val="auto"/>
              </w:rPr>
            </w:pPr>
            <w:r>
              <w:rPr>
                <w:rFonts w:ascii="Arial" w:cs="Arial" w:eastAsia="Arial" w:hAnsi="Arial"/>
                <w:sz w:val="16"/>
                <w:szCs w:val="16"/>
                <w:color w:val="auto"/>
              </w:rPr>
              <w:t>Colombian treasury bonds</w:t>
            </w:r>
          </w:p>
        </w:tc>
        <w:tc>
          <w:tcPr>
            <w:tcW w:w="3320" w:type="dxa"/>
            <w:vAlign w:val="bottom"/>
            <w:gridSpan w:val="3"/>
          </w:tcPr>
          <w:p>
            <w:pPr>
              <w:jc w:val="right"/>
              <w:ind w:right="20"/>
              <w:spacing w:after="0"/>
              <w:rPr>
                <w:sz w:val="20"/>
                <w:szCs w:val="20"/>
                <w:color w:val="auto"/>
              </w:rPr>
            </w:pPr>
            <w:r>
              <w:rPr>
                <w:rFonts w:ascii="Arial" w:cs="Arial" w:eastAsia="Arial" w:hAnsi="Arial"/>
                <w:sz w:val="16"/>
                <w:szCs w:val="16"/>
                <w:color w:val="auto"/>
              </w:rPr>
              <w:t>1,018,392</w:t>
            </w:r>
          </w:p>
        </w:tc>
        <w:tc>
          <w:tcPr>
            <w:tcW w:w="1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1,401,000</w:t>
            </w:r>
          </w:p>
        </w:tc>
      </w:tr>
      <w:tr>
        <w:trPr>
          <w:trHeight w:val="175"/>
        </w:trPr>
        <w:tc>
          <w:tcPr>
            <w:tcW w:w="5000" w:type="dxa"/>
            <w:vAlign w:val="bottom"/>
          </w:tcPr>
          <w:p>
            <w:pPr>
              <w:spacing w:after="0" w:line="175" w:lineRule="exact"/>
              <w:rPr>
                <w:sz w:val="20"/>
                <w:szCs w:val="20"/>
                <w:color w:val="auto"/>
              </w:rPr>
            </w:pPr>
            <w:r>
              <w:rPr>
                <w:rFonts w:ascii="Arial" w:cs="Arial" w:eastAsia="Arial" w:hAnsi="Arial"/>
                <w:sz w:val="16"/>
                <w:szCs w:val="16"/>
                <w:color w:val="auto"/>
              </w:rPr>
              <w:t>Peruvian treasury bonds</w:t>
            </w:r>
          </w:p>
        </w:tc>
        <w:tc>
          <w:tcPr>
            <w:tcW w:w="33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420,019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141,349</w:t>
            </w:r>
          </w:p>
        </w:tc>
      </w:tr>
      <w:tr>
        <w:trPr>
          <w:trHeight w:val="175"/>
        </w:trPr>
        <w:tc>
          <w:tcPr>
            <w:tcW w:w="5000" w:type="dxa"/>
            <w:vAlign w:val="bottom"/>
          </w:tcPr>
          <w:p>
            <w:pPr>
              <w:spacing w:after="0" w:line="175" w:lineRule="exact"/>
              <w:rPr>
                <w:sz w:val="20"/>
                <w:szCs w:val="20"/>
                <w:color w:val="auto"/>
              </w:rPr>
            </w:pPr>
            <w:r>
              <w:rPr>
                <w:rFonts w:ascii="Arial" w:cs="Arial" w:eastAsia="Arial" w:hAnsi="Arial"/>
                <w:sz w:val="16"/>
                <w:szCs w:val="16"/>
                <w:color w:val="auto"/>
              </w:rPr>
              <w:t>Chilean treasury bonds</w:t>
            </w:r>
          </w:p>
        </w:tc>
        <w:tc>
          <w:tcPr>
            <w:tcW w:w="33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87,505</w:t>
            </w:r>
          </w:p>
        </w:tc>
        <w:tc>
          <w:tcPr>
            <w:tcW w:w="160" w:type="dxa"/>
            <w:vAlign w:val="bottom"/>
          </w:tcPr>
          <w:p>
            <w:pPr>
              <w:spacing w:after="0"/>
              <w:rPr>
                <w:sz w:val="15"/>
                <w:szCs w:val="15"/>
                <w:color w:val="auto"/>
              </w:rPr>
            </w:pPr>
          </w:p>
        </w:tc>
        <w:tc>
          <w:tcPr>
            <w:tcW w:w="10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8,497</w:t>
            </w:r>
          </w:p>
        </w:tc>
      </w:tr>
      <w:tr>
        <w:trPr>
          <w:trHeight w:val="175"/>
        </w:trPr>
        <w:tc>
          <w:tcPr>
            <w:tcW w:w="5000" w:type="dxa"/>
            <w:vAlign w:val="bottom"/>
          </w:tcPr>
          <w:p>
            <w:pPr>
              <w:spacing w:after="0" w:line="175" w:lineRule="exact"/>
              <w:rPr>
                <w:sz w:val="20"/>
                <w:szCs w:val="20"/>
                <w:color w:val="auto"/>
              </w:rPr>
            </w:pPr>
            <w:r>
              <w:rPr>
                <w:rFonts w:ascii="Arial" w:cs="Arial" w:eastAsia="Arial" w:hAnsi="Arial"/>
                <w:sz w:val="16"/>
                <w:szCs w:val="16"/>
                <w:color w:val="auto"/>
              </w:rPr>
              <w:t>United States of America trasury bonds</w:t>
            </w:r>
          </w:p>
        </w:tc>
        <w:tc>
          <w:tcPr>
            <w:tcW w:w="33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73,338</w:t>
            </w:r>
          </w:p>
        </w:tc>
        <w:tc>
          <w:tcPr>
            <w:tcW w:w="160" w:type="dxa"/>
            <w:vAlign w:val="bottom"/>
          </w:tcPr>
          <w:p>
            <w:pPr>
              <w:spacing w:after="0"/>
              <w:rPr>
                <w:sz w:val="15"/>
                <w:szCs w:val="15"/>
                <w:color w:val="auto"/>
              </w:rPr>
            </w:pPr>
          </w:p>
        </w:tc>
        <w:tc>
          <w:tcPr>
            <w:tcW w:w="10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r>
      <w:tr>
        <w:trPr>
          <w:trHeight w:val="175"/>
        </w:trPr>
        <w:tc>
          <w:tcPr>
            <w:tcW w:w="5000" w:type="dxa"/>
            <w:vAlign w:val="bottom"/>
          </w:tcPr>
          <w:p>
            <w:pPr>
              <w:spacing w:after="0" w:line="175" w:lineRule="exact"/>
              <w:rPr>
                <w:sz w:val="20"/>
                <w:szCs w:val="20"/>
                <w:color w:val="auto"/>
              </w:rPr>
            </w:pPr>
            <w:r>
              <w:rPr>
                <w:rFonts w:ascii="Arial" w:cs="Arial" w:eastAsia="Arial" w:hAnsi="Arial"/>
                <w:sz w:val="16"/>
                <w:szCs w:val="16"/>
                <w:color w:val="auto"/>
              </w:rPr>
              <w:t>Mexican treasury bonds</w:t>
            </w:r>
          </w:p>
        </w:tc>
        <w:tc>
          <w:tcPr>
            <w:tcW w:w="33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43,334</w:t>
            </w:r>
          </w:p>
        </w:tc>
        <w:tc>
          <w:tcPr>
            <w:tcW w:w="160" w:type="dxa"/>
            <w:vAlign w:val="bottom"/>
          </w:tcPr>
          <w:p>
            <w:pPr>
              <w:spacing w:after="0"/>
              <w:rPr>
                <w:sz w:val="15"/>
                <w:szCs w:val="15"/>
                <w:color w:val="auto"/>
              </w:rPr>
            </w:pPr>
          </w:p>
        </w:tc>
        <w:tc>
          <w:tcPr>
            <w:tcW w:w="10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r>
      <w:tr>
        <w:trPr>
          <w:trHeight w:val="175"/>
        </w:trPr>
        <w:tc>
          <w:tcPr>
            <w:tcW w:w="5000" w:type="dxa"/>
            <w:vAlign w:val="bottom"/>
          </w:tcPr>
          <w:p>
            <w:pPr>
              <w:spacing w:after="0" w:line="175" w:lineRule="exact"/>
              <w:rPr>
                <w:sz w:val="20"/>
                <w:szCs w:val="20"/>
                <w:color w:val="auto"/>
              </w:rPr>
            </w:pPr>
            <w:r>
              <w:rPr>
                <w:rFonts w:ascii="Arial" w:cs="Arial" w:eastAsia="Arial" w:hAnsi="Arial"/>
                <w:sz w:val="16"/>
                <w:szCs w:val="16"/>
                <w:color w:val="auto"/>
              </w:rPr>
              <w:t>Panama Government Bonds</w:t>
            </w:r>
          </w:p>
        </w:tc>
        <w:tc>
          <w:tcPr>
            <w:tcW w:w="33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42,955</w:t>
            </w:r>
          </w:p>
        </w:tc>
        <w:tc>
          <w:tcPr>
            <w:tcW w:w="160" w:type="dxa"/>
            <w:vAlign w:val="bottom"/>
          </w:tcPr>
          <w:p>
            <w:pPr>
              <w:spacing w:after="0"/>
              <w:rPr>
                <w:sz w:val="15"/>
                <w:szCs w:val="15"/>
                <w:color w:val="auto"/>
              </w:rPr>
            </w:pPr>
          </w:p>
        </w:tc>
        <w:tc>
          <w:tcPr>
            <w:tcW w:w="10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r>
      <w:tr>
        <w:trPr>
          <w:trHeight w:val="190"/>
        </w:trPr>
        <w:tc>
          <w:tcPr>
            <w:tcW w:w="5000" w:type="dxa"/>
            <w:vAlign w:val="bottom"/>
          </w:tcPr>
          <w:p>
            <w:pPr>
              <w:spacing w:after="0"/>
              <w:rPr>
                <w:sz w:val="20"/>
                <w:szCs w:val="20"/>
                <w:color w:val="auto"/>
              </w:rPr>
            </w:pPr>
            <w:r>
              <w:rPr>
                <w:rFonts w:ascii="Arial" w:cs="Arial" w:eastAsia="Arial" w:hAnsi="Arial"/>
                <w:sz w:val="16"/>
                <w:szCs w:val="16"/>
                <w:color w:val="auto"/>
              </w:rPr>
              <w:t>Swiss Government Bonds</w:t>
            </w:r>
          </w:p>
        </w:tc>
        <w:tc>
          <w:tcPr>
            <w:tcW w:w="228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4,702</w:t>
            </w:r>
          </w:p>
        </w:tc>
      </w:tr>
      <w:tr>
        <w:trPr>
          <w:trHeight w:val="170"/>
        </w:trPr>
        <w:tc>
          <w:tcPr>
            <w:tcW w:w="50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22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1,685,543</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1,555,548</w:t>
            </w:r>
          </w:p>
        </w:tc>
        <w:tc>
          <w:tcPr>
            <w:tcW w:w="20" w:type="dxa"/>
            <w:vAlign w:val="bottom"/>
          </w:tcPr>
          <w:p>
            <w:pPr>
              <w:spacing w:after="0"/>
              <w:rPr>
                <w:sz w:val="14"/>
                <w:szCs w:val="14"/>
                <w:color w:val="auto"/>
              </w:rPr>
            </w:pPr>
          </w:p>
        </w:tc>
      </w:tr>
    </w:tbl>
    <w:p>
      <w:pPr>
        <w:spacing w:after="0" w:line="149" w:lineRule="exact"/>
        <w:rPr>
          <w:sz w:val="20"/>
          <w:szCs w:val="20"/>
          <w:color w:val="auto"/>
        </w:rPr>
      </w:pPr>
    </w:p>
    <w:p>
      <w:pPr>
        <w:ind w:left="1127" w:right="260" w:hanging="286"/>
        <w:spacing w:after="0" w:line="238" w:lineRule="auto"/>
        <w:tabs>
          <w:tab w:leader="none" w:pos="1127"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 of December 31, 2024, the balance corresponds mainly to investment funds in Peru, the United States of America, Colombia, and other countries, which represent 59.6 percent, 27.5 percent, 9.5 percent, and 3.4 percent respectively. As of December 31, 2023, the balance corresponds mainly to investment funds in Peru, the United States of America, Colombia, and other countries, which represented 54.3 percent, 28.1 percent, 10.0 percent, and 7.6 percent respectively.</w:t>
      </w:r>
    </w:p>
    <w:p>
      <w:pPr>
        <w:spacing w:after="0" w:line="145" w:lineRule="exact"/>
        <w:rPr>
          <w:rFonts w:ascii="Arial" w:cs="Arial" w:eastAsia="Arial" w:hAnsi="Arial"/>
          <w:sz w:val="16"/>
          <w:szCs w:val="16"/>
          <w:color w:val="auto"/>
        </w:rPr>
      </w:pPr>
    </w:p>
    <w:p>
      <w:pPr>
        <w:ind w:left="1127" w:hanging="286"/>
        <w:spacing w:after="0" w:line="238" w:lineRule="auto"/>
        <w:tabs>
          <w:tab w:leader="none" w:pos="1127"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 of December 31, 2024, the balance corresponds to mutual funds from Bolivia, Ireland, Luxembourg, and other countries, which represent 63.3 percent, 12.5 percent, 12.5 percent, and 11.7 percent of the total, respectively. As of December 31, 2023, the balance corresponds to mutual funds from Luxembourg, Bolivia, Ireland, and other countries, which represent 52.0 percent, 35.5 percent, 6.7 percent, and 5.8 percent of the total, respectively.</w:t>
      </w:r>
    </w:p>
    <w:p>
      <w:pPr>
        <w:spacing w:after="0" w:line="304" w:lineRule="exact"/>
        <w:rPr>
          <w:sz w:val="20"/>
          <w:szCs w:val="20"/>
          <w:color w:val="auto"/>
        </w:rPr>
      </w:pPr>
    </w:p>
    <w:p>
      <w:pPr>
        <w:jc w:val="center"/>
        <w:ind w:right="-66"/>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87"/>
          </w:cols>
          <w:pgMar w:left="313" w:top="124" w:right="399" w:bottom="1440" w:gutter="0" w:footer="0" w:header="0"/>
        </w:sectPr>
      </w:pPr>
    </w:p>
    <w:bookmarkStart w:id="61" w:name="page62"/>
    <w:bookmarkEnd w:id="61"/>
    <w:p>
      <w:pPr>
        <w:ind w:left="286" w:hanging="286"/>
        <w:spacing w:after="0" w:line="238" w:lineRule="auto"/>
        <w:tabs>
          <w:tab w:leader="none" w:pos="286" w:val="left"/>
        </w:tabs>
        <w:numPr>
          <w:ilvl w:val="0"/>
          <w:numId w:val="84"/>
        </w:numPr>
        <w:rPr>
          <w:rFonts w:ascii="Arial" w:cs="Arial" w:eastAsia="Arial" w:hAnsi="Arial"/>
          <w:sz w:val="16"/>
          <w:szCs w:val="16"/>
          <w:color w:val="auto"/>
        </w:rPr>
      </w:pPr>
      <w:r>
        <w:rPr>
          <w:rFonts w:ascii="Arial" w:cs="Arial" w:eastAsia="Arial" w:hAnsi="Arial"/>
          <w:sz w:val="16"/>
          <w:szCs w:val="16"/>
          <w:color w:val="auto"/>
        </w:rPr>
        <w:t>As of December 31, 2024, these funds are approximately Bs725.5 million, equivalent to S/398.1 million, and US$9.1 million, equivalent to S/34.4 million. As of December 31, 2023, these funds amounted to approximately Bs194.6 million, equivalent to S/105.2 million, and US$10.8 million, equivalent to S/40.2 million; and include the investments made by the Group in the Central Bank of Bolivia as guarantee for deposits received from the public. These funds have restrictions for their use and are required from all banks in Bolivia.</w:t>
      </w:r>
    </w:p>
    <w:p>
      <w:pPr>
        <w:spacing w:after="0" w:line="146" w:lineRule="exact"/>
        <w:rPr>
          <w:rFonts w:ascii="Arial" w:cs="Arial" w:eastAsia="Arial" w:hAnsi="Arial"/>
          <w:sz w:val="16"/>
          <w:szCs w:val="16"/>
          <w:color w:val="auto"/>
        </w:rPr>
      </w:pPr>
    </w:p>
    <w:p>
      <w:pPr>
        <w:ind w:left="286" w:right="400" w:hanging="286"/>
        <w:spacing w:after="0" w:line="241" w:lineRule="auto"/>
        <w:tabs>
          <w:tab w:leader="none" w:pos="286"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restricted mutual funds comprise the participation quotas in the private pension funds managed by Prima AFP and are maintained in compliance with the legal regulations in Peru. Their availability is restricted, and the yield received is the same as that received by the private pension funds managed.</w:t>
      </w:r>
    </w:p>
    <w:p>
      <w:pPr>
        <w:spacing w:after="0" w:line="304" w:lineRule="exact"/>
        <w:rPr>
          <w:sz w:val="20"/>
          <w:szCs w:val="20"/>
          <w:color w:val="auto"/>
        </w:rPr>
      </w:pPr>
    </w:p>
    <w:p>
      <w:pPr>
        <w:ind w:left="4686"/>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46"/>
          </w:cols>
          <w:pgMar w:left="1154" w:top="124" w:right="399" w:bottom="1440" w:gutter="0" w:footer="0" w:header="0"/>
        </w:sectPr>
      </w:pPr>
    </w:p>
    <w:bookmarkStart w:id="62" w:name="page63"/>
    <w:bookmarkEnd w:id="62"/>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Investments at fair value through other comprehensive income consist of the following:</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6"/>
          </w:tcPr>
          <w:p>
            <w:pPr>
              <w:ind w:left="40"/>
              <w:spacing w:after="0" w:line="167" w:lineRule="exact"/>
              <w:rPr>
                <w:sz w:val="20"/>
                <w:szCs w:val="20"/>
                <w:color w:val="auto"/>
              </w:rPr>
            </w:pPr>
            <w:r>
              <w:rPr>
                <w:rFonts w:ascii="Arial" w:cs="Arial" w:eastAsia="Arial" w:hAnsi="Arial"/>
                <w:sz w:val="16"/>
                <w:szCs w:val="16"/>
                <w:b w:val="1"/>
                <w:bCs w:val="1"/>
                <w:color w:val="auto"/>
              </w:rPr>
              <w:t>Unrealized gross amount</w:t>
            </w: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Estimated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spacing w:after="0" w:line="167" w:lineRule="exact"/>
              <w:rPr>
                <w:sz w:val="20"/>
                <w:szCs w:val="20"/>
                <w:color w:val="auto"/>
              </w:rPr>
            </w:pPr>
            <w:r>
              <w:rPr>
                <w:rFonts w:ascii="Arial" w:cs="Arial" w:eastAsia="Arial" w:hAnsi="Arial"/>
                <w:sz w:val="16"/>
                <w:szCs w:val="16"/>
                <w:b w:val="1"/>
                <w:bCs w:val="1"/>
                <w:color w:val="auto"/>
              </w:rPr>
              <w:t>Unrealized gross amount</w:t>
            </w:r>
          </w:p>
        </w:tc>
        <w:tc>
          <w:tcPr>
            <w:tcW w:w="8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38"/>
        </w:trPr>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Cost</w:t>
            </w: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Profits</w:t>
            </w:r>
          </w:p>
        </w:tc>
        <w:tc>
          <w:tcPr>
            <w:tcW w:w="10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Losses</w:t>
            </w: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8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5"/>
              </w:rPr>
              <w:t>Cost</w:t>
            </w: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Profits</w:t>
            </w:r>
          </w:p>
        </w:tc>
        <w:tc>
          <w:tcPr>
            <w:tcW w:w="1060" w:type="dxa"/>
            <w:vAlign w:val="bottom"/>
            <w:gridSpan w:val="3"/>
          </w:tcPr>
          <w:p>
            <w:pPr>
              <w:ind w:left="80"/>
              <w:spacing w:after="0"/>
              <w:rPr>
                <w:sz w:val="20"/>
                <w:szCs w:val="20"/>
                <w:color w:val="auto"/>
              </w:rPr>
            </w:pPr>
            <w:r>
              <w:rPr>
                <w:rFonts w:ascii="Arial" w:cs="Arial" w:eastAsia="Arial" w:hAnsi="Arial"/>
                <w:sz w:val="16"/>
                <w:szCs w:val="16"/>
                <w:b w:val="1"/>
                <w:bCs w:val="1"/>
                <w:color w:val="auto"/>
              </w:rPr>
              <w:t>Losses</w:t>
            </w:r>
          </w:p>
        </w:tc>
        <w:tc>
          <w:tcPr>
            <w:tcW w:w="800" w:type="dxa"/>
            <w:vAlign w:val="bottom"/>
            <w:gridSpan w:val="3"/>
          </w:tcPr>
          <w:p>
            <w:pPr>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0"/>
                <w:szCs w:val="20"/>
                <w:color w:val="auto"/>
              </w:rPr>
            </w:pPr>
            <w:r>
              <w:rPr>
                <w:rFonts w:ascii="Arial" w:cs="Arial" w:eastAsia="Arial" w:hAnsi="Arial"/>
                <w:sz w:val="16"/>
                <w:szCs w:val="16"/>
                <w:b w:val="1"/>
                <w:bCs w:val="1"/>
                <w:color w:val="auto"/>
              </w:rPr>
              <w:t>Debts instruments: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940" w:type="dxa"/>
            <w:vAlign w:val="bottom"/>
          </w:tcPr>
          <w:p>
            <w:pPr>
              <w:spacing w:after="0"/>
              <w:rPr>
                <w:sz w:val="20"/>
                <w:szCs w:val="20"/>
                <w:color w:val="auto"/>
              </w:rPr>
            </w:pPr>
            <w:r>
              <w:rPr>
                <w:rFonts w:ascii="Arial" w:cs="Arial" w:eastAsia="Arial" w:hAnsi="Arial"/>
                <w:sz w:val="16"/>
                <w:szCs w:val="16"/>
                <w:color w:val="auto"/>
              </w:rPr>
              <w:t>Corporate bonds (i)</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14,481,834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159,106</w:t>
            </w:r>
          </w:p>
        </w:tc>
        <w:tc>
          <w:tcPr>
            <w:tcW w:w="8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(535,597)</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14,105,343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13,643,405</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177,408</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(643,985)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13,176,828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Government Bonds (ii)</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12,112,328</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231,115</w:t>
            </w:r>
          </w:p>
        </w:tc>
        <w:tc>
          <w:tcPr>
            <w:tcW w:w="80" w:type="dxa"/>
            <w:vAlign w:val="bottom"/>
          </w:tcPr>
          <w:p>
            <w:pPr>
              <w:spacing w:after="0"/>
              <w:rPr>
                <w:sz w:val="15"/>
                <w:szCs w:val="15"/>
                <w:color w:val="auto"/>
              </w:rPr>
            </w:pPr>
          </w:p>
        </w:tc>
        <w:tc>
          <w:tcPr>
            <w:tcW w:w="10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(96,788)</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4"/>
              </w:rPr>
              <w:t>12,246,655</w:t>
            </w:r>
          </w:p>
        </w:tc>
        <w:tc>
          <w:tcPr>
            <w:tcW w:w="8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4"/>
              </w:rPr>
              <w:t>10,387,141</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185,055</w:t>
            </w:r>
          </w:p>
        </w:tc>
        <w:tc>
          <w:tcPr>
            <w:tcW w:w="10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(207,320)</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w w:val="94"/>
              </w:rPr>
              <w:t>10,364,876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Certificates of deposit</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BCRP (iii)</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11,431,599</w:t>
            </w:r>
          </w:p>
        </w:tc>
        <w:tc>
          <w:tcPr>
            <w:tcW w:w="9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4,542</w:t>
            </w:r>
          </w:p>
        </w:tc>
        <w:tc>
          <w:tcPr>
            <w:tcW w:w="10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(384)</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4"/>
              </w:rPr>
              <w:t>11,435,757</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4"/>
              </w:rPr>
              <w:t>10,924,181</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11,125</w:t>
            </w:r>
          </w:p>
        </w:tc>
        <w:tc>
          <w:tcPr>
            <w:tcW w:w="10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(53)</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w w:val="94"/>
              </w:rPr>
              <w:t>10,935,253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Securitization instruments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140"/>
              <w:spacing w:after="0" w:line="175" w:lineRule="exact"/>
              <w:rPr>
                <w:sz w:val="20"/>
                <w:szCs w:val="20"/>
                <w:color w:val="auto"/>
              </w:rPr>
            </w:pPr>
            <w:r>
              <w:rPr>
                <w:rFonts w:ascii="Arial" w:cs="Arial" w:eastAsia="Arial" w:hAnsi="Arial"/>
                <w:sz w:val="16"/>
                <w:szCs w:val="16"/>
                <w:color w:val="auto"/>
              </w:rPr>
              <w:t>(iv)</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735,673</w:t>
            </w:r>
          </w:p>
        </w:tc>
        <w:tc>
          <w:tcPr>
            <w:tcW w:w="9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15,414</w:t>
            </w:r>
          </w:p>
        </w:tc>
        <w:tc>
          <w:tcPr>
            <w:tcW w:w="10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(41,592)</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709,495</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710,695</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15,611</w:t>
            </w:r>
          </w:p>
        </w:tc>
        <w:tc>
          <w:tcPr>
            <w:tcW w:w="10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(48,421)</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677,885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Negotiable certificates of</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deposit (v)</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416,236</w:t>
            </w:r>
          </w:p>
        </w:tc>
        <w:tc>
          <w:tcPr>
            <w:tcW w:w="9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5,247</w:t>
            </w:r>
          </w:p>
        </w:tc>
        <w:tc>
          <w:tcPr>
            <w:tcW w:w="10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(3,676)</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417,807</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458,503</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6,501</w:t>
            </w:r>
          </w:p>
        </w:tc>
        <w:tc>
          <w:tcPr>
            <w:tcW w:w="10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(2,368)</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462,636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Subordinated bonds</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171,618</w:t>
            </w:r>
          </w:p>
        </w:tc>
        <w:tc>
          <w:tcPr>
            <w:tcW w:w="9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2,329</w:t>
            </w:r>
          </w:p>
        </w:tc>
        <w:tc>
          <w:tcPr>
            <w:tcW w:w="10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(5,482)</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168,465</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282,368</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2,243</w:t>
            </w:r>
          </w:p>
        </w:tc>
        <w:tc>
          <w:tcPr>
            <w:tcW w:w="10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(6,793)</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277,818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40" w:type="dxa"/>
            <w:vAlign w:val="bottom"/>
          </w:tcPr>
          <w:p>
            <w:pPr>
              <w:spacing w:after="0"/>
              <w:rPr>
                <w:sz w:val="20"/>
                <w:szCs w:val="20"/>
                <w:color w:val="auto"/>
              </w:rPr>
            </w:pPr>
            <w:r>
              <w:rPr>
                <w:rFonts w:ascii="Arial" w:cs="Arial" w:eastAsia="Arial" w:hAnsi="Arial"/>
                <w:sz w:val="16"/>
                <w:szCs w:val="16"/>
                <w:color w:val="auto"/>
              </w:rPr>
              <w:t>Others</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367,348</w:t>
            </w: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1,231</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(2,023)</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366,556</w:t>
            </w:r>
          </w:p>
        </w:tc>
        <w:tc>
          <w:tcPr>
            <w:tcW w:w="780" w:type="dxa"/>
            <w:vAlign w:val="bottom"/>
          </w:tcPr>
          <w:p>
            <w:pPr>
              <w:jc w:val="right"/>
              <w:spacing w:after="0"/>
              <w:rPr>
                <w:sz w:val="20"/>
                <w:szCs w:val="20"/>
                <w:color w:val="auto"/>
              </w:rPr>
            </w:pPr>
            <w:r>
              <w:rPr>
                <w:rFonts w:ascii="Arial" w:cs="Arial" w:eastAsia="Arial" w:hAnsi="Arial"/>
                <w:sz w:val="16"/>
                <w:szCs w:val="16"/>
                <w:color w:val="auto"/>
              </w:rPr>
              <w:t>340,867</w:t>
            </w: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1,210</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(1,739)</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340,338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vMerge w:val="restart"/>
          </w:tcPr>
          <w:p>
            <w:pPr>
              <w:spacing w:after="0"/>
              <w:rPr>
                <w:sz w:val="20"/>
                <w:szCs w:val="20"/>
                <w:color w:val="auto"/>
              </w:rPr>
            </w:pPr>
            <w:r>
              <w:rPr>
                <w:rFonts w:ascii="Arial" w:cs="Arial" w:eastAsia="Arial" w:hAnsi="Arial"/>
                <w:sz w:val="16"/>
                <w:szCs w:val="16"/>
                <w:b w:val="1"/>
                <w:bCs w:val="1"/>
                <w:color w:val="auto"/>
              </w:rPr>
              <w:t>Equity instruments</w:t>
            </w: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39,716,636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418,984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(685,542)</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39,450,078</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36,747,160</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399,153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(910,679)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36,235,634</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b w:val="1"/>
                <w:bCs w:val="1"/>
                <w:color w:val="auto"/>
              </w:rPr>
              <w:t>designated at the initial</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6"/>
                <w:szCs w:val="16"/>
                <w:b w:val="1"/>
                <w:bCs w:val="1"/>
                <w:color w:val="auto"/>
              </w:rPr>
              <w:t>recognition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940" w:type="dxa"/>
            <w:vAlign w:val="bottom"/>
          </w:tcPr>
          <w:p>
            <w:pPr>
              <w:spacing w:after="0"/>
              <w:rPr>
                <w:sz w:val="20"/>
                <w:szCs w:val="20"/>
                <w:color w:val="auto"/>
              </w:rPr>
            </w:pPr>
            <w:r>
              <w:rPr>
                <w:rFonts w:ascii="Arial" w:cs="Arial" w:eastAsia="Arial" w:hAnsi="Arial"/>
                <w:sz w:val="16"/>
                <w:szCs w:val="16"/>
                <w:b w:val="1"/>
                <w:bCs w:val="1"/>
                <w:color w:val="auto"/>
              </w:rPr>
              <w:t>Shares issued by:</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Inversiones Centenario</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112,647</w:t>
            </w:r>
          </w:p>
        </w:tc>
        <w:tc>
          <w:tcPr>
            <w:tcW w:w="4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(8,488)</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104,159</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112,647</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23,214</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135,861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Holding Bursatil Chilena</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140"/>
              <w:spacing w:after="0" w:line="175" w:lineRule="exact"/>
              <w:rPr>
                <w:sz w:val="20"/>
                <w:szCs w:val="20"/>
                <w:color w:val="auto"/>
              </w:rPr>
            </w:pPr>
            <w:r>
              <w:rPr>
                <w:rFonts w:ascii="Arial" w:cs="Arial" w:eastAsia="Arial" w:hAnsi="Arial"/>
                <w:sz w:val="16"/>
                <w:szCs w:val="16"/>
                <w:color w:val="auto"/>
              </w:rPr>
              <w:t>S.A.</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13,232</w:t>
            </w:r>
          </w:p>
        </w:tc>
        <w:tc>
          <w:tcPr>
            <w:tcW w:w="9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1,738</w:t>
            </w:r>
          </w:p>
        </w:tc>
        <w:tc>
          <w:tcPr>
            <w:tcW w:w="60" w:type="dxa"/>
            <w:vAlign w:val="bottom"/>
          </w:tcPr>
          <w:p>
            <w:pPr>
              <w:spacing w:after="0"/>
              <w:rPr>
                <w:sz w:val="15"/>
                <w:szCs w:val="15"/>
                <w:color w:val="auto"/>
              </w:rPr>
            </w:pP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14,970</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20,457</w:t>
            </w: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(1,761)</w:t>
            </w:r>
          </w:p>
        </w:tc>
        <w:tc>
          <w:tcPr>
            <w:tcW w:w="8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18,696</w:t>
            </w: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Holding Bursatil Regional</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140"/>
              <w:spacing w:after="0" w:line="175" w:lineRule="exact"/>
              <w:rPr>
                <w:sz w:val="20"/>
                <w:szCs w:val="20"/>
                <w:color w:val="auto"/>
              </w:rPr>
            </w:pPr>
            <w:r>
              <w:rPr>
                <w:rFonts w:ascii="Arial" w:cs="Arial" w:eastAsia="Arial" w:hAnsi="Arial"/>
                <w:sz w:val="16"/>
                <w:szCs w:val="16"/>
                <w:color w:val="auto"/>
              </w:rPr>
              <w:t>S.A.</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20,599</w:t>
            </w:r>
          </w:p>
        </w:tc>
        <w:tc>
          <w:tcPr>
            <w:tcW w:w="4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(6,023)</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14,576</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20,599</w:t>
            </w: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(2,318)</w:t>
            </w:r>
          </w:p>
        </w:tc>
        <w:tc>
          <w:tcPr>
            <w:tcW w:w="8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18,281</w:t>
            </w: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Corporación Andina de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Fomento</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4,441</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873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5,314</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4,441</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776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5,217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Compañía Universal Textil</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140"/>
              <w:spacing w:after="0" w:line="175" w:lineRule="exact"/>
              <w:rPr>
                <w:sz w:val="20"/>
                <w:szCs w:val="20"/>
                <w:color w:val="auto"/>
              </w:rPr>
            </w:pPr>
            <w:r>
              <w:rPr>
                <w:rFonts w:ascii="Arial" w:cs="Arial" w:eastAsia="Arial" w:hAnsi="Arial"/>
                <w:sz w:val="16"/>
                <w:szCs w:val="16"/>
                <w:color w:val="auto"/>
              </w:rPr>
              <w:t>S.A.</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4,369</w:t>
            </w:r>
          </w:p>
        </w:tc>
        <w:tc>
          <w:tcPr>
            <w:tcW w:w="4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(2,583)</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1,786</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6,195</w:t>
            </w: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(2,415)</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Pagos Digitales Peruanos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140"/>
              <w:spacing w:after="0" w:line="175" w:lineRule="exact"/>
              <w:rPr>
                <w:sz w:val="20"/>
                <w:szCs w:val="20"/>
                <w:color w:val="auto"/>
              </w:rPr>
            </w:pPr>
            <w:r>
              <w:rPr>
                <w:rFonts w:ascii="Arial" w:cs="Arial" w:eastAsia="Arial" w:hAnsi="Arial"/>
                <w:sz w:val="16"/>
                <w:szCs w:val="16"/>
                <w:color w:val="auto"/>
              </w:rPr>
              <w:t>S.A.</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5,611</w:t>
            </w:r>
          </w:p>
        </w:tc>
        <w:tc>
          <w:tcPr>
            <w:tcW w:w="4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(5,611)</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5,611</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(5,611)</w:t>
            </w:r>
          </w:p>
        </w:tc>
        <w:tc>
          <w:tcPr>
            <w:tcW w:w="20" w:type="dxa"/>
            <w:vAlign w:val="bottom"/>
          </w:tcPr>
          <w:p>
            <w:pPr>
              <w:spacing w:after="0"/>
              <w:rPr>
                <w:sz w:val="15"/>
                <w:szCs w:val="15"/>
                <w:color w:val="auto"/>
              </w:rPr>
            </w:pPr>
          </w:p>
        </w:tc>
        <w:tc>
          <w:tcPr>
            <w:tcW w:w="7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Alicorp S.A.A.</w:t>
            </w:r>
          </w:p>
        </w:tc>
        <w:tc>
          <w:tcPr>
            <w:tcW w:w="140" w:type="dxa"/>
            <w:vAlign w:val="bottom"/>
          </w:tcPr>
          <w:p>
            <w:pPr>
              <w:spacing w:after="0"/>
              <w:rPr>
                <w:sz w:val="15"/>
                <w:szCs w:val="15"/>
                <w:color w:val="auto"/>
              </w:rPr>
            </w:pPr>
          </w:p>
        </w:tc>
        <w:tc>
          <w:tcPr>
            <w:tcW w:w="8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12,197</w:t>
            </w:r>
          </w:p>
        </w:tc>
        <w:tc>
          <w:tcPr>
            <w:tcW w:w="9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134,185</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146,382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40" w:type="dxa"/>
            <w:vAlign w:val="bottom"/>
          </w:tcPr>
          <w:p>
            <w:pPr>
              <w:spacing w:after="0"/>
              <w:rPr>
                <w:sz w:val="20"/>
                <w:szCs w:val="20"/>
                <w:color w:val="auto"/>
              </w:rPr>
            </w:pPr>
            <w:r>
              <w:rPr>
                <w:rFonts w:ascii="Arial" w:cs="Arial" w:eastAsia="Arial" w:hAnsi="Arial"/>
                <w:sz w:val="16"/>
                <w:szCs w:val="16"/>
                <w:color w:val="auto"/>
              </w:rPr>
              <w:t>Others</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3,726</w:t>
            </w: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2,733</w:t>
            </w:r>
          </w:p>
        </w:tc>
        <w:tc>
          <w:tcPr>
            <w:tcW w:w="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6,459</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3,555</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3,055</w:t>
            </w: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(25)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6,585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164,625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(22,705)</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147,264</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185,702</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161,230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(12,130)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334,802</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940" w:type="dxa"/>
            <w:vAlign w:val="bottom"/>
            <w:vMerge w:val="restart"/>
          </w:tcPr>
          <w:p>
            <w:pPr>
              <w:spacing w:after="0"/>
              <w:rPr>
                <w:sz w:val="20"/>
                <w:szCs w:val="20"/>
                <w:color w:val="auto"/>
              </w:rPr>
            </w:pPr>
            <w:r>
              <w:rPr>
                <w:rFonts w:ascii="Arial" w:cs="Arial" w:eastAsia="Arial" w:hAnsi="Arial"/>
                <w:sz w:val="16"/>
                <w:szCs w:val="16"/>
                <w:b w:val="1"/>
                <w:bCs w:val="1"/>
                <w:color w:val="auto"/>
              </w:rPr>
              <w:t>Balance before accrued</w:t>
            </w:r>
          </w:p>
        </w:tc>
        <w:tc>
          <w:tcPr>
            <w:tcW w:w="1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line="177" w:lineRule="exact"/>
              <w:rPr>
                <w:sz w:val="20"/>
                <w:szCs w:val="20"/>
                <w:color w:val="auto"/>
              </w:rPr>
            </w:pPr>
            <w:r>
              <w:rPr>
                <w:rFonts w:ascii="Arial" w:cs="Arial" w:eastAsia="Arial" w:hAnsi="Arial"/>
                <w:sz w:val="16"/>
                <w:szCs w:val="16"/>
                <w:b w:val="1"/>
                <w:bCs w:val="1"/>
                <w:color w:val="auto"/>
              </w:rPr>
              <w:t>interest</w:t>
            </w:r>
          </w:p>
        </w:tc>
        <w:tc>
          <w:tcPr>
            <w:tcW w:w="960" w:type="dxa"/>
            <w:vAlign w:val="bottom"/>
            <w:gridSpan w:val="3"/>
          </w:tcPr>
          <w:p>
            <w:pPr>
              <w:jc w:val="right"/>
              <w:ind w:right="40"/>
              <w:spacing w:after="0" w:line="177" w:lineRule="exact"/>
              <w:rPr>
                <w:sz w:val="20"/>
                <w:szCs w:val="20"/>
                <w:color w:val="auto"/>
              </w:rPr>
            </w:pPr>
            <w:r>
              <w:rPr>
                <w:rFonts w:ascii="Arial" w:cs="Arial" w:eastAsia="Arial" w:hAnsi="Arial"/>
                <w:sz w:val="16"/>
                <w:szCs w:val="16"/>
                <w:color w:val="auto"/>
              </w:rPr>
              <w:t>39,881,261</w:t>
            </w:r>
          </w:p>
        </w:tc>
        <w:tc>
          <w:tcPr>
            <w:tcW w:w="88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424,328</w:t>
            </w:r>
          </w:p>
        </w:tc>
        <w:tc>
          <w:tcPr>
            <w:tcW w:w="80" w:type="dxa"/>
            <w:vAlign w:val="bottom"/>
          </w:tcPr>
          <w:p>
            <w:pPr>
              <w:spacing w:after="0"/>
              <w:rPr>
                <w:sz w:val="15"/>
                <w:szCs w:val="15"/>
                <w:color w:val="auto"/>
              </w:rPr>
            </w:pPr>
          </w:p>
        </w:tc>
        <w:tc>
          <w:tcPr>
            <w:tcW w:w="1020" w:type="dxa"/>
            <w:vAlign w:val="bottom"/>
            <w:gridSpan w:val="3"/>
          </w:tcPr>
          <w:p>
            <w:pPr>
              <w:jc w:val="right"/>
              <w:ind w:right="80"/>
              <w:spacing w:after="0" w:line="177" w:lineRule="exact"/>
              <w:rPr>
                <w:sz w:val="20"/>
                <w:szCs w:val="20"/>
                <w:color w:val="auto"/>
              </w:rPr>
            </w:pPr>
            <w:r>
              <w:rPr>
                <w:rFonts w:ascii="Arial" w:cs="Arial" w:eastAsia="Arial" w:hAnsi="Arial"/>
                <w:sz w:val="16"/>
                <w:szCs w:val="16"/>
                <w:color w:val="auto"/>
              </w:rPr>
              <w:t>(708,247)</w:t>
            </w:r>
          </w:p>
        </w:tc>
        <w:tc>
          <w:tcPr>
            <w:tcW w:w="780" w:type="dxa"/>
            <w:vAlign w:val="bottom"/>
          </w:tcPr>
          <w:p>
            <w:pPr>
              <w:jc w:val="right"/>
              <w:spacing w:after="0" w:line="177" w:lineRule="exact"/>
              <w:rPr>
                <w:sz w:val="20"/>
                <w:szCs w:val="20"/>
                <w:color w:val="auto"/>
              </w:rPr>
            </w:pPr>
            <w:r>
              <w:rPr>
                <w:rFonts w:ascii="Arial" w:cs="Arial" w:eastAsia="Arial" w:hAnsi="Arial"/>
                <w:sz w:val="16"/>
                <w:szCs w:val="16"/>
                <w:color w:val="auto"/>
                <w:w w:val="94"/>
              </w:rPr>
              <w:t>39,597,342</w:t>
            </w:r>
          </w:p>
        </w:tc>
        <w:tc>
          <w:tcPr>
            <w:tcW w:w="8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6"/>
                <w:szCs w:val="16"/>
                <w:color w:val="auto"/>
                <w:w w:val="94"/>
              </w:rPr>
              <w:t>36,932,862</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560,383</w:t>
            </w:r>
          </w:p>
        </w:tc>
        <w:tc>
          <w:tcPr>
            <w:tcW w:w="1060" w:type="dxa"/>
            <w:vAlign w:val="bottom"/>
            <w:gridSpan w:val="3"/>
          </w:tcPr>
          <w:p>
            <w:pPr>
              <w:jc w:val="right"/>
              <w:ind w:right="120"/>
              <w:spacing w:after="0" w:line="177" w:lineRule="exact"/>
              <w:rPr>
                <w:sz w:val="20"/>
                <w:szCs w:val="20"/>
                <w:color w:val="auto"/>
              </w:rPr>
            </w:pPr>
            <w:r>
              <w:rPr>
                <w:rFonts w:ascii="Arial" w:cs="Arial" w:eastAsia="Arial" w:hAnsi="Arial"/>
                <w:sz w:val="16"/>
                <w:szCs w:val="16"/>
                <w:color w:val="auto"/>
              </w:rPr>
              <w:t>(922,809)</w:t>
            </w:r>
          </w:p>
        </w:tc>
        <w:tc>
          <w:tcPr>
            <w:tcW w:w="780" w:type="dxa"/>
            <w:vAlign w:val="bottom"/>
            <w:gridSpan w:val="2"/>
          </w:tcPr>
          <w:p>
            <w:pPr>
              <w:jc w:val="right"/>
              <w:spacing w:after="0" w:line="177" w:lineRule="exact"/>
              <w:rPr>
                <w:sz w:val="20"/>
                <w:szCs w:val="20"/>
                <w:color w:val="auto"/>
              </w:rPr>
            </w:pPr>
            <w:r>
              <w:rPr>
                <w:rFonts w:ascii="Arial" w:cs="Arial" w:eastAsia="Arial" w:hAnsi="Arial"/>
                <w:sz w:val="16"/>
                <w:szCs w:val="16"/>
                <w:color w:val="auto"/>
                <w:w w:val="94"/>
              </w:rPr>
              <w:t>36,570,436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40" w:type="dxa"/>
            <w:vAlign w:val="bottom"/>
          </w:tcPr>
          <w:p>
            <w:pPr>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545,296</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473,504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40,142,638</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2"/>
              </w:rPr>
              <w:t>37,043,940</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Credicorp's management has determined that unrealized losses on investments in debt instruments at fair value through other comprehensive income as of 2024 and 2023 are temporary in nature, considering factors such as the planned strategy in relation to the security or portfolio identified, the related collateral and the credit rating of the issuers.</w:t>
      </w:r>
    </w:p>
    <w:p>
      <w:pPr>
        <w:spacing w:after="0" w:line="14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As of December 31, 2024, as a result of the evaluation of the loss due to impairment of investments at fair value through other comprehensive income, the Group has recorded a provision for credit losses of S/27.9 million (S/4.3 million as of 2023), which is presented in the item “Net gain on securities”, see Note 21, in the consolidated statement of income. Likewise, Management has decided and has the ability to maintain each of these investments for a sufficient period of time to allow an early recovery of fair value, even before their recovery or maturity.</w:t>
      </w:r>
    </w:p>
    <w:p>
      <w:pPr>
        <w:spacing w:after="0" w:line="304" w:lineRule="exact"/>
        <w:rPr>
          <w:sz w:val="20"/>
          <w:szCs w:val="20"/>
          <w:color w:val="auto"/>
        </w:rPr>
      </w:pPr>
    </w:p>
    <w:p>
      <w:pPr>
        <w:jc w:val="center"/>
        <w:ind w:right="54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0"/>
          </w:cols>
          <w:pgMar w:left="880" w:top="124" w:right="339" w:bottom="1440" w:gutter="0" w:footer="0" w:header="0"/>
        </w:sectPr>
      </w:pPr>
    </w:p>
    <w:bookmarkStart w:id="63" w:name="page64"/>
    <w:bookmarkEnd w:id="63"/>
    <w:p>
      <w:pPr>
        <w:ind w:right="160"/>
        <w:spacing w:after="0" w:line="257" w:lineRule="auto"/>
        <w:rPr>
          <w:sz w:val="20"/>
          <w:szCs w:val="20"/>
          <w:color w:val="auto"/>
        </w:rPr>
      </w:pPr>
      <w:r>
        <w:rPr>
          <w:rFonts w:ascii="Arial" w:cs="Arial" w:eastAsia="Arial" w:hAnsi="Arial"/>
          <w:sz w:val="16"/>
          <w:szCs w:val="16"/>
          <w:color w:val="auto"/>
        </w:rPr>
        <w:t>The maturities and annual market rates of debts instruments investments at fair value through other comprehensive income as of 2024 and 2023,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Maturities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Annual market rate of return</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line="167" w:lineRule="exact"/>
              <w:rPr>
                <w:sz w:val="20"/>
                <w:szCs w:val="20"/>
                <w:color w:val="auto"/>
              </w:rPr>
            </w:pPr>
            <w:r>
              <w:rPr>
                <w:rFonts w:ascii="Arial" w:cs="Arial" w:eastAsia="Arial" w:hAnsi="Arial"/>
                <w:sz w:val="16"/>
                <w:szCs w:val="16"/>
                <w:b w:val="1"/>
                <w:bCs w:val="1"/>
                <w:color w:val="auto"/>
              </w:rPr>
              <w:t>2024</w:t>
            </w:r>
          </w:p>
        </w:tc>
        <w:tc>
          <w:tcPr>
            <w:tcW w:w="960" w:type="dxa"/>
            <w:vAlign w:val="bottom"/>
            <w:tcBorders>
              <w:bottom w:val="single" w:sz="8" w:color="auto"/>
            </w:tcBorders>
          </w:tcPr>
          <w:p>
            <w:pPr>
              <w:jc w:val="right"/>
              <w:ind w:right="442"/>
              <w:spacing w:after="0" w:line="167"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80"/>
              <w:spacing w:after="0" w:line="167" w:lineRule="exact"/>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S/</w:t>
            </w:r>
          </w:p>
        </w:tc>
        <w:tc>
          <w:tcPr>
            <w:tcW w:w="960" w:type="dxa"/>
            <w:vAlign w:val="bottom"/>
            <w:vMerge w:val="restart"/>
          </w:tcPr>
          <w:p>
            <w:pPr>
              <w:spacing w:after="0"/>
              <w:rPr>
                <w:sz w:val="20"/>
                <w:szCs w:val="20"/>
                <w:color w:val="auto"/>
              </w:rPr>
            </w:pPr>
            <w:r>
              <w:rPr>
                <w:rFonts w:ascii="Arial" w:cs="Arial" w:eastAsia="Arial" w:hAnsi="Arial"/>
                <w:sz w:val="16"/>
                <w:szCs w:val="16"/>
                <w:b w:val="1"/>
                <w:bCs w:val="1"/>
                <w:color w:val="auto"/>
              </w:rPr>
              <w:t>US$</w:t>
            </w:r>
          </w:p>
        </w:tc>
        <w:tc>
          <w:tcPr>
            <w:tcW w:w="1080" w:type="dxa"/>
            <w:vAlign w:val="bottom"/>
            <w:gridSpan w:val="2"/>
          </w:tcPr>
          <w:p>
            <w:pPr>
              <w:ind w:left="100"/>
              <w:spacing w:after="0" w:line="150" w:lineRule="exact"/>
              <w:rPr>
                <w:sz w:val="20"/>
                <w:szCs w:val="20"/>
                <w:color w:val="auto"/>
              </w:rPr>
            </w:pPr>
            <w:r>
              <w:rPr>
                <w:rFonts w:ascii="Arial" w:cs="Arial" w:eastAsia="Arial" w:hAnsi="Arial"/>
                <w:sz w:val="16"/>
                <w:szCs w:val="16"/>
                <w:b w:val="1"/>
                <w:bCs w:val="1"/>
                <w:color w:val="auto"/>
              </w:rPr>
              <w:t>Other</w:t>
            </w:r>
          </w:p>
        </w:tc>
        <w:tc>
          <w:tcPr>
            <w:tcW w:w="11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S/</w:t>
            </w:r>
          </w:p>
        </w:tc>
        <w:tc>
          <w:tcPr>
            <w:tcW w:w="10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US$</w:t>
            </w:r>
          </w:p>
        </w:tc>
        <w:tc>
          <w:tcPr>
            <w:tcW w:w="460" w:type="dxa"/>
            <w:vAlign w:val="bottom"/>
          </w:tcPr>
          <w:p>
            <w:pPr>
              <w:spacing w:after="0" w:line="150" w:lineRule="exact"/>
              <w:rPr>
                <w:sz w:val="20"/>
                <w:szCs w:val="20"/>
                <w:color w:val="auto"/>
              </w:rPr>
            </w:pPr>
            <w:r>
              <w:rPr>
                <w:rFonts w:ascii="Arial" w:cs="Arial" w:eastAsia="Arial" w:hAnsi="Arial"/>
                <w:sz w:val="16"/>
                <w:szCs w:val="16"/>
                <w:b w:val="1"/>
                <w:bCs w:val="1"/>
                <w:color w:val="auto"/>
              </w:rPr>
              <w:t>Other</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currencies</w:t>
            </w:r>
          </w:p>
        </w:tc>
        <w:tc>
          <w:tcPr>
            <w:tcW w:w="1140" w:type="dxa"/>
            <w:vAlign w:val="bottom"/>
            <w:gridSpan w:val="3"/>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currencies</w:t>
            </w:r>
          </w:p>
        </w:tc>
        <w:tc>
          <w:tcPr>
            <w:tcW w:w="0" w:type="dxa"/>
            <w:vAlign w:val="bottom"/>
          </w:tcPr>
          <w:p>
            <w:pPr>
              <w:spacing w:after="0"/>
              <w:rPr>
                <w:sz w:val="1"/>
                <w:szCs w:val="1"/>
                <w:color w:val="auto"/>
              </w:rPr>
            </w:pPr>
          </w:p>
        </w:tc>
      </w:tr>
      <w:tr>
        <w:trPr>
          <w:trHeight w:val="70"/>
        </w:trPr>
        <w:tc>
          <w:tcPr>
            <w:tcW w:w="1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Min   Max</w:t>
            </w: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Min   Max</w:t>
            </w: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Min   Max</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Min   Max</w:t>
            </w: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Min   Max</w:t>
            </w:r>
          </w:p>
        </w:tc>
        <w:tc>
          <w:tcPr>
            <w:tcW w:w="100" w:type="dxa"/>
            <w:vAlign w:val="bottom"/>
          </w:tcPr>
          <w:p>
            <w:pPr>
              <w:spacing w:after="0"/>
              <w:rPr>
                <w:sz w:val="13"/>
                <w:szCs w:val="13"/>
                <w:color w:val="auto"/>
              </w:rPr>
            </w:pPr>
          </w:p>
        </w:tc>
        <w:tc>
          <w:tcPr>
            <w:tcW w:w="104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Min   Max</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8"/>
                <w:szCs w:val="18"/>
                <w:color w:val="auto"/>
              </w:rPr>
            </w:pPr>
          </w:p>
        </w:tc>
        <w:tc>
          <w:tcPr>
            <w:tcW w:w="960" w:type="dxa"/>
            <w:vAlign w:val="bottom"/>
            <w:vMerge w:val="restart"/>
          </w:tcPr>
          <w:p>
            <w:pPr>
              <w:spacing w:after="0"/>
              <w:rPr>
                <w:sz w:val="20"/>
                <w:szCs w:val="20"/>
                <w:color w:val="auto"/>
              </w:rPr>
            </w:pPr>
            <w:r>
              <w:rPr>
                <w:rFonts w:ascii="Arial" w:cs="Arial" w:eastAsia="Arial" w:hAnsi="Arial"/>
                <w:sz w:val="16"/>
                <w:szCs w:val="16"/>
                <w:b w:val="1"/>
                <w:bCs w:val="1"/>
                <w:color w:val="auto"/>
                <w:w w:val="98"/>
              </w:rPr>
              <w:t>%%</w:t>
            </w: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w w:val="98"/>
              </w:rPr>
              <w:t>%%</w:t>
            </w: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8"/>
                <w:szCs w:val="18"/>
                <w:color w:val="auto"/>
              </w:rPr>
            </w:pPr>
          </w:p>
        </w:tc>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w w:val="98"/>
              </w:rPr>
              <w:t>%%</w:t>
            </w:r>
          </w:p>
        </w:tc>
        <w:tc>
          <w:tcPr>
            <w:tcW w:w="100" w:type="dxa"/>
            <w:vAlign w:val="bottom"/>
          </w:tcPr>
          <w:p>
            <w:pPr>
              <w:spacing w:after="0"/>
              <w:rPr>
                <w:sz w:val="18"/>
                <w:szCs w:val="18"/>
                <w:color w:val="auto"/>
              </w:rPr>
            </w:pPr>
          </w:p>
        </w:tc>
        <w:tc>
          <w:tcPr>
            <w:tcW w:w="4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30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2"/>
        </w:trPr>
        <w:tc>
          <w:tcPr>
            <w:tcW w:w="1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20"/>
          </w:cols>
          <w:pgMar w:left="880" w:top="124" w:right="399" w:bottom="1440" w:gutter="0" w:footer="0" w:header="0"/>
        </w:sectPr>
      </w:pPr>
    </w:p>
    <w:p>
      <w:pPr>
        <w:spacing w:after="0" w:line="206" w:lineRule="exact"/>
        <w:rPr>
          <w:sz w:val="20"/>
          <w:szCs w:val="20"/>
          <w:color w:val="auto"/>
        </w:rPr>
      </w:pPr>
    </w:p>
    <w:p>
      <w:pPr>
        <w:ind w:right="160"/>
        <w:spacing w:after="0" w:line="391" w:lineRule="auto"/>
        <w:rPr>
          <w:sz w:val="20"/>
          <w:szCs w:val="20"/>
          <w:color w:val="auto"/>
        </w:rPr>
      </w:pPr>
      <w:r>
        <w:rPr>
          <w:rFonts w:ascii="Arial" w:cs="Arial" w:eastAsia="Arial" w:hAnsi="Arial"/>
          <w:sz w:val="14"/>
          <w:szCs w:val="14"/>
          <w:color w:val="auto"/>
        </w:rPr>
        <w:t>Corporate bonds Government bonds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Certificates of deposit BCRP</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Jan-2025 / Jan-2024 / Nov-2095 Nov-2095 Jan-2025 / Jan-2024 / Dec-2055 Feb-2055 Jan-2025 / Jan-2024 / Jun-2026 Dec-2024</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Pr>
          <w:p>
            <w:pPr>
              <w:jc w:val="right"/>
              <w:spacing w:after="0"/>
              <w:rPr>
                <w:sz w:val="20"/>
                <w:szCs w:val="20"/>
                <w:color w:val="auto"/>
              </w:rPr>
            </w:pPr>
            <w:r>
              <w:rPr>
                <w:rFonts w:ascii="Arial" w:cs="Arial" w:eastAsia="Arial" w:hAnsi="Arial"/>
                <w:sz w:val="16"/>
                <w:szCs w:val="16"/>
                <w:color w:val="auto"/>
                <w:w w:val="89"/>
              </w:rPr>
              <w:t>3.14</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16.62</w:t>
            </w:r>
          </w:p>
        </w:tc>
        <w:tc>
          <w:tcPr>
            <w:tcW w:w="480" w:type="dxa"/>
            <w:vAlign w:val="bottom"/>
          </w:tcPr>
          <w:p>
            <w:pPr>
              <w:jc w:val="right"/>
              <w:spacing w:after="0"/>
              <w:rPr>
                <w:sz w:val="20"/>
                <w:szCs w:val="20"/>
                <w:color w:val="auto"/>
              </w:rPr>
            </w:pPr>
            <w:r>
              <w:rPr>
                <w:rFonts w:ascii="Arial" w:cs="Arial" w:eastAsia="Arial" w:hAnsi="Arial"/>
                <w:sz w:val="16"/>
                <w:szCs w:val="16"/>
                <w:color w:val="auto"/>
              </w:rPr>
              <w:t>3.90</w:t>
            </w:r>
          </w:p>
        </w:tc>
        <w:tc>
          <w:tcPr>
            <w:tcW w:w="560" w:type="dxa"/>
            <w:vAlign w:val="bottom"/>
          </w:tcPr>
          <w:p>
            <w:pPr>
              <w:jc w:val="right"/>
              <w:ind w:right="22"/>
              <w:spacing w:after="0"/>
              <w:rPr>
                <w:sz w:val="20"/>
                <w:szCs w:val="20"/>
                <w:color w:val="auto"/>
              </w:rPr>
            </w:pPr>
            <w:r>
              <w:rPr>
                <w:rFonts w:ascii="Arial" w:cs="Arial" w:eastAsia="Arial" w:hAnsi="Arial"/>
                <w:sz w:val="16"/>
                <w:szCs w:val="16"/>
                <w:color w:val="auto"/>
              </w:rPr>
              <w:t>44.18</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2.28</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7.50</w:t>
            </w:r>
          </w:p>
        </w:tc>
        <w:tc>
          <w:tcPr>
            <w:tcW w:w="480" w:type="dxa"/>
            <w:vAlign w:val="bottom"/>
          </w:tcPr>
          <w:p>
            <w:pPr>
              <w:jc w:val="right"/>
              <w:spacing w:after="0"/>
              <w:rPr>
                <w:sz w:val="20"/>
                <w:szCs w:val="20"/>
                <w:color w:val="auto"/>
              </w:rPr>
            </w:pPr>
            <w:r>
              <w:rPr>
                <w:rFonts w:ascii="Arial" w:cs="Arial" w:eastAsia="Arial" w:hAnsi="Arial"/>
                <w:sz w:val="16"/>
                <w:szCs w:val="16"/>
                <w:color w:val="auto"/>
              </w:rPr>
              <w:t>3.17</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18.23</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2.26</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54.02</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2.98</w:t>
            </w:r>
          </w:p>
        </w:tc>
        <w:tc>
          <w:tcPr>
            <w:tcW w:w="500" w:type="dxa"/>
            <w:vAlign w:val="bottom"/>
          </w:tcPr>
          <w:p>
            <w:pPr>
              <w:jc w:val="right"/>
              <w:spacing w:after="0"/>
              <w:rPr>
                <w:sz w:val="20"/>
                <w:szCs w:val="20"/>
                <w:color w:val="auto"/>
              </w:rPr>
            </w:pPr>
            <w:r>
              <w:rPr>
                <w:rFonts w:ascii="Arial" w:cs="Arial" w:eastAsia="Arial" w:hAnsi="Arial"/>
                <w:sz w:val="16"/>
                <w:szCs w:val="16"/>
                <w:color w:val="auto"/>
              </w:rPr>
              <w:t>15.67</w:t>
            </w:r>
          </w:p>
        </w:tc>
      </w:tr>
      <w:tr>
        <w:trPr>
          <w:trHeight w:val="350"/>
        </w:trPr>
        <w:tc>
          <w:tcPr>
            <w:tcW w:w="360" w:type="dxa"/>
            <w:vAlign w:val="bottom"/>
          </w:tcPr>
          <w:p>
            <w:pPr>
              <w:jc w:val="right"/>
              <w:spacing w:after="0"/>
              <w:rPr>
                <w:sz w:val="20"/>
                <w:szCs w:val="20"/>
                <w:color w:val="auto"/>
              </w:rPr>
            </w:pPr>
            <w:r>
              <w:rPr>
                <w:rFonts w:ascii="Arial" w:cs="Arial" w:eastAsia="Arial" w:hAnsi="Arial"/>
                <w:sz w:val="16"/>
                <w:szCs w:val="16"/>
                <w:color w:val="auto"/>
                <w:w w:val="89"/>
              </w:rPr>
              <w:t>2.83</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7.08</w:t>
            </w:r>
          </w:p>
        </w:tc>
        <w:tc>
          <w:tcPr>
            <w:tcW w:w="480" w:type="dxa"/>
            <w:vAlign w:val="bottom"/>
          </w:tcPr>
          <w:p>
            <w:pPr>
              <w:jc w:val="right"/>
              <w:spacing w:after="0"/>
              <w:rPr>
                <w:sz w:val="20"/>
                <w:szCs w:val="20"/>
                <w:color w:val="auto"/>
              </w:rPr>
            </w:pPr>
            <w:r>
              <w:rPr>
                <w:rFonts w:ascii="Arial" w:cs="Arial" w:eastAsia="Arial" w:hAnsi="Arial"/>
                <w:sz w:val="16"/>
                <w:szCs w:val="16"/>
                <w:color w:val="auto"/>
              </w:rPr>
              <w:t>2.97</w:t>
            </w:r>
          </w:p>
        </w:tc>
        <w:tc>
          <w:tcPr>
            <w:tcW w:w="560" w:type="dxa"/>
            <w:vAlign w:val="bottom"/>
          </w:tcPr>
          <w:p>
            <w:pPr>
              <w:jc w:val="right"/>
              <w:ind w:right="22"/>
              <w:spacing w:after="0"/>
              <w:rPr>
                <w:sz w:val="20"/>
                <w:szCs w:val="20"/>
                <w:color w:val="auto"/>
              </w:rPr>
            </w:pPr>
            <w:r>
              <w:rPr>
                <w:rFonts w:ascii="Arial" w:cs="Arial" w:eastAsia="Arial" w:hAnsi="Arial"/>
                <w:sz w:val="16"/>
                <w:szCs w:val="16"/>
                <w:color w:val="auto"/>
              </w:rPr>
              <w:t>9.95</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4.19</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4.19</w:t>
            </w:r>
          </w:p>
        </w:tc>
        <w:tc>
          <w:tcPr>
            <w:tcW w:w="480" w:type="dxa"/>
            <w:vAlign w:val="bottom"/>
          </w:tcPr>
          <w:p>
            <w:pPr>
              <w:jc w:val="right"/>
              <w:spacing w:after="0"/>
              <w:rPr>
                <w:sz w:val="20"/>
                <w:szCs w:val="20"/>
                <w:color w:val="auto"/>
              </w:rPr>
            </w:pPr>
            <w:r>
              <w:rPr>
                <w:rFonts w:ascii="Arial" w:cs="Arial" w:eastAsia="Arial" w:hAnsi="Arial"/>
                <w:sz w:val="16"/>
                <w:szCs w:val="16"/>
                <w:color w:val="auto"/>
              </w:rPr>
              <w:t>0.90</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6.82</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0.92</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8.89</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4.19</w:t>
            </w:r>
          </w:p>
        </w:tc>
        <w:tc>
          <w:tcPr>
            <w:tcW w:w="50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334"/>
        </w:trPr>
        <w:tc>
          <w:tcPr>
            <w:tcW w:w="360" w:type="dxa"/>
            <w:vAlign w:val="bottom"/>
          </w:tcPr>
          <w:p>
            <w:pPr>
              <w:jc w:val="right"/>
              <w:spacing w:after="0"/>
              <w:rPr>
                <w:sz w:val="20"/>
                <w:szCs w:val="20"/>
                <w:color w:val="auto"/>
              </w:rPr>
            </w:pPr>
            <w:r>
              <w:rPr>
                <w:rFonts w:ascii="Arial" w:cs="Arial" w:eastAsia="Arial" w:hAnsi="Arial"/>
                <w:sz w:val="16"/>
                <w:szCs w:val="16"/>
                <w:color w:val="auto"/>
                <w:w w:val="89"/>
              </w:rPr>
              <w:t>4.24</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4.93</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5.42</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6.74</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 w:lineRule="exact"/>
        <w:rPr>
          <w:sz w:val="20"/>
          <w:szCs w:val="20"/>
          <w:color w:val="auto"/>
        </w:rPr>
      </w:pPr>
    </w:p>
    <w:p>
      <w:pPr>
        <w:sectPr>
          <w:pgSz w:w="11900" w:h="16838" w:orient="portrait"/>
          <w:cols w:equalWidth="0" w:num="3">
            <w:col w:w="1480" w:space="460"/>
            <w:col w:w="1680" w:space="340"/>
            <w:col w:w="6660"/>
          </w:cols>
          <w:pgMar w:left="880" w:top="124" w:right="39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860" w:type="dxa"/>
            <w:vAlign w:val="bottom"/>
            <w:vMerge w:val="restart"/>
          </w:tcPr>
          <w:p>
            <w:pPr>
              <w:spacing w:after="0"/>
              <w:rPr>
                <w:sz w:val="20"/>
                <w:szCs w:val="20"/>
                <w:color w:val="auto"/>
              </w:rPr>
            </w:pPr>
            <w:r>
              <w:rPr>
                <w:rFonts w:ascii="Arial" w:cs="Arial" w:eastAsia="Arial" w:hAnsi="Arial"/>
                <w:sz w:val="16"/>
                <w:szCs w:val="16"/>
                <w:color w:val="auto"/>
              </w:rPr>
              <w:t>Securitization instruments</w:t>
            </w:r>
          </w:p>
        </w:tc>
        <w:tc>
          <w:tcPr>
            <w:tcW w:w="920" w:type="dxa"/>
            <w:vAlign w:val="bottom"/>
          </w:tcPr>
          <w:p>
            <w:pPr>
              <w:ind w:left="80"/>
              <w:spacing w:after="0" w:line="161" w:lineRule="exact"/>
              <w:rPr>
                <w:sz w:val="20"/>
                <w:szCs w:val="20"/>
                <w:color w:val="auto"/>
              </w:rPr>
            </w:pPr>
            <w:r>
              <w:rPr>
                <w:rFonts w:ascii="Arial" w:cs="Arial" w:eastAsia="Arial" w:hAnsi="Arial"/>
                <w:sz w:val="16"/>
                <w:szCs w:val="16"/>
                <w:color w:val="auto"/>
              </w:rPr>
              <w:t>Sep-2025 /</w:t>
            </w:r>
          </w:p>
        </w:tc>
        <w:tc>
          <w:tcPr>
            <w:tcW w:w="860" w:type="dxa"/>
            <w:vAlign w:val="bottom"/>
          </w:tcPr>
          <w:p>
            <w:pPr>
              <w:ind w:left="100"/>
              <w:spacing w:after="0" w:line="161" w:lineRule="exact"/>
              <w:rPr>
                <w:sz w:val="20"/>
                <w:szCs w:val="20"/>
                <w:color w:val="auto"/>
              </w:rPr>
            </w:pPr>
            <w:r>
              <w:rPr>
                <w:rFonts w:ascii="Arial" w:cs="Arial" w:eastAsia="Arial" w:hAnsi="Arial"/>
                <w:sz w:val="16"/>
                <w:szCs w:val="16"/>
                <w:color w:val="auto"/>
                <w:w w:val="94"/>
              </w:rPr>
              <w:t>Sep-2025 /</w:t>
            </w:r>
          </w:p>
        </w:tc>
        <w:tc>
          <w:tcPr>
            <w:tcW w:w="0" w:type="dxa"/>
            <w:vAlign w:val="bottom"/>
          </w:tcPr>
          <w:p>
            <w:pPr>
              <w:spacing w:after="0"/>
              <w:rPr>
                <w:sz w:val="1"/>
                <w:szCs w:val="1"/>
                <w:color w:val="auto"/>
              </w:rPr>
            </w:pPr>
          </w:p>
        </w:tc>
      </w:tr>
      <w:tr>
        <w:trPr>
          <w:trHeight w:val="111"/>
        </w:trPr>
        <w:tc>
          <w:tcPr>
            <w:tcW w:w="1860" w:type="dxa"/>
            <w:vAlign w:val="bottom"/>
            <w:vMerge w:val="continue"/>
          </w:tcPr>
          <w:p>
            <w:pPr>
              <w:spacing w:after="0"/>
              <w:rPr>
                <w:sz w:val="9"/>
                <w:szCs w:val="9"/>
                <w:color w:val="auto"/>
              </w:rPr>
            </w:pPr>
          </w:p>
        </w:tc>
        <w:tc>
          <w:tcPr>
            <w:tcW w:w="920" w:type="dxa"/>
            <w:vAlign w:val="bottom"/>
            <w:vMerge w:val="restart"/>
          </w:tcPr>
          <w:p>
            <w:pPr>
              <w:ind w:left="80"/>
              <w:spacing w:after="0" w:line="175" w:lineRule="exact"/>
              <w:rPr>
                <w:sz w:val="20"/>
                <w:szCs w:val="20"/>
                <w:color w:val="auto"/>
              </w:rPr>
            </w:pPr>
            <w:r>
              <w:rPr>
                <w:rFonts w:ascii="Arial" w:cs="Arial" w:eastAsia="Arial" w:hAnsi="Arial"/>
                <w:sz w:val="16"/>
                <w:szCs w:val="16"/>
                <w:color w:val="auto"/>
              </w:rPr>
              <w:t>Oct-2049</w:t>
            </w:r>
          </w:p>
        </w:tc>
        <w:tc>
          <w:tcPr>
            <w:tcW w:w="860" w:type="dxa"/>
            <w:vAlign w:val="bottom"/>
            <w:vMerge w:val="restart"/>
          </w:tcPr>
          <w:p>
            <w:pPr>
              <w:ind w:left="100"/>
              <w:spacing w:after="0" w:line="175" w:lineRule="exact"/>
              <w:rPr>
                <w:sz w:val="20"/>
                <w:szCs w:val="20"/>
                <w:color w:val="auto"/>
              </w:rPr>
            </w:pPr>
            <w:r>
              <w:rPr>
                <w:rFonts w:ascii="Arial" w:cs="Arial" w:eastAsia="Arial" w:hAnsi="Arial"/>
                <w:sz w:val="16"/>
                <w:szCs w:val="16"/>
                <w:color w:val="auto"/>
              </w:rPr>
              <w:t>Sep-2045</w:t>
            </w:r>
          </w:p>
        </w:tc>
        <w:tc>
          <w:tcPr>
            <w:tcW w:w="0" w:type="dxa"/>
            <w:vAlign w:val="bottom"/>
          </w:tcPr>
          <w:p>
            <w:pPr>
              <w:spacing w:after="0"/>
              <w:rPr>
                <w:sz w:val="1"/>
                <w:szCs w:val="1"/>
                <w:color w:val="auto"/>
              </w:rPr>
            </w:pPr>
          </w:p>
        </w:tc>
      </w:tr>
      <w:tr>
        <w:trPr>
          <w:trHeight w:val="64"/>
        </w:trPr>
        <w:tc>
          <w:tcPr>
            <w:tcW w:w="18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60" w:type="dxa"/>
            <w:vAlign w:val="bottom"/>
          </w:tcPr>
          <w:p>
            <w:pPr>
              <w:spacing w:after="0" w:line="175" w:lineRule="exact"/>
              <w:rPr>
                <w:sz w:val="20"/>
                <w:szCs w:val="20"/>
                <w:color w:val="auto"/>
              </w:rPr>
            </w:pPr>
            <w:r>
              <w:rPr>
                <w:rFonts w:ascii="Arial" w:cs="Arial" w:eastAsia="Arial" w:hAnsi="Arial"/>
                <w:sz w:val="16"/>
                <w:szCs w:val="16"/>
                <w:color w:val="auto"/>
              </w:rPr>
              <w:t>Negotiable certificates of</w:t>
            </w:r>
          </w:p>
        </w:tc>
        <w:tc>
          <w:tcPr>
            <w:tcW w:w="920" w:type="dxa"/>
            <w:vAlign w:val="bottom"/>
          </w:tcPr>
          <w:p>
            <w:pPr>
              <w:ind w:left="80"/>
              <w:spacing w:after="0" w:line="175" w:lineRule="exact"/>
              <w:rPr>
                <w:sz w:val="20"/>
                <w:szCs w:val="20"/>
                <w:color w:val="auto"/>
              </w:rPr>
            </w:pPr>
            <w:r>
              <w:rPr>
                <w:rFonts w:ascii="Arial" w:cs="Arial" w:eastAsia="Arial" w:hAnsi="Arial"/>
                <w:sz w:val="16"/>
                <w:szCs w:val="16"/>
                <w:color w:val="auto"/>
              </w:rPr>
              <w:t>Feb-2025 /</w:t>
            </w:r>
          </w:p>
        </w:tc>
        <w:tc>
          <w:tcPr>
            <w:tcW w:w="860" w:type="dxa"/>
            <w:vAlign w:val="bottom"/>
          </w:tcPr>
          <w:p>
            <w:pPr>
              <w:ind w:left="100"/>
              <w:spacing w:after="0" w:line="175" w:lineRule="exact"/>
              <w:rPr>
                <w:sz w:val="20"/>
                <w:szCs w:val="20"/>
                <w:color w:val="auto"/>
              </w:rPr>
            </w:pPr>
            <w:r>
              <w:rPr>
                <w:rFonts w:ascii="Arial" w:cs="Arial" w:eastAsia="Arial" w:hAnsi="Arial"/>
                <w:sz w:val="16"/>
                <w:szCs w:val="16"/>
                <w:color w:val="auto"/>
                <w:w w:val="97"/>
              </w:rPr>
              <w:t>Jan-2024 /</w:t>
            </w:r>
          </w:p>
        </w:tc>
        <w:tc>
          <w:tcPr>
            <w:tcW w:w="0" w:type="dxa"/>
            <w:vAlign w:val="bottom"/>
          </w:tcPr>
          <w:p>
            <w:pPr>
              <w:spacing w:after="0"/>
              <w:rPr>
                <w:sz w:val="1"/>
                <w:szCs w:val="1"/>
                <w:color w:val="auto"/>
              </w:rPr>
            </w:pPr>
          </w:p>
        </w:tc>
      </w:tr>
      <w:tr>
        <w:trPr>
          <w:trHeight w:val="175"/>
        </w:trPr>
        <w:tc>
          <w:tcPr>
            <w:tcW w:w="1860" w:type="dxa"/>
            <w:vAlign w:val="bottom"/>
          </w:tcPr>
          <w:p>
            <w:pPr>
              <w:spacing w:after="0" w:line="175" w:lineRule="exact"/>
              <w:rPr>
                <w:sz w:val="20"/>
                <w:szCs w:val="20"/>
                <w:color w:val="auto"/>
              </w:rPr>
            </w:pPr>
            <w:r>
              <w:rPr>
                <w:rFonts w:ascii="Arial" w:cs="Arial" w:eastAsia="Arial" w:hAnsi="Arial"/>
                <w:sz w:val="16"/>
                <w:szCs w:val="16"/>
                <w:color w:val="auto"/>
              </w:rPr>
              <w:t>deposits</w:t>
            </w:r>
          </w:p>
        </w:tc>
        <w:tc>
          <w:tcPr>
            <w:tcW w:w="920" w:type="dxa"/>
            <w:vAlign w:val="bottom"/>
          </w:tcPr>
          <w:p>
            <w:pPr>
              <w:ind w:left="80"/>
              <w:spacing w:after="0" w:line="175" w:lineRule="exact"/>
              <w:rPr>
                <w:sz w:val="20"/>
                <w:szCs w:val="20"/>
                <w:color w:val="auto"/>
              </w:rPr>
            </w:pPr>
            <w:r>
              <w:rPr>
                <w:rFonts w:ascii="Arial" w:cs="Arial" w:eastAsia="Arial" w:hAnsi="Arial"/>
                <w:sz w:val="16"/>
                <w:szCs w:val="16"/>
                <w:color w:val="auto"/>
              </w:rPr>
              <w:t>Nov-2037</w:t>
            </w:r>
          </w:p>
        </w:tc>
        <w:tc>
          <w:tcPr>
            <w:tcW w:w="860" w:type="dxa"/>
            <w:vAlign w:val="bottom"/>
          </w:tcPr>
          <w:p>
            <w:pPr>
              <w:ind w:left="100"/>
              <w:spacing w:after="0" w:line="175" w:lineRule="exact"/>
              <w:rPr>
                <w:sz w:val="20"/>
                <w:szCs w:val="20"/>
                <w:color w:val="auto"/>
              </w:rPr>
            </w:pPr>
            <w:r>
              <w:rPr>
                <w:rFonts w:ascii="Arial" w:cs="Arial" w:eastAsia="Arial" w:hAnsi="Arial"/>
                <w:sz w:val="16"/>
                <w:szCs w:val="16"/>
                <w:color w:val="auto"/>
              </w:rPr>
              <w:t>Nov-2037</w:t>
            </w:r>
          </w:p>
        </w:tc>
        <w:tc>
          <w:tcPr>
            <w:tcW w:w="0" w:type="dxa"/>
            <w:vAlign w:val="bottom"/>
          </w:tcPr>
          <w:p>
            <w:pPr>
              <w:spacing w:after="0"/>
              <w:rPr>
                <w:sz w:val="1"/>
                <w:szCs w:val="1"/>
                <w:color w:val="auto"/>
              </w:rPr>
            </w:pPr>
          </w:p>
        </w:tc>
      </w:tr>
      <w:tr>
        <w:trPr>
          <w:trHeight w:val="175"/>
        </w:trPr>
        <w:tc>
          <w:tcPr>
            <w:tcW w:w="1860" w:type="dxa"/>
            <w:vAlign w:val="bottom"/>
            <w:vMerge w:val="restart"/>
          </w:tcPr>
          <w:p>
            <w:pPr>
              <w:spacing w:after="0"/>
              <w:rPr>
                <w:sz w:val="20"/>
                <w:szCs w:val="20"/>
                <w:color w:val="auto"/>
              </w:rPr>
            </w:pPr>
            <w:r>
              <w:rPr>
                <w:rFonts w:ascii="Arial" w:cs="Arial" w:eastAsia="Arial" w:hAnsi="Arial"/>
                <w:sz w:val="16"/>
                <w:szCs w:val="16"/>
                <w:color w:val="auto"/>
              </w:rPr>
              <w:t>Subordinated bonds</w:t>
            </w:r>
          </w:p>
        </w:tc>
        <w:tc>
          <w:tcPr>
            <w:tcW w:w="920" w:type="dxa"/>
            <w:vAlign w:val="bottom"/>
          </w:tcPr>
          <w:p>
            <w:pPr>
              <w:ind w:left="80"/>
              <w:spacing w:after="0" w:line="175" w:lineRule="exact"/>
              <w:rPr>
                <w:sz w:val="20"/>
                <w:szCs w:val="20"/>
                <w:color w:val="auto"/>
              </w:rPr>
            </w:pPr>
            <w:r>
              <w:rPr>
                <w:rFonts w:ascii="Arial" w:cs="Arial" w:eastAsia="Arial" w:hAnsi="Arial"/>
                <w:sz w:val="16"/>
                <w:szCs w:val="16"/>
                <w:color w:val="auto"/>
              </w:rPr>
              <w:t>Apr-2025 /</w:t>
            </w:r>
          </w:p>
        </w:tc>
        <w:tc>
          <w:tcPr>
            <w:tcW w:w="860" w:type="dxa"/>
            <w:vAlign w:val="bottom"/>
          </w:tcPr>
          <w:p>
            <w:pPr>
              <w:ind w:left="100"/>
              <w:spacing w:after="0" w:line="175" w:lineRule="exact"/>
              <w:rPr>
                <w:sz w:val="20"/>
                <w:szCs w:val="20"/>
                <w:color w:val="auto"/>
              </w:rPr>
            </w:pPr>
            <w:r>
              <w:rPr>
                <w:rFonts w:ascii="Arial" w:cs="Arial" w:eastAsia="Arial" w:hAnsi="Arial"/>
                <w:sz w:val="16"/>
                <w:szCs w:val="16"/>
                <w:color w:val="auto"/>
                <w:w w:val="98"/>
              </w:rPr>
              <w:t>Apr-2024 /</w:t>
            </w:r>
          </w:p>
        </w:tc>
        <w:tc>
          <w:tcPr>
            <w:tcW w:w="0" w:type="dxa"/>
            <w:vAlign w:val="bottom"/>
          </w:tcPr>
          <w:p>
            <w:pPr>
              <w:spacing w:after="0"/>
              <w:rPr>
                <w:sz w:val="1"/>
                <w:szCs w:val="1"/>
                <w:color w:val="auto"/>
              </w:rPr>
            </w:pPr>
          </w:p>
        </w:tc>
      </w:tr>
      <w:tr>
        <w:trPr>
          <w:trHeight w:val="111"/>
        </w:trPr>
        <w:tc>
          <w:tcPr>
            <w:tcW w:w="1860" w:type="dxa"/>
            <w:vAlign w:val="bottom"/>
            <w:vMerge w:val="continue"/>
          </w:tcPr>
          <w:p>
            <w:pPr>
              <w:spacing w:after="0"/>
              <w:rPr>
                <w:sz w:val="9"/>
                <w:szCs w:val="9"/>
                <w:color w:val="auto"/>
              </w:rPr>
            </w:pPr>
          </w:p>
        </w:tc>
        <w:tc>
          <w:tcPr>
            <w:tcW w:w="920" w:type="dxa"/>
            <w:vAlign w:val="bottom"/>
            <w:vMerge w:val="restart"/>
          </w:tcPr>
          <w:p>
            <w:pPr>
              <w:ind w:left="80"/>
              <w:spacing w:after="0" w:line="175" w:lineRule="exact"/>
              <w:rPr>
                <w:sz w:val="20"/>
                <w:szCs w:val="20"/>
                <w:color w:val="auto"/>
              </w:rPr>
            </w:pPr>
            <w:r>
              <w:rPr>
                <w:rFonts w:ascii="Arial" w:cs="Arial" w:eastAsia="Arial" w:hAnsi="Arial"/>
                <w:sz w:val="16"/>
                <w:szCs w:val="16"/>
                <w:color w:val="auto"/>
              </w:rPr>
              <w:t>Jun-2055</w:t>
            </w:r>
          </w:p>
        </w:tc>
        <w:tc>
          <w:tcPr>
            <w:tcW w:w="860" w:type="dxa"/>
            <w:vAlign w:val="bottom"/>
            <w:vMerge w:val="restart"/>
          </w:tcPr>
          <w:p>
            <w:pPr>
              <w:ind w:left="100"/>
              <w:spacing w:after="0" w:line="175" w:lineRule="exact"/>
              <w:rPr>
                <w:sz w:val="20"/>
                <w:szCs w:val="20"/>
                <w:color w:val="auto"/>
              </w:rPr>
            </w:pPr>
            <w:r>
              <w:rPr>
                <w:rFonts w:ascii="Arial" w:cs="Arial" w:eastAsia="Arial" w:hAnsi="Arial"/>
                <w:sz w:val="16"/>
                <w:szCs w:val="16"/>
                <w:color w:val="auto"/>
              </w:rPr>
              <w:t>Aug-2045</w:t>
            </w:r>
          </w:p>
        </w:tc>
        <w:tc>
          <w:tcPr>
            <w:tcW w:w="0" w:type="dxa"/>
            <w:vAlign w:val="bottom"/>
          </w:tcPr>
          <w:p>
            <w:pPr>
              <w:spacing w:after="0"/>
              <w:rPr>
                <w:sz w:val="1"/>
                <w:szCs w:val="1"/>
                <w:color w:val="auto"/>
              </w:rPr>
            </w:pPr>
          </w:p>
        </w:tc>
      </w:tr>
      <w:tr>
        <w:trPr>
          <w:trHeight w:val="64"/>
        </w:trPr>
        <w:tc>
          <w:tcPr>
            <w:tcW w:w="18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860" w:type="dxa"/>
            <w:vAlign w:val="bottom"/>
            <w:vMerge w:val="restart"/>
          </w:tcPr>
          <w:p>
            <w:pPr>
              <w:spacing w:after="0"/>
              <w:rPr>
                <w:sz w:val="20"/>
                <w:szCs w:val="20"/>
                <w:color w:val="auto"/>
              </w:rPr>
            </w:pPr>
            <w:r>
              <w:rPr>
                <w:rFonts w:ascii="Arial" w:cs="Arial" w:eastAsia="Arial" w:hAnsi="Arial"/>
                <w:sz w:val="16"/>
                <w:szCs w:val="16"/>
                <w:color w:val="auto"/>
              </w:rPr>
              <w:t>Others</w:t>
            </w:r>
          </w:p>
        </w:tc>
        <w:tc>
          <w:tcPr>
            <w:tcW w:w="920" w:type="dxa"/>
            <w:vAlign w:val="bottom"/>
          </w:tcPr>
          <w:p>
            <w:pPr>
              <w:ind w:left="80"/>
              <w:spacing w:after="0" w:line="175" w:lineRule="exact"/>
              <w:rPr>
                <w:sz w:val="20"/>
                <w:szCs w:val="20"/>
                <w:color w:val="auto"/>
              </w:rPr>
            </w:pPr>
            <w:r>
              <w:rPr>
                <w:rFonts w:ascii="Arial" w:cs="Arial" w:eastAsia="Arial" w:hAnsi="Arial"/>
                <w:sz w:val="16"/>
                <w:szCs w:val="16"/>
                <w:color w:val="auto"/>
              </w:rPr>
              <w:t>Apr-2025 /</w:t>
            </w:r>
          </w:p>
        </w:tc>
        <w:tc>
          <w:tcPr>
            <w:tcW w:w="860" w:type="dxa"/>
            <w:vAlign w:val="bottom"/>
          </w:tcPr>
          <w:p>
            <w:pPr>
              <w:ind w:left="100"/>
              <w:spacing w:after="0" w:line="175" w:lineRule="exact"/>
              <w:rPr>
                <w:sz w:val="20"/>
                <w:szCs w:val="20"/>
                <w:color w:val="auto"/>
              </w:rPr>
            </w:pPr>
            <w:r>
              <w:rPr>
                <w:rFonts w:ascii="Arial" w:cs="Arial" w:eastAsia="Arial" w:hAnsi="Arial"/>
                <w:sz w:val="16"/>
                <w:szCs w:val="16"/>
                <w:color w:val="auto"/>
                <w:w w:val="98"/>
              </w:rPr>
              <w:t>Apr-2024 /</w:t>
            </w:r>
          </w:p>
        </w:tc>
        <w:tc>
          <w:tcPr>
            <w:tcW w:w="0" w:type="dxa"/>
            <w:vAlign w:val="bottom"/>
          </w:tcPr>
          <w:p>
            <w:pPr>
              <w:spacing w:after="0"/>
              <w:rPr>
                <w:sz w:val="1"/>
                <w:szCs w:val="1"/>
                <w:color w:val="auto"/>
              </w:rPr>
            </w:pPr>
          </w:p>
        </w:tc>
      </w:tr>
      <w:tr>
        <w:trPr>
          <w:trHeight w:val="111"/>
        </w:trPr>
        <w:tc>
          <w:tcPr>
            <w:tcW w:w="186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6"/>
                <w:szCs w:val="16"/>
                <w:color w:val="auto"/>
              </w:rPr>
              <w:t>Feb-2035</w:t>
            </w:r>
          </w:p>
        </w:tc>
        <w:tc>
          <w:tcPr>
            <w:tcW w:w="860" w:type="dxa"/>
            <w:vAlign w:val="bottom"/>
            <w:vMerge w:val="restart"/>
          </w:tcPr>
          <w:p>
            <w:pPr>
              <w:ind w:left="100"/>
              <w:spacing w:after="0"/>
              <w:rPr>
                <w:sz w:val="20"/>
                <w:szCs w:val="20"/>
                <w:color w:val="auto"/>
              </w:rPr>
            </w:pPr>
            <w:r>
              <w:rPr>
                <w:rFonts w:ascii="Arial" w:cs="Arial" w:eastAsia="Arial" w:hAnsi="Arial"/>
                <w:sz w:val="16"/>
                <w:szCs w:val="16"/>
                <w:color w:val="auto"/>
              </w:rPr>
              <w:t>Feb-2035</w:t>
            </w:r>
          </w:p>
        </w:tc>
        <w:tc>
          <w:tcPr>
            <w:tcW w:w="0" w:type="dxa"/>
            <w:vAlign w:val="bottom"/>
          </w:tcPr>
          <w:p>
            <w:pPr>
              <w:spacing w:after="0"/>
              <w:rPr>
                <w:sz w:val="1"/>
                <w:szCs w:val="1"/>
                <w:color w:val="auto"/>
              </w:rPr>
            </w:pPr>
          </w:p>
        </w:tc>
      </w:tr>
      <w:tr>
        <w:trPr>
          <w:trHeight w:val="93"/>
        </w:trPr>
        <w:tc>
          <w:tcPr>
            <w:tcW w:w="18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60" w:type="dxa"/>
            <w:vAlign w:val="bottom"/>
          </w:tcPr>
          <w:p>
            <w:pPr>
              <w:jc w:val="right"/>
              <w:spacing w:after="0"/>
              <w:rPr>
                <w:sz w:val="20"/>
                <w:szCs w:val="20"/>
                <w:color w:val="auto"/>
              </w:rPr>
            </w:pPr>
            <w:r>
              <w:rPr>
                <w:rFonts w:ascii="Arial" w:cs="Arial" w:eastAsia="Arial" w:hAnsi="Arial"/>
                <w:sz w:val="16"/>
                <w:szCs w:val="16"/>
                <w:color w:val="auto"/>
                <w:w w:val="89"/>
              </w:rPr>
              <w:t>3.99</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20.86</w:t>
            </w:r>
          </w:p>
        </w:tc>
        <w:tc>
          <w:tcPr>
            <w:tcW w:w="480" w:type="dxa"/>
            <w:vAlign w:val="bottom"/>
          </w:tcPr>
          <w:p>
            <w:pPr>
              <w:jc w:val="right"/>
              <w:spacing w:after="0"/>
              <w:rPr>
                <w:sz w:val="20"/>
                <w:szCs w:val="20"/>
                <w:color w:val="auto"/>
              </w:rPr>
            </w:pPr>
            <w:r>
              <w:rPr>
                <w:rFonts w:ascii="Arial" w:cs="Arial" w:eastAsia="Arial" w:hAnsi="Arial"/>
                <w:sz w:val="16"/>
                <w:szCs w:val="16"/>
                <w:color w:val="auto"/>
              </w:rPr>
              <w:t>5.17</w:t>
            </w:r>
          </w:p>
        </w:tc>
        <w:tc>
          <w:tcPr>
            <w:tcW w:w="560" w:type="dxa"/>
            <w:vAlign w:val="bottom"/>
          </w:tcPr>
          <w:p>
            <w:pPr>
              <w:jc w:val="right"/>
              <w:ind w:right="22"/>
              <w:spacing w:after="0"/>
              <w:rPr>
                <w:sz w:val="20"/>
                <w:szCs w:val="20"/>
                <w:color w:val="auto"/>
              </w:rPr>
            </w:pPr>
            <w:r>
              <w:rPr>
                <w:rFonts w:ascii="Arial" w:cs="Arial" w:eastAsia="Arial" w:hAnsi="Arial"/>
                <w:sz w:val="16"/>
                <w:szCs w:val="16"/>
                <w:color w:val="auto"/>
              </w:rPr>
              <w:t>23.94</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5.80</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6.00</w:t>
            </w:r>
          </w:p>
        </w:tc>
        <w:tc>
          <w:tcPr>
            <w:tcW w:w="480" w:type="dxa"/>
            <w:vAlign w:val="bottom"/>
          </w:tcPr>
          <w:p>
            <w:pPr>
              <w:jc w:val="right"/>
              <w:spacing w:after="0"/>
              <w:rPr>
                <w:sz w:val="20"/>
                <w:szCs w:val="20"/>
                <w:color w:val="auto"/>
              </w:rPr>
            </w:pPr>
            <w:r>
              <w:rPr>
                <w:rFonts w:ascii="Arial" w:cs="Arial" w:eastAsia="Arial" w:hAnsi="Arial"/>
                <w:sz w:val="16"/>
                <w:szCs w:val="16"/>
                <w:color w:val="auto"/>
              </w:rPr>
              <w:t>4.11</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29.78</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6.09</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16.11</w:t>
            </w:r>
          </w:p>
        </w:tc>
        <w:tc>
          <w:tcPr>
            <w:tcW w:w="560" w:type="dxa"/>
            <w:vAlign w:val="bottom"/>
          </w:tcPr>
          <w:p>
            <w:pPr>
              <w:jc w:val="right"/>
              <w:ind w:right="62"/>
              <w:spacing w:after="0"/>
              <w:rPr>
                <w:sz w:val="20"/>
                <w:szCs w:val="20"/>
                <w:color w:val="auto"/>
              </w:rPr>
            </w:pPr>
            <w:r>
              <w:rPr>
                <w:rFonts w:ascii="Arial" w:cs="Arial" w:eastAsia="Arial" w:hAnsi="Arial"/>
                <w:sz w:val="16"/>
                <w:szCs w:val="16"/>
                <w:color w:val="auto"/>
              </w:rPr>
              <w:t>5.80</w:t>
            </w:r>
          </w:p>
        </w:tc>
        <w:tc>
          <w:tcPr>
            <w:tcW w:w="46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50"/>
        </w:trPr>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0.53</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6.10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62"/>
              <w:spacing w:after="0"/>
              <w:rPr>
                <w:sz w:val="20"/>
                <w:szCs w:val="20"/>
                <w:color w:val="auto"/>
              </w:rPr>
            </w:pPr>
            <w:r>
              <w:rPr>
                <w:rFonts w:ascii="Arial" w:cs="Arial" w:eastAsia="Arial" w:hAnsi="Arial"/>
                <w:sz w:val="16"/>
                <w:szCs w:val="16"/>
                <w:color w:val="auto"/>
              </w:rPr>
              <w:t>0.53</w:t>
            </w:r>
          </w:p>
        </w:tc>
        <w:tc>
          <w:tcPr>
            <w:tcW w:w="460" w:type="dxa"/>
            <w:vAlign w:val="bottom"/>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350"/>
        </w:trPr>
        <w:tc>
          <w:tcPr>
            <w:tcW w:w="360" w:type="dxa"/>
            <w:vAlign w:val="bottom"/>
          </w:tcPr>
          <w:p>
            <w:pPr>
              <w:jc w:val="right"/>
              <w:spacing w:after="0"/>
              <w:rPr>
                <w:sz w:val="20"/>
                <w:szCs w:val="20"/>
                <w:color w:val="auto"/>
              </w:rPr>
            </w:pPr>
            <w:r>
              <w:rPr>
                <w:rFonts w:ascii="Arial" w:cs="Arial" w:eastAsia="Arial" w:hAnsi="Arial"/>
                <w:sz w:val="16"/>
                <w:szCs w:val="16"/>
                <w:color w:val="auto"/>
                <w:w w:val="89"/>
              </w:rPr>
              <w:t>3.81</w:t>
            </w: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8.03</w:t>
            </w:r>
          </w:p>
        </w:tc>
        <w:tc>
          <w:tcPr>
            <w:tcW w:w="480" w:type="dxa"/>
            <w:vAlign w:val="bottom"/>
          </w:tcPr>
          <w:p>
            <w:pPr>
              <w:jc w:val="right"/>
              <w:spacing w:after="0"/>
              <w:rPr>
                <w:sz w:val="20"/>
                <w:szCs w:val="20"/>
                <w:color w:val="auto"/>
              </w:rPr>
            </w:pPr>
            <w:r>
              <w:rPr>
                <w:rFonts w:ascii="Arial" w:cs="Arial" w:eastAsia="Arial" w:hAnsi="Arial"/>
                <w:sz w:val="16"/>
                <w:szCs w:val="16"/>
                <w:color w:val="auto"/>
              </w:rPr>
              <w:t>2.28</w:t>
            </w:r>
          </w:p>
        </w:tc>
        <w:tc>
          <w:tcPr>
            <w:tcW w:w="560" w:type="dxa"/>
            <w:vAlign w:val="bottom"/>
          </w:tcPr>
          <w:p>
            <w:pPr>
              <w:jc w:val="right"/>
              <w:ind w:right="22"/>
              <w:spacing w:after="0"/>
              <w:rPr>
                <w:sz w:val="20"/>
                <w:szCs w:val="20"/>
                <w:color w:val="auto"/>
              </w:rPr>
            </w:pPr>
            <w:r>
              <w:rPr>
                <w:rFonts w:ascii="Arial" w:cs="Arial" w:eastAsia="Arial" w:hAnsi="Arial"/>
                <w:sz w:val="16"/>
                <w:szCs w:val="16"/>
                <w:color w:val="auto"/>
              </w:rPr>
              <w:t>8.05</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3.23</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9.42</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rPr>
              <w:t>2.81</w:t>
            </w: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7.14</w:t>
            </w:r>
          </w:p>
        </w:tc>
        <w:tc>
          <w:tcPr>
            <w:tcW w:w="5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60" w:type="dxa"/>
            <w:vAlign w:val="bottom"/>
          </w:tcPr>
          <w:p>
            <w:pPr>
              <w:jc w:val="right"/>
              <w:spacing w:after="0"/>
              <w:rPr>
                <w:sz w:val="20"/>
                <w:szCs w:val="20"/>
                <w:color w:val="auto"/>
              </w:rPr>
            </w:pPr>
            <w:r>
              <w:rPr>
                <w:rFonts w:ascii="Arial" w:cs="Arial" w:eastAsia="Arial" w:hAnsi="Arial"/>
                <w:sz w:val="16"/>
                <w:szCs w:val="16"/>
                <w:color w:val="auto"/>
                <w:w w:val="89"/>
              </w:rPr>
              <w:t>2.55</w:t>
            </w:r>
          </w:p>
        </w:tc>
        <w:tc>
          <w:tcPr>
            <w:tcW w:w="560" w:type="dxa"/>
            <w:vAlign w:val="bottom"/>
            <w:vMerge w:val="restart"/>
          </w:tcPr>
          <w:p>
            <w:pPr>
              <w:jc w:val="right"/>
              <w:ind w:right="42"/>
              <w:spacing w:after="0"/>
              <w:rPr>
                <w:sz w:val="20"/>
                <w:szCs w:val="20"/>
                <w:color w:val="auto"/>
              </w:rPr>
            </w:pPr>
            <w:r>
              <w:rPr>
                <w:rFonts w:ascii="Arial" w:cs="Arial" w:eastAsia="Arial" w:hAnsi="Arial"/>
                <w:sz w:val="16"/>
                <w:szCs w:val="16"/>
                <w:color w:val="auto"/>
              </w:rPr>
              <w:t>3.42</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7.50</w:t>
            </w:r>
          </w:p>
        </w:tc>
        <w:tc>
          <w:tcPr>
            <w:tcW w:w="560" w:type="dxa"/>
            <w:vAlign w:val="bottom"/>
            <w:vMerge w:val="restart"/>
          </w:tcPr>
          <w:p>
            <w:pPr>
              <w:jc w:val="right"/>
              <w:ind w:right="22"/>
              <w:spacing w:after="0"/>
              <w:rPr>
                <w:sz w:val="20"/>
                <w:szCs w:val="20"/>
                <w:color w:val="auto"/>
              </w:rPr>
            </w:pPr>
            <w:r>
              <w:rPr>
                <w:rFonts w:ascii="Arial" w:cs="Arial" w:eastAsia="Arial" w:hAnsi="Arial"/>
                <w:sz w:val="16"/>
                <w:szCs w:val="16"/>
                <w:color w:val="auto"/>
              </w:rPr>
              <w:t>7.67</w:t>
            </w:r>
          </w:p>
        </w:tc>
        <w:tc>
          <w:tcPr>
            <w:tcW w:w="540" w:type="dxa"/>
            <w:vAlign w:val="bottom"/>
            <w:vMerge w:val="restart"/>
          </w:tcPr>
          <w:p>
            <w:pPr>
              <w:jc w:val="right"/>
              <w:ind w:right="42"/>
              <w:spacing w:after="0"/>
              <w:rPr>
                <w:sz w:val="20"/>
                <w:szCs w:val="20"/>
                <w:color w:val="auto"/>
              </w:rPr>
            </w:pPr>
            <w:r>
              <w:rPr>
                <w:rFonts w:ascii="Arial" w:cs="Arial" w:eastAsia="Arial" w:hAnsi="Arial"/>
                <w:sz w:val="16"/>
                <w:szCs w:val="16"/>
                <w:color w:val="auto"/>
              </w:rPr>
              <w:t>0.90</w:t>
            </w:r>
          </w:p>
        </w:tc>
        <w:tc>
          <w:tcPr>
            <w:tcW w:w="540" w:type="dxa"/>
            <w:vAlign w:val="bottom"/>
            <w:vMerge w:val="restart"/>
          </w:tcPr>
          <w:p>
            <w:pPr>
              <w:jc w:val="right"/>
              <w:ind w:right="22"/>
              <w:spacing w:after="0"/>
              <w:rPr>
                <w:sz w:val="20"/>
                <w:szCs w:val="20"/>
                <w:color w:val="auto"/>
              </w:rPr>
            </w:pPr>
            <w:r>
              <w:rPr>
                <w:rFonts w:ascii="Arial" w:cs="Arial" w:eastAsia="Arial" w:hAnsi="Arial"/>
                <w:sz w:val="16"/>
                <w:szCs w:val="16"/>
                <w:color w:val="auto"/>
              </w:rPr>
              <w:t>4.25</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0.14</w:t>
            </w:r>
          </w:p>
        </w:tc>
        <w:tc>
          <w:tcPr>
            <w:tcW w:w="580" w:type="dxa"/>
            <w:vAlign w:val="bottom"/>
            <w:vMerge w:val="restart"/>
          </w:tcPr>
          <w:p>
            <w:pPr>
              <w:jc w:val="right"/>
              <w:ind w:right="42"/>
              <w:spacing w:after="0"/>
              <w:rPr>
                <w:sz w:val="20"/>
                <w:szCs w:val="20"/>
                <w:color w:val="auto"/>
              </w:rPr>
            </w:pPr>
            <w:r>
              <w:rPr>
                <w:rFonts w:ascii="Arial" w:cs="Arial" w:eastAsia="Arial" w:hAnsi="Arial"/>
                <w:sz w:val="16"/>
                <w:szCs w:val="16"/>
                <w:color w:val="auto"/>
              </w:rPr>
              <w:t>1.76</w:t>
            </w:r>
          </w:p>
        </w:tc>
        <w:tc>
          <w:tcPr>
            <w:tcW w:w="500" w:type="dxa"/>
            <w:vAlign w:val="bottom"/>
            <w:vMerge w:val="restart"/>
          </w:tcPr>
          <w:p>
            <w:pPr>
              <w:jc w:val="right"/>
              <w:ind w:right="2"/>
              <w:spacing w:after="0"/>
              <w:rPr>
                <w:sz w:val="20"/>
                <w:szCs w:val="20"/>
                <w:color w:val="auto"/>
              </w:rPr>
            </w:pPr>
            <w:r>
              <w:rPr>
                <w:rFonts w:ascii="Arial" w:cs="Arial" w:eastAsia="Arial" w:hAnsi="Arial"/>
                <w:sz w:val="16"/>
                <w:szCs w:val="16"/>
                <w:color w:val="auto"/>
              </w:rPr>
              <w:t>8.12</w:t>
            </w:r>
          </w:p>
        </w:tc>
        <w:tc>
          <w:tcPr>
            <w:tcW w:w="580" w:type="dxa"/>
            <w:vAlign w:val="bottom"/>
            <w:vMerge w:val="restart"/>
          </w:tcPr>
          <w:p>
            <w:pPr>
              <w:jc w:val="right"/>
              <w:ind w:right="42"/>
              <w:spacing w:after="0"/>
              <w:rPr>
                <w:sz w:val="20"/>
                <w:szCs w:val="20"/>
                <w:color w:val="auto"/>
              </w:rPr>
            </w:pPr>
            <w:r>
              <w:rPr>
                <w:rFonts w:ascii="Arial" w:cs="Arial" w:eastAsia="Arial" w:hAnsi="Arial"/>
                <w:sz w:val="16"/>
                <w:szCs w:val="16"/>
                <w:color w:val="auto"/>
              </w:rPr>
              <w:t>9.08</w:t>
            </w:r>
          </w:p>
        </w:tc>
        <w:tc>
          <w:tcPr>
            <w:tcW w:w="560" w:type="dxa"/>
            <w:vAlign w:val="bottom"/>
            <w:vMerge w:val="restart"/>
          </w:tcPr>
          <w:p>
            <w:pPr>
              <w:jc w:val="right"/>
              <w:ind w:right="62"/>
              <w:spacing w:after="0"/>
              <w:rPr>
                <w:sz w:val="20"/>
                <w:szCs w:val="20"/>
                <w:color w:val="auto"/>
              </w:rPr>
            </w:pPr>
            <w:r>
              <w:rPr>
                <w:rFonts w:ascii="Arial" w:cs="Arial" w:eastAsia="Arial" w:hAnsi="Arial"/>
                <w:sz w:val="16"/>
                <w:szCs w:val="16"/>
                <w:color w:val="auto"/>
              </w:rPr>
              <w:t>0.25</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ectPr>
          <w:pgSz w:w="11900" w:h="16838" w:orient="portrait"/>
          <w:cols w:equalWidth="0" w:num="2">
            <w:col w:w="3640" w:space="320"/>
            <w:col w:w="6660"/>
          </w:cols>
          <w:pgMar w:left="880" w:top="124" w:right="399" w:bottom="1440" w:gutter="0" w:footer="0" w:header="0"/>
          <w:type w:val="continuous"/>
        </w:sectPr>
      </w:pPr>
    </w:p>
    <w:p>
      <w:pPr>
        <w:spacing w:after="0" w:line="238" w:lineRule="auto"/>
        <w:rPr>
          <w:sz w:val="20"/>
          <w:szCs w:val="20"/>
          <w:color w:val="auto"/>
        </w:rPr>
      </w:pPr>
      <w:r>
        <w:rPr>
          <w:rFonts w:ascii="Arial" w:cs="Arial" w:eastAsia="Arial" w:hAnsi="Arial"/>
          <w:sz w:val="16"/>
          <w:szCs w:val="16"/>
          <w:color w:val="auto"/>
        </w:rPr>
        <w:t>Likewise, as of December 31, 2024, the Group has entered into repurchase agreements (Repos) on government bonds and BCRP certificates of deposit classified as investments at fair value with changes in other comprehensive income for an estimated market value of S/5,934.5 million (S/4,269.9 million as of December 31, 2023); whose related liability is presented in the item “Payables from repurchase agreements and securities lending” of the consolidated statement of financial position, see Note 5(c).</w:t>
      </w:r>
    </w:p>
    <w:p>
      <w:pPr>
        <w:spacing w:after="0" w:line="304"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20"/>
          </w:cols>
          <w:pgMar w:left="880" w:top="124" w:right="399" w:bottom="1440" w:gutter="0" w:footer="0" w:header="0"/>
          <w:type w:val="continuous"/>
        </w:sectPr>
      </w:pPr>
    </w:p>
    <w:bookmarkStart w:id="64" w:name="page65"/>
    <w:bookmarkEnd w:id="64"/>
    <w:p>
      <w:pPr>
        <w:ind w:left="286" w:right="200" w:hanging="286"/>
        <w:spacing w:after="0" w:line="238" w:lineRule="auto"/>
        <w:tabs>
          <w:tab w:leader="none" w:pos="286" w:val="left"/>
        </w:tabs>
        <w:numPr>
          <w:ilvl w:val="0"/>
          <w:numId w:val="85"/>
        </w:numPr>
        <w:rPr>
          <w:rFonts w:ascii="Arial" w:cs="Arial" w:eastAsia="Arial" w:hAnsi="Arial"/>
          <w:sz w:val="16"/>
          <w:szCs w:val="16"/>
          <w:color w:val="auto"/>
        </w:rPr>
      </w:pPr>
      <w:r>
        <w:rPr>
          <w:rFonts w:ascii="Arial" w:cs="Arial" w:eastAsia="Arial" w:hAnsi="Arial"/>
          <w:sz w:val="16"/>
          <w:szCs w:val="16"/>
          <w:color w:val="auto"/>
        </w:rPr>
        <w:t>At December 31, 2024, the balance corresponds to corporate bonds issued by companies in the United States of America, Peru, Chile and other countries, representing 42.2 percent, 33.2 percent, 3.6 percent and 21.0 percent of the total, respectively. At December 31, 2023, the balance corresponds to corporate bonds issued by companies in the United States of America, Peru, Colombia and other countries, representing 40.2 percent, 34.2 percent, 4.3 percent and 21.3 percent of the total, respectively.</w:t>
      </w:r>
    </w:p>
    <w:p>
      <w:pPr>
        <w:spacing w:after="0" w:line="146" w:lineRule="exact"/>
        <w:rPr>
          <w:rFonts w:ascii="Arial" w:cs="Arial" w:eastAsia="Arial" w:hAnsi="Arial"/>
          <w:sz w:val="16"/>
          <w:szCs w:val="16"/>
          <w:color w:val="auto"/>
        </w:rPr>
      </w:pPr>
    </w:p>
    <w:p>
      <w:pPr>
        <w:ind w:left="286"/>
        <w:spacing w:after="0" w:line="293" w:lineRule="auto"/>
        <w:rPr>
          <w:rFonts w:ascii="Arial" w:cs="Arial" w:eastAsia="Arial" w:hAnsi="Arial"/>
          <w:sz w:val="16"/>
          <w:szCs w:val="16"/>
          <w:color w:val="auto"/>
        </w:rPr>
      </w:pPr>
      <w:r>
        <w:rPr>
          <w:rFonts w:ascii="Arial" w:cs="Arial" w:eastAsia="Arial" w:hAnsi="Arial"/>
          <w:sz w:val="14"/>
          <w:szCs w:val="14"/>
          <w:color w:val="auto"/>
        </w:rPr>
        <w:t>As of December 31, 2024, the Group maintains IRS, which have been designated as hedges of the fair value of certain fixed-rate bonds in U.S. Dollar issued by corporate companies classified as investments at fair value through other comprehensive income, for a nominal amount of S/790.4 million (S/778.9 million as of December 31, 2023), see Note 12(c); through said IRS these bonds were economically converted at a variable rate.</w:t>
      </w:r>
    </w:p>
    <w:p>
      <w:pPr>
        <w:spacing w:after="0" w:line="110" w:lineRule="exact"/>
        <w:rPr>
          <w:rFonts w:ascii="Arial" w:cs="Arial" w:eastAsia="Arial" w:hAnsi="Arial"/>
          <w:sz w:val="16"/>
          <w:szCs w:val="16"/>
          <w:color w:val="auto"/>
        </w:rPr>
      </w:pPr>
    </w:p>
    <w:p>
      <w:pPr>
        <w:ind w:left="286" w:right="20"/>
        <w:spacing w:after="0" w:line="241" w:lineRule="auto"/>
        <w:rPr>
          <w:rFonts w:ascii="Arial" w:cs="Arial" w:eastAsia="Arial" w:hAnsi="Arial"/>
          <w:sz w:val="16"/>
          <w:szCs w:val="16"/>
          <w:color w:val="auto"/>
        </w:rPr>
      </w:pPr>
      <w:r>
        <w:rPr>
          <w:rFonts w:ascii="Arial" w:cs="Arial" w:eastAsia="Arial" w:hAnsi="Arial"/>
          <w:sz w:val="16"/>
          <w:szCs w:val="16"/>
          <w:color w:val="auto"/>
        </w:rPr>
        <w:t>Likewise, as of December 31, 2024, the Group maintains cross currency swaps (CCS) designated as derivative instruments for cash flow hedging of corporate bonds for a nominal value of S/47.0 million (cash flow hedge of corporate bonds for a nominal value of S/126.6 million as of December 31, 2023), through which the bonds were economically converted to soles at a fixed rate, see Note 12(c).</w:t>
      </w:r>
    </w:p>
    <w:p>
      <w:pPr>
        <w:spacing w:after="0" w:line="145" w:lineRule="exact"/>
        <w:rPr>
          <w:rFonts w:ascii="Arial" w:cs="Arial" w:eastAsia="Arial" w:hAnsi="Arial"/>
          <w:sz w:val="16"/>
          <w:szCs w:val="16"/>
          <w:color w:val="auto"/>
        </w:rPr>
      </w:pPr>
    </w:p>
    <w:p>
      <w:pPr>
        <w:ind w:left="286" w:hanging="286"/>
        <w:spacing w:after="0"/>
        <w:tabs>
          <w:tab w:leader="none" w:pos="286" w:val="left"/>
        </w:tabs>
        <w:numPr>
          <w:ilvl w:val="0"/>
          <w:numId w:val="85"/>
        </w:numPr>
        <w:rPr>
          <w:rFonts w:ascii="Arial" w:cs="Arial" w:eastAsia="Arial" w:hAnsi="Arial"/>
          <w:sz w:val="16"/>
          <w:szCs w:val="16"/>
          <w:color w:val="auto"/>
        </w:rPr>
      </w:pPr>
      <w:r>
        <w:rPr>
          <w:rFonts w:ascii="Arial" w:cs="Arial" w:eastAsia="Arial" w:hAnsi="Arial"/>
          <w:sz w:val="16"/>
          <w:szCs w:val="16"/>
          <w:color w:val="auto"/>
        </w:rPr>
        <w:t>As of December 31, 2024 and December 31, 2023, the balance includes the following Government Bonds:</w:t>
      </w:r>
    </w:p>
    <w:p>
      <w:pPr>
        <w:spacing w:after="0" w:line="164" w:lineRule="exact"/>
        <w:rPr>
          <w:sz w:val="20"/>
          <w:szCs w:val="20"/>
          <w:color w:val="auto"/>
        </w:rPr>
      </w:pPr>
    </w:p>
    <w:tbl>
      <w:tblPr>
        <w:tblLayout w:type="fixed"/>
        <w:tblInd w:w="286"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100" w:type="dxa"/>
            <w:vAlign w:val="bottom"/>
            <w:gridSpan w:val="2"/>
          </w:tcPr>
          <w:p>
            <w:pPr>
              <w:jc w:val="right"/>
              <w:ind w:right="582"/>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40" w:type="dxa"/>
            <w:vAlign w:val="bottom"/>
          </w:tcPr>
          <w:p>
            <w:pPr>
              <w:jc w:val="right"/>
              <w:ind w:right="62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6"/>
                <w:szCs w:val="16"/>
                <w:color w:val="auto"/>
              </w:rPr>
            </w:pPr>
          </w:p>
        </w:tc>
      </w:tr>
      <w:tr>
        <w:trPr>
          <w:trHeight w:val="206"/>
        </w:trPr>
        <w:tc>
          <w:tcPr>
            <w:tcW w:w="5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331"/>
        </w:trPr>
        <w:tc>
          <w:tcPr>
            <w:tcW w:w="5200" w:type="dxa"/>
            <w:vAlign w:val="bottom"/>
          </w:tcPr>
          <w:p>
            <w:pPr>
              <w:spacing w:after="0"/>
              <w:rPr>
                <w:sz w:val="20"/>
                <w:szCs w:val="20"/>
                <w:color w:val="auto"/>
              </w:rPr>
            </w:pPr>
            <w:r>
              <w:rPr>
                <w:rFonts w:ascii="Arial" w:cs="Arial" w:eastAsia="Arial" w:hAnsi="Arial"/>
                <w:sz w:val="16"/>
                <w:szCs w:val="16"/>
                <w:color w:val="auto"/>
              </w:rPr>
              <w:t>Peruvian Government Bonds</w:t>
            </w:r>
          </w:p>
        </w:tc>
        <w:tc>
          <w:tcPr>
            <w:tcW w:w="3100" w:type="dxa"/>
            <w:vAlign w:val="bottom"/>
            <w:gridSpan w:val="2"/>
          </w:tcPr>
          <w:p>
            <w:pPr>
              <w:jc w:val="right"/>
              <w:spacing w:after="0"/>
              <w:rPr>
                <w:sz w:val="20"/>
                <w:szCs w:val="20"/>
                <w:color w:val="auto"/>
              </w:rPr>
            </w:pPr>
            <w:r>
              <w:rPr>
                <w:rFonts w:ascii="Arial" w:cs="Arial" w:eastAsia="Arial" w:hAnsi="Arial"/>
                <w:sz w:val="16"/>
                <w:szCs w:val="16"/>
                <w:color w:val="auto"/>
              </w:rPr>
              <w:t>10,387,634</w:t>
            </w:r>
          </w:p>
        </w:tc>
        <w:tc>
          <w:tcPr>
            <w:tcW w:w="1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8,260,261</w:t>
            </w:r>
          </w:p>
        </w:tc>
      </w:tr>
      <w:tr>
        <w:trPr>
          <w:trHeight w:val="187"/>
        </w:trPr>
        <w:tc>
          <w:tcPr>
            <w:tcW w:w="5200" w:type="dxa"/>
            <w:vAlign w:val="bottom"/>
          </w:tcPr>
          <w:p>
            <w:pPr>
              <w:spacing w:after="0"/>
              <w:rPr>
                <w:sz w:val="20"/>
                <w:szCs w:val="20"/>
                <w:color w:val="auto"/>
              </w:rPr>
            </w:pPr>
            <w:r>
              <w:rPr>
                <w:rFonts w:ascii="Arial" w:cs="Arial" w:eastAsia="Arial" w:hAnsi="Arial"/>
                <w:sz w:val="16"/>
                <w:szCs w:val="16"/>
                <w:color w:val="auto"/>
              </w:rPr>
              <w:t>United States of America Government Bonds</w:t>
            </w:r>
          </w:p>
        </w:tc>
        <w:tc>
          <w:tcPr>
            <w:tcW w:w="3280" w:type="dxa"/>
            <w:vAlign w:val="bottom"/>
            <w:gridSpan w:val="3"/>
          </w:tcPr>
          <w:p>
            <w:pPr>
              <w:jc w:val="right"/>
              <w:ind w:right="180"/>
              <w:spacing w:after="0"/>
              <w:rPr>
                <w:sz w:val="20"/>
                <w:szCs w:val="20"/>
                <w:color w:val="auto"/>
              </w:rPr>
            </w:pPr>
            <w:r>
              <w:rPr>
                <w:rFonts w:ascii="Arial" w:cs="Arial" w:eastAsia="Arial" w:hAnsi="Arial"/>
                <w:sz w:val="16"/>
                <w:szCs w:val="16"/>
                <w:color w:val="auto"/>
              </w:rPr>
              <w:t>1,279,202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1,740,125</w:t>
            </w:r>
          </w:p>
        </w:tc>
      </w:tr>
      <w:tr>
        <w:trPr>
          <w:trHeight w:val="187"/>
        </w:trPr>
        <w:tc>
          <w:tcPr>
            <w:tcW w:w="5200" w:type="dxa"/>
            <w:vAlign w:val="bottom"/>
          </w:tcPr>
          <w:p>
            <w:pPr>
              <w:spacing w:after="0"/>
              <w:rPr>
                <w:sz w:val="20"/>
                <w:szCs w:val="20"/>
                <w:color w:val="auto"/>
              </w:rPr>
            </w:pPr>
            <w:r>
              <w:rPr>
                <w:rFonts w:ascii="Arial" w:cs="Arial" w:eastAsia="Arial" w:hAnsi="Arial"/>
                <w:sz w:val="16"/>
                <w:szCs w:val="16"/>
                <w:color w:val="auto"/>
              </w:rPr>
              <w:t>Colombian Government Bonds</w:t>
            </w:r>
          </w:p>
        </w:tc>
        <w:tc>
          <w:tcPr>
            <w:tcW w:w="3100" w:type="dxa"/>
            <w:vAlign w:val="bottom"/>
            <w:gridSpan w:val="2"/>
          </w:tcPr>
          <w:p>
            <w:pPr>
              <w:jc w:val="right"/>
              <w:spacing w:after="0"/>
              <w:rPr>
                <w:sz w:val="20"/>
                <w:szCs w:val="20"/>
                <w:color w:val="auto"/>
              </w:rPr>
            </w:pPr>
            <w:r>
              <w:rPr>
                <w:rFonts w:ascii="Arial" w:cs="Arial" w:eastAsia="Arial" w:hAnsi="Arial"/>
                <w:sz w:val="16"/>
                <w:szCs w:val="16"/>
                <w:color w:val="auto"/>
              </w:rPr>
              <w:t>341,299</w:t>
            </w:r>
          </w:p>
        </w:tc>
        <w:tc>
          <w:tcPr>
            <w:tcW w:w="18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204,525</w:t>
            </w:r>
          </w:p>
        </w:tc>
      </w:tr>
      <w:tr>
        <w:trPr>
          <w:trHeight w:val="187"/>
        </w:trPr>
        <w:tc>
          <w:tcPr>
            <w:tcW w:w="5200" w:type="dxa"/>
            <w:vAlign w:val="bottom"/>
          </w:tcPr>
          <w:p>
            <w:pPr>
              <w:spacing w:after="0"/>
              <w:rPr>
                <w:sz w:val="20"/>
                <w:szCs w:val="20"/>
                <w:color w:val="auto"/>
              </w:rPr>
            </w:pPr>
            <w:r>
              <w:rPr>
                <w:rFonts w:ascii="Arial" w:cs="Arial" w:eastAsia="Arial" w:hAnsi="Arial"/>
                <w:sz w:val="16"/>
                <w:szCs w:val="16"/>
                <w:color w:val="auto"/>
              </w:rPr>
              <w:t>Panama Government Bonds</w:t>
            </w:r>
          </w:p>
        </w:tc>
        <w:tc>
          <w:tcPr>
            <w:tcW w:w="3100" w:type="dxa"/>
            <w:vAlign w:val="bottom"/>
            <w:gridSpan w:val="2"/>
          </w:tcPr>
          <w:p>
            <w:pPr>
              <w:jc w:val="right"/>
              <w:spacing w:after="0"/>
              <w:rPr>
                <w:sz w:val="20"/>
                <w:szCs w:val="20"/>
                <w:color w:val="auto"/>
              </w:rPr>
            </w:pPr>
            <w:r>
              <w:rPr>
                <w:rFonts w:ascii="Arial" w:cs="Arial" w:eastAsia="Arial" w:hAnsi="Arial"/>
                <w:sz w:val="16"/>
                <w:szCs w:val="16"/>
                <w:color w:val="auto"/>
              </w:rPr>
              <w:t>108,069</w:t>
            </w:r>
          </w:p>
        </w:tc>
        <w:tc>
          <w:tcPr>
            <w:tcW w:w="18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1,039</w:t>
            </w:r>
          </w:p>
        </w:tc>
      </w:tr>
      <w:tr>
        <w:trPr>
          <w:trHeight w:val="187"/>
        </w:trPr>
        <w:tc>
          <w:tcPr>
            <w:tcW w:w="5200" w:type="dxa"/>
            <w:vAlign w:val="bottom"/>
          </w:tcPr>
          <w:p>
            <w:pPr>
              <w:spacing w:after="0"/>
              <w:rPr>
                <w:sz w:val="20"/>
                <w:szCs w:val="20"/>
                <w:color w:val="auto"/>
              </w:rPr>
            </w:pPr>
            <w:r>
              <w:rPr>
                <w:rFonts w:ascii="Arial" w:cs="Arial" w:eastAsia="Arial" w:hAnsi="Arial"/>
                <w:sz w:val="16"/>
                <w:szCs w:val="16"/>
                <w:color w:val="auto"/>
              </w:rPr>
              <w:t>Chilean Government Bonds</w:t>
            </w:r>
          </w:p>
        </w:tc>
        <w:tc>
          <w:tcPr>
            <w:tcW w:w="3280" w:type="dxa"/>
            <w:vAlign w:val="bottom"/>
            <w:gridSpan w:val="3"/>
          </w:tcPr>
          <w:p>
            <w:pPr>
              <w:jc w:val="right"/>
              <w:ind w:right="180"/>
              <w:spacing w:after="0"/>
              <w:rPr>
                <w:sz w:val="20"/>
                <w:szCs w:val="20"/>
                <w:color w:val="auto"/>
              </w:rPr>
            </w:pPr>
            <w:r>
              <w:rPr>
                <w:rFonts w:ascii="Arial" w:cs="Arial" w:eastAsia="Arial" w:hAnsi="Arial"/>
                <w:sz w:val="16"/>
                <w:szCs w:val="16"/>
                <w:color w:val="auto"/>
              </w:rPr>
              <w:t>79,282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78,034</w:t>
            </w:r>
          </w:p>
        </w:tc>
      </w:tr>
      <w:tr>
        <w:trPr>
          <w:trHeight w:val="187"/>
        </w:trPr>
        <w:tc>
          <w:tcPr>
            <w:tcW w:w="5200" w:type="dxa"/>
            <w:vAlign w:val="bottom"/>
          </w:tcPr>
          <w:p>
            <w:pPr>
              <w:spacing w:after="0"/>
              <w:rPr>
                <w:sz w:val="20"/>
                <w:szCs w:val="20"/>
                <w:color w:val="auto"/>
              </w:rPr>
            </w:pPr>
            <w:r>
              <w:rPr>
                <w:rFonts w:ascii="Arial" w:cs="Arial" w:eastAsia="Arial" w:hAnsi="Arial"/>
                <w:sz w:val="16"/>
                <w:szCs w:val="16"/>
                <w:color w:val="auto"/>
              </w:rPr>
              <w:t>Qatar Government Bonds</w:t>
            </w:r>
          </w:p>
        </w:tc>
        <w:tc>
          <w:tcPr>
            <w:tcW w:w="3280" w:type="dxa"/>
            <w:vAlign w:val="bottom"/>
            <w:gridSpan w:val="3"/>
          </w:tcPr>
          <w:p>
            <w:pPr>
              <w:jc w:val="right"/>
              <w:ind w:right="180"/>
              <w:spacing w:after="0"/>
              <w:rPr>
                <w:sz w:val="20"/>
                <w:szCs w:val="20"/>
                <w:color w:val="auto"/>
              </w:rPr>
            </w:pPr>
            <w:r>
              <w:rPr>
                <w:rFonts w:ascii="Arial" w:cs="Arial" w:eastAsia="Arial" w:hAnsi="Arial"/>
                <w:sz w:val="16"/>
                <w:szCs w:val="16"/>
                <w:color w:val="auto"/>
              </w:rPr>
              <w:t>11,653</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12,109</w:t>
            </w:r>
          </w:p>
        </w:tc>
      </w:tr>
      <w:tr>
        <w:trPr>
          <w:trHeight w:val="187"/>
        </w:trPr>
        <w:tc>
          <w:tcPr>
            <w:tcW w:w="5200" w:type="dxa"/>
            <w:vAlign w:val="bottom"/>
          </w:tcPr>
          <w:p>
            <w:pPr>
              <w:spacing w:after="0"/>
              <w:rPr>
                <w:sz w:val="20"/>
                <w:szCs w:val="20"/>
                <w:color w:val="auto"/>
              </w:rPr>
            </w:pPr>
            <w:r>
              <w:rPr>
                <w:rFonts w:ascii="Arial" w:cs="Arial" w:eastAsia="Arial" w:hAnsi="Arial"/>
                <w:sz w:val="16"/>
                <w:szCs w:val="16"/>
                <w:color w:val="auto"/>
              </w:rPr>
              <w:t>Bolivian Government Bonds</w:t>
            </w:r>
          </w:p>
        </w:tc>
        <w:tc>
          <w:tcPr>
            <w:tcW w:w="3280" w:type="dxa"/>
            <w:vAlign w:val="bottom"/>
            <w:gridSpan w:val="3"/>
          </w:tcPr>
          <w:p>
            <w:pPr>
              <w:jc w:val="right"/>
              <w:ind w:right="180"/>
              <w:spacing w:after="0"/>
              <w:rPr>
                <w:sz w:val="20"/>
                <w:szCs w:val="20"/>
                <w:color w:val="auto"/>
              </w:rPr>
            </w:pPr>
            <w:r>
              <w:rPr>
                <w:rFonts w:ascii="Arial" w:cs="Arial" w:eastAsia="Arial" w:hAnsi="Arial"/>
                <w:sz w:val="16"/>
                <w:szCs w:val="16"/>
                <w:color w:val="auto"/>
              </w:rPr>
              <w:t>1,834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41,436</w:t>
            </w:r>
          </w:p>
        </w:tc>
      </w:tr>
      <w:tr>
        <w:trPr>
          <w:trHeight w:val="201"/>
        </w:trPr>
        <w:tc>
          <w:tcPr>
            <w:tcW w:w="5200" w:type="dxa"/>
            <w:vAlign w:val="bottom"/>
          </w:tcPr>
          <w:p>
            <w:pPr>
              <w:spacing w:after="0"/>
              <w:rPr>
                <w:sz w:val="20"/>
                <w:szCs w:val="20"/>
                <w:color w:val="auto"/>
              </w:rPr>
            </w:pPr>
            <w:r>
              <w:rPr>
                <w:rFonts w:ascii="Arial" w:cs="Arial" w:eastAsia="Arial" w:hAnsi="Arial"/>
                <w:sz w:val="16"/>
                <w:szCs w:val="16"/>
                <w:color w:val="auto"/>
              </w:rPr>
              <w:t>Others</w:t>
            </w:r>
          </w:p>
        </w:tc>
        <w:tc>
          <w:tcPr>
            <w:tcW w:w="3280" w:type="dxa"/>
            <w:vAlign w:val="bottom"/>
            <w:gridSpan w:val="3"/>
          </w:tcPr>
          <w:p>
            <w:pPr>
              <w:jc w:val="right"/>
              <w:ind w:right="180"/>
              <w:spacing w:after="0"/>
              <w:rPr>
                <w:sz w:val="20"/>
                <w:szCs w:val="20"/>
                <w:color w:val="auto"/>
              </w:rPr>
            </w:pPr>
            <w:r>
              <w:rPr>
                <w:rFonts w:ascii="Arial" w:cs="Arial" w:eastAsia="Arial" w:hAnsi="Arial"/>
                <w:sz w:val="16"/>
                <w:szCs w:val="16"/>
                <w:color w:val="auto"/>
              </w:rPr>
              <w:t>37,682</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27,347</w:t>
            </w:r>
          </w:p>
        </w:tc>
      </w:tr>
      <w:tr>
        <w:trPr>
          <w:trHeight w:val="170"/>
        </w:trPr>
        <w:tc>
          <w:tcPr>
            <w:tcW w:w="52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20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12,246,655</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10,364,876</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286" w:right="140" w:hanging="286"/>
        <w:spacing w:after="0" w:line="255" w:lineRule="auto"/>
        <w:tabs>
          <w:tab w:leader="none" w:pos="286" w:val="left"/>
        </w:tabs>
        <w:numPr>
          <w:ilvl w:val="0"/>
          <w:numId w:val="86"/>
        </w:numPr>
        <w:rPr>
          <w:rFonts w:ascii="Arial" w:cs="Arial" w:eastAsia="Arial" w:hAnsi="Arial"/>
          <w:sz w:val="16"/>
          <w:szCs w:val="16"/>
          <w:color w:val="auto"/>
        </w:rPr>
      </w:pPr>
      <w:r>
        <w:rPr>
          <w:rFonts w:ascii="Arial" w:cs="Arial" w:eastAsia="Arial" w:hAnsi="Arial"/>
          <w:sz w:val="16"/>
          <w:szCs w:val="16"/>
          <w:color w:val="auto"/>
        </w:rPr>
        <w:t>As of December 31, 2024, the Group maintains 116,499 certificates of deposits BCRP (111,613 as of December 31, 2023); which are instruments issued at discount through public auction, traded on the Peruvian secondary market and payable in soles.</w:t>
      </w:r>
    </w:p>
    <w:p>
      <w:pPr>
        <w:spacing w:after="0" w:line="293" w:lineRule="exact"/>
        <w:rPr>
          <w:sz w:val="20"/>
          <w:szCs w:val="20"/>
          <w:color w:val="auto"/>
        </w:rPr>
      </w:pPr>
    </w:p>
    <w:p>
      <w:pPr>
        <w:ind w:left="4686"/>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406"/>
          </w:cols>
          <w:pgMar w:left="1154" w:top="124" w:right="339" w:bottom="1440" w:gutter="0" w:footer="0" w:header="0"/>
        </w:sectPr>
      </w:pPr>
    </w:p>
    <w:bookmarkStart w:id="65" w:name="page66"/>
    <w:bookmarkEnd w:id="65"/>
    <w:tbl>
      <w:tblPr>
        <w:tblLayout w:type="fixed"/>
        <w:tblInd w:w="840" w:type="dxa"/>
        <w:tblCellMar>
          <w:top w:w="0" w:type="dxa"/>
          <w:left w:w="0" w:type="dxa"/>
          <w:bottom w:w="0" w:type="dxa"/>
          <w:right w:w="0" w:type="dxa"/>
        </w:tblCellMar>
      </w:tblPr>
      <w:tr>
        <w:trPr>
          <w:trHeight w:val="206"/>
        </w:trPr>
        <w:tc>
          <w:tcPr>
            <w:tcW w:w="7360" w:type="dxa"/>
            <w:vAlign w:val="bottom"/>
          </w:tcPr>
          <w:p>
            <w:pPr>
              <w:spacing w:after="0"/>
              <w:rPr>
                <w:sz w:val="20"/>
                <w:szCs w:val="20"/>
                <w:color w:val="auto"/>
              </w:rPr>
            </w:pPr>
            <w:r>
              <w:rPr>
                <w:rFonts w:ascii="Arial" w:cs="Arial" w:eastAsia="Arial" w:hAnsi="Arial"/>
                <w:sz w:val="16"/>
                <w:szCs w:val="16"/>
                <w:color w:val="auto"/>
                <w:w w:val="99"/>
              </w:rPr>
              <w:t>(iv) As of December 31, 2024 and 2023, the balance of securitization instruments includes the following:</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5"/>
        </w:trPr>
        <w:tc>
          <w:tcPr>
            <w:tcW w:w="7360" w:type="dxa"/>
            <w:vAlign w:val="bottom"/>
          </w:tcPr>
          <w:p>
            <w:pPr>
              <w:spacing w:after="0"/>
              <w:rPr>
                <w:sz w:val="24"/>
                <w:szCs w:val="24"/>
                <w:color w:val="auto"/>
              </w:rPr>
            </w:pPr>
          </w:p>
        </w:tc>
        <w:tc>
          <w:tcPr>
            <w:tcW w:w="1220" w:type="dxa"/>
            <w:vAlign w:val="bottom"/>
            <w:gridSpan w:val="2"/>
          </w:tcPr>
          <w:p>
            <w:pPr>
              <w:jc w:val="right"/>
              <w:ind w:right="582"/>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4"/>
                <w:szCs w:val="24"/>
                <w:color w:val="auto"/>
              </w:rPr>
            </w:pPr>
          </w:p>
        </w:tc>
        <w:tc>
          <w:tcPr>
            <w:tcW w:w="1040" w:type="dxa"/>
            <w:vAlign w:val="bottom"/>
          </w:tcPr>
          <w:p>
            <w:pPr>
              <w:jc w:val="right"/>
              <w:ind w:right="62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24"/>
                <w:szCs w:val="24"/>
                <w:color w:val="auto"/>
              </w:rPr>
            </w:pPr>
          </w:p>
        </w:tc>
      </w:tr>
      <w:tr>
        <w:trPr>
          <w:trHeight w:val="206"/>
        </w:trPr>
        <w:tc>
          <w:tcPr>
            <w:tcW w:w="7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331"/>
        </w:trPr>
        <w:tc>
          <w:tcPr>
            <w:tcW w:w="7360" w:type="dxa"/>
            <w:vAlign w:val="bottom"/>
          </w:tcPr>
          <w:p>
            <w:pPr>
              <w:ind w:left="280"/>
              <w:spacing w:after="0"/>
              <w:rPr>
                <w:sz w:val="20"/>
                <w:szCs w:val="20"/>
                <w:color w:val="auto"/>
              </w:rPr>
            </w:pPr>
            <w:r>
              <w:rPr>
                <w:rFonts w:ascii="Arial" w:cs="Arial" w:eastAsia="Arial" w:hAnsi="Arial"/>
                <w:sz w:val="16"/>
                <w:szCs w:val="16"/>
                <w:color w:val="auto"/>
              </w:rPr>
              <w:t>Inmuebles Panamericana S.A.</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149,074</w:t>
            </w:r>
          </w:p>
        </w:tc>
        <w:tc>
          <w:tcPr>
            <w:tcW w:w="1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153,034</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Colegios Peruanos S.A.</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81,291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77,560</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ATN S.A.</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77,244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77,666</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Multimercados Zonales S.A.C.</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54,374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53,540</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Inmobiliaria Terrano S.A. y Operadora Portuaria S.A.</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40,125</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40,530</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Nessus Hoteles Perú S.A.</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36,629</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34,330</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Costa del Sol S.A.</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35,483</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36,717</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Concesionaria La Chira S.A.</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26,279</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27,457</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Centro Comercial Plaza Norte S.A.C.</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25,241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24,504</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Centro Comercial Mall del Sur S.A.C.</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25,215</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Ferreyros S.A.</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23,784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25,068</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Asociación Civil San Juan Bautista</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22,327</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23,565</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Redesur y Tesur</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21,748</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24,504</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Compañía de Turismo La Paz S.A.C.</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19,780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24,174</w:t>
            </w:r>
          </w:p>
        </w:tc>
      </w:tr>
      <w:tr>
        <w:trPr>
          <w:trHeight w:val="187"/>
        </w:trPr>
        <w:tc>
          <w:tcPr>
            <w:tcW w:w="7360" w:type="dxa"/>
            <w:vAlign w:val="bottom"/>
          </w:tcPr>
          <w:p>
            <w:pPr>
              <w:ind w:left="280"/>
              <w:spacing w:after="0"/>
              <w:rPr>
                <w:sz w:val="20"/>
                <w:szCs w:val="20"/>
                <w:color w:val="auto"/>
              </w:rPr>
            </w:pPr>
            <w:r>
              <w:rPr>
                <w:rFonts w:ascii="Arial" w:cs="Arial" w:eastAsia="Arial" w:hAnsi="Arial"/>
                <w:sz w:val="16"/>
                <w:szCs w:val="16"/>
                <w:color w:val="auto"/>
              </w:rPr>
              <w:t>Aeropuertos del Perú S.A.</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14,058</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14,730</w:t>
            </w:r>
          </w:p>
        </w:tc>
      </w:tr>
      <w:tr>
        <w:trPr>
          <w:trHeight w:val="201"/>
        </w:trPr>
        <w:tc>
          <w:tcPr>
            <w:tcW w:w="7360" w:type="dxa"/>
            <w:vAlign w:val="bottom"/>
          </w:tcPr>
          <w:p>
            <w:pPr>
              <w:ind w:left="280"/>
              <w:spacing w:after="0"/>
              <w:rPr>
                <w:sz w:val="20"/>
                <w:szCs w:val="20"/>
                <w:color w:val="auto"/>
              </w:rPr>
            </w:pPr>
            <w:r>
              <w:rPr>
                <w:rFonts w:ascii="Arial" w:cs="Arial" w:eastAsia="Arial" w:hAnsi="Arial"/>
                <w:sz w:val="16"/>
                <w:szCs w:val="16"/>
                <w:color w:val="auto"/>
              </w:rPr>
              <w:t>Other minors</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56,843</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40,506</w:t>
            </w:r>
          </w:p>
        </w:tc>
      </w:tr>
      <w:tr>
        <w:trPr>
          <w:trHeight w:val="170"/>
        </w:trPr>
        <w:tc>
          <w:tcPr>
            <w:tcW w:w="7360" w:type="dxa"/>
            <w:vAlign w:val="bottom"/>
          </w:tcPr>
          <w:p>
            <w:pPr>
              <w:ind w:left="280"/>
              <w:spacing w:after="0" w:line="167" w:lineRule="exact"/>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709,495</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677,885</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1120" w:right="140"/>
        <w:spacing w:after="0" w:line="241" w:lineRule="auto"/>
        <w:rPr>
          <w:sz w:val="20"/>
          <w:szCs w:val="20"/>
          <w:color w:val="auto"/>
        </w:rPr>
      </w:pPr>
      <w:r>
        <w:rPr>
          <w:rFonts w:ascii="Arial" w:cs="Arial" w:eastAsia="Arial" w:hAnsi="Arial"/>
          <w:sz w:val="16"/>
          <w:szCs w:val="16"/>
          <w:color w:val="auto"/>
        </w:rPr>
        <w:t>The instruments have payments primarily semiannual through 2049. The underlying asset pool consists mainly of accounts receivable for income, service income and maintenance and marketing contributions (Inmuebles Panamericana S.A.), and accounts receivable for electric transmission services for the Carhuamayo - Cajamarca line (ATN S.A.).</w:t>
      </w:r>
    </w:p>
    <w:p>
      <w:pPr>
        <w:spacing w:after="0" w:line="146" w:lineRule="exact"/>
        <w:rPr>
          <w:sz w:val="20"/>
          <w:szCs w:val="20"/>
          <w:color w:val="auto"/>
        </w:rPr>
      </w:pPr>
    </w:p>
    <w:p>
      <w:pPr>
        <w:ind w:left="1120" w:right="20" w:hanging="286"/>
        <w:spacing w:after="0" w:line="241" w:lineRule="auto"/>
        <w:tabs>
          <w:tab w:leader="none" w:pos="11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As of December 31, 2024 the balance corresponds to certificates equivalent to S/417.8 million in other currencies, issued mainly by the Bolivian financial systems. As of December 31, 2023, the balance corresponds to certificates equivalent to S/462.6 million in other currencies. issued mainly by the financial systems of Colombia and Bolivia.</w:t>
      </w:r>
    </w:p>
    <w:p>
      <w:pPr>
        <w:spacing w:after="0" w:line="145" w:lineRule="exact"/>
        <w:rPr>
          <w:rFonts w:ascii="Arial" w:cs="Arial" w:eastAsia="Arial" w:hAnsi="Arial"/>
          <w:sz w:val="16"/>
          <w:szCs w:val="16"/>
          <w:color w:val="auto"/>
        </w:rPr>
      </w:pPr>
    </w:p>
    <w:p>
      <w:pPr>
        <w:ind w:left="840" w:hanging="286"/>
        <w:spacing w:after="0"/>
        <w:tabs>
          <w:tab w:leader="none" w:pos="8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Amortized cost investments consist of the following:</w:t>
      </w:r>
    </w:p>
    <w:p>
      <w:pPr>
        <w:spacing w:after="0" w:line="164" w:lineRule="exact"/>
        <w:rPr>
          <w:sz w:val="20"/>
          <w:szCs w:val="20"/>
          <w:color w:val="auto"/>
        </w:rPr>
      </w:pPr>
    </w:p>
    <w:tbl>
      <w:tblPr>
        <w:tblLayout w:type="fixed"/>
        <w:tblInd w:w="8340" w:type="dxa"/>
        <w:tblCellMar>
          <w:top w:w="0" w:type="dxa"/>
          <w:left w:w="0" w:type="dxa"/>
          <w:bottom w:w="0" w:type="dxa"/>
          <w:right w:w="0" w:type="dxa"/>
        </w:tblCellMar>
      </w:tblPr>
      <w:tr>
        <w:trPr>
          <w:trHeight w:val="192"/>
        </w:trPr>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1340" w:type="dxa"/>
            <w:vAlign w:val="bottom"/>
            <w:tcBorders>
              <w:bottom w:val="single" w:sz="8" w:color="auto"/>
            </w:tcBorders>
          </w:tcPr>
          <w:p>
            <w:pPr>
              <w:spacing w:after="0"/>
              <w:rPr>
                <w:sz w:val="16"/>
                <w:szCs w:val="16"/>
                <w:color w:val="auto"/>
              </w:rPr>
            </w:pPr>
          </w:p>
        </w:tc>
      </w:tr>
      <w:tr>
        <w:trPr>
          <w:trHeight w:val="162"/>
        </w:trPr>
        <w:tc>
          <w:tcPr>
            <w:tcW w:w="940" w:type="dxa"/>
            <w:vAlign w:val="bottom"/>
          </w:tcPr>
          <w:p>
            <w:pPr>
              <w:spacing w:after="0" w:line="161" w:lineRule="exact"/>
              <w:rPr>
                <w:sz w:val="20"/>
                <w:szCs w:val="20"/>
                <w:color w:val="auto"/>
              </w:rPr>
            </w:pPr>
            <w:r>
              <w:rPr>
                <w:rFonts w:ascii="Arial" w:cs="Arial" w:eastAsia="Arial" w:hAnsi="Arial"/>
                <w:sz w:val="16"/>
                <w:szCs w:val="16"/>
                <w:b w:val="1"/>
                <w:bCs w:val="1"/>
                <w:color w:val="auto"/>
              </w:rPr>
              <w:t>Carrying</w:t>
            </w:r>
          </w:p>
        </w:tc>
        <w:tc>
          <w:tcPr>
            <w:tcW w:w="1340" w:type="dxa"/>
            <w:vAlign w:val="bottom"/>
          </w:tcPr>
          <w:p>
            <w:pPr>
              <w:ind w:left="280"/>
              <w:spacing w:after="0" w:line="161" w:lineRule="exact"/>
              <w:rPr>
                <w:sz w:val="20"/>
                <w:szCs w:val="20"/>
                <w:color w:val="auto"/>
              </w:rPr>
            </w:pPr>
            <w:r>
              <w:rPr>
                <w:rFonts w:ascii="Arial" w:cs="Arial" w:eastAsia="Arial" w:hAnsi="Arial"/>
                <w:sz w:val="16"/>
                <w:szCs w:val="16"/>
                <w:b w:val="1"/>
                <w:bCs w:val="1"/>
                <w:color w:val="auto"/>
              </w:rPr>
              <w:t>Fair</w:t>
            </w:r>
          </w:p>
        </w:tc>
      </w:tr>
      <w:tr>
        <w:trPr>
          <w:trHeight w:val="192"/>
        </w:trPr>
        <w:tc>
          <w:tcPr>
            <w:tcW w:w="94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1340" w:type="dxa"/>
            <w:vAlign w:val="bottom"/>
          </w:tcPr>
          <w:p>
            <w:pPr>
              <w:ind w:left="280"/>
              <w:spacing w:after="0"/>
              <w:rPr>
                <w:sz w:val="20"/>
                <w:szCs w:val="20"/>
                <w:color w:val="auto"/>
              </w:rPr>
            </w:pPr>
            <w:r>
              <w:rPr>
                <w:rFonts w:ascii="Arial" w:cs="Arial" w:eastAsia="Arial" w:hAnsi="Arial"/>
                <w:sz w:val="16"/>
                <w:szCs w:val="16"/>
                <w:b w:val="1"/>
                <w:bCs w:val="1"/>
                <w:color w:val="auto"/>
              </w:rPr>
              <w:t>value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8"/>
                <w:szCs w:val="18"/>
                <w:color w:val="auto"/>
              </w:rPr>
            </w:pPr>
          </w:p>
        </w:tc>
      </w:tr>
      <w:tr>
        <w:trPr>
          <w:trHeight w:val="322"/>
        </w:trPr>
        <w:tc>
          <w:tcPr>
            <w:tcW w:w="5040" w:type="dxa"/>
            <w:vAlign w:val="bottom"/>
          </w:tcPr>
          <w:p>
            <w:pPr>
              <w:ind w:left="840"/>
              <w:spacing w:after="0"/>
              <w:rPr>
                <w:sz w:val="20"/>
                <w:szCs w:val="20"/>
                <w:color w:val="auto"/>
              </w:rPr>
            </w:pPr>
            <w:r>
              <w:rPr>
                <w:rFonts w:ascii="Arial" w:cs="Arial" w:eastAsia="Arial" w:hAnsi="Arial"/>
                <w:sz w:val="16"/>
                <w:szCs w:val="16"/>
                <w:color w:val="auto"/>
              </w:rPr>
              <w:t>Peruvian Government Bonds (i)</w:t>
            </w:r>
          </w:p>
        </w:tc>
        <w:tc>
          <w:tcPr>
            <w:tcW w:w="4360" w:type="dxa"/>
            <w:vAlign w:val="bottom"/>
            <w:gridSpan w:val="3"/>
          </w:tcPr>
          <w:p>
            <w:pPr>
              <w:jc w:val="right"/>
              <w:ind w:right="20"/>
              <w:spacing w:after="0"/>
              <w:rPr>
                <w:sz w:val="20"/>
                <w:szCs w:val="20"/>
                <w:color w:val="auto"/>
              </w:rPr>
            </w:pPr>
            <w:r>
              <w:rPr>
                <w:rFonts w:ascii="Arial" w:cs="Arial" w:eastAsia="Arial" w:hAnsi="Arial"/>
                <w:sz w:val="16"/>
                <w:szCs w:val="16"/>
                <w:color w:val="auto"/>
              </w:rPr>
              <w:t>8,085,248</w:t>
            </w:r>
          </w:p>
        </w:tc>
        <w:tc>
          <w:tcPr>
            <w:tcW w:w="160" w:type="dxa"/>
            <w:vAlign w:val="bottom"/>
          </w:tcPr>
          <w:p>
            <w:pPr>
              <w:spacing w:after="0"/>
              <w:rPr>
                <w:sz w:val="24"/>
                <w:szCs w:val="24"/>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7,558,307</w:t>
            </w:r>
          </w:p>
        </w:tc>
      </w:tr>
      <w:tr>
        <w:trPr>
          <w:trHeight w:val="187"/>
        </w:trPr>
        <w:tc>
          <w:tcPr>
            <w:tcW w:w="5040" w:type="dxa"/>
            <w:vAlign w:val="bottom"/>
          </w:tcPr>
          <w:p>
            <w:pPr>
              <w:ind w:left="840"/>
              <w:spacing w:after="0"/>
              <w:rPr>
                <w:sz w:val="20"/>
                <w:szCs w:val="20"/>
                <w:color w:val="auto"/>
              </w:rPr>
            </w:pPr>
            <w:r>
              <w:rPr>
                <w:rFonts w:ascii="Arial" w:cs="Arial" w:eastAsia="Arial" w:hAnsi="Arial"/>
                <w:sz w:val="16"/>
                <w:szCs w:val="16"/>
                <w:color w:val="auto"/>
              </w:rPr>
              <w:t>Corporate bonds (i)</w:t>
            </w:r>
          </w:p>
        </w:tc>
        <w:tc>
          <w:tcPr>
            <w:tcW w:w="4340" w:type="dxa"/>
            <w:vAlign w:val="bottom"/>
            <w:gridSpan w:val="2"/>
          </w:tcPr>
          <w:p>
            <w:pPr>
              <w:jc w:val="right"/>
              <w:spacing w:after="0"/>
              <w:rPr>
                <w:sz w:val="20"/>
                <w:szCs w:val="20"/>
                <w:color w:val="auto"/>
              </w:rPr>
            </w:pPr>
            <w:r>
              <w:rPr>
                <w:rFonts w:ascii="Arial" w:cs="Arial" w:eastAsia="Arial" w:hAnsi="Arial"/>
                <w:sz w:val="16"/>
                <w:szCs w:val="16"/>
                <w:color w:val="auto"/>
              </w:rPr>
              <w:t>534,396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536,321</w:t>
            </w:r>
          </w:p>
        </w:tc>
      </w:tr>
      <w:tr>
        <w:trPr>
          <w:trHeight w:val="187"/>
        </w:trPr>
        <w:tc>
          <w:tcPr>
            <w:tcW w:w="5040" w:type="dxa"/>
            <w:vAlign w:val="bottom"/>
          </w:tcPr>
          <w:p>
            <w:pPr>
              <w:ind w:left="840"/>
              <w:spacing w:after="0"/>
              <w:rPr>
                <w:sz w:val="20"/>
                <w:szCs w:val="20"/>
                <w:color w:val="auto"/>
              </w:rPr>
            </w:pPr>
            <w:r>
              <w:rPr>
                <w:rFonts w:ascii="Arial" w:cs="Arial" w:eastAsia="Arial" w:hAnsi="Arial"/>
                <w:sz w:val="16"/>
                <w:szCs w:val="16"/>
                <w:color w:val="auto"/>
              </w:rPr>
              <w:t>Bonds from financial organizations (i)</w:t>
            </w:r>
          </w:p>
        </w:tc>
        <w:tc>
          <w:tcPr>
            <w:tcW w:w="4360" w:type="dxa"/>
            <w:vAlign w:val="bottom"/>
            <w:gridSpan w:val="3"/>
          </w:tcPr>
          <w:p>
            <w:pPr>
              <w:jc w:val="right"/>
              <w:ind w:right="20"/>
              <w:spacing w:after="0"/>
              <w:rPr>
                <w:sz w:val="20"/>
                <w:szCs w:val="20"/>
                <w:color w:val="auto"/>
              </w:rPr>
            </w:pPr>
            <w:r>
              <w:rPr>
                <w:rFonts w:ascii="Arial" w:cs="Arial" w:eastAsia="Arial" w:hAnsi="Arial"/>
                <w:sz w:val="16"/>
                <w:szCs w:val="16"/>
                <w:color w:val="auto"/>
              </w:rPr>
              <w:t>48,090</w:t>
            </w:r>
          </w:p>
        </w:tc>
        <w:tc>
          <w:tcPr>
            <w:tcW w:w="16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48,307</w:t>
            </w:r>
          </w:p>
        </w:tc>
      </w:tr>
      <w:tr>
        <w:trPr>
          <w:trHeight w:val="187"/>
        </w:trPr>
        <w:tc>
          <w:tcPr>
            <w:tcW w:w="5040" w:type="dxa"/>
            <w:vAlign w:val="bottom"/>
          </w:tcPr>
          <w:p>
            <w:pPr>
              <w:ind w:left="840"/>
              <w:spacing w:after="0"/>
              <w:rPr>
                <w:sz w:val="20"/>
                <w:szCs w:val="20"/>
                <w:color w:val="auto"/>
              </w:rPr>
            </w:pPr>
            <w:r>
              <w:rPr>
                <w:rFonts w:ascii="Arial" w:cs="Arial" w:eastAsia="Arial" w:hAnsi="Arial"/>
                <w:sz w:val="16"/>
                <w:szCs w:val="16"/>
                <w:color w:val="auto"/>
              </w:rPr>
              <w:t>Subordinated bonds (i)</w:t>
            </w:r>
          </w:p>
        </w:tc>
        <w:tc>
          <w:tcPr>
            <w:tcW w:w="4360" w:type="dxa"/>
            <w:vAlign w:val="bottom"/>
            <w:gridSpan w:val="3"/>
          </w:tcPr>
          <w:p>
            <w:pPr>
              <w:jc w:val="right"/>
              <w:ind w:right="20"/>
              <w:spacing w:after="0"/>
              <w:rPr>
                <w:sz w:val="20"/>
                <w:szCs w:val="20"/>
                <w:color w:val="auto"/>
              </w:rPr>
            </w:pPr>
            <w:r>
              <w:rPr>
                <w:rFonts w:ascii="Arial" w:cs="Arial" w:eastAsia="Arial" w:hAnsi="Arial"/>
                <w:sz w:val="16"/>
                <w:szCs w:val="16"/>
                <w:color w:val="auto"/>
              </w:rPr>
              <w:t>44,763</w:t>
            </w:r>
          </w:p>
        </w:tc>
        <w:tc>
          <w:tcPr>
            <w:tcW w:w="16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45,148</w:t>
            </w:r>
          </w:p>
        </w:tc>
      </w:tr>
      <w:tr>
        <w:trPr>
          <w:trHeight w:val="187"/>
        </w:trPr>
        <w:tc>
          <w:tcPr>
            <w:tcW w:w="5040" w:type="dxa"/>
            <w:vAlign w:val="bottom"/>
          </w:tcPr>
          <w:p>
            <w:pPr>
              <w:ind w:left="840"/>
              <w:spacing w:after="0"/>
              <w:rPr>
                <w:sz w:val="20"/>
                <w:szCs w:val="20"/>
                <w:color w:val="auto"/>
              </w:rPr>
            </w:pPr>
            <w:r>
              <w:rPr>
                <w:rFonts w:ascii="Arial" w:cs="Arial" w:eastAsia="Arial" w:hAnsi="Arial"/>
                <w:sz w:val="16"/>
                <w:szCs w:val="16"/>
                <w:color w:val="auto"/>
              </w:rPr>
              <w:t>Other government bonds (i)</w:t>
            </w:r>
          </w:p>
        </w:tc>
        <w:tc>
          <w:tcPr>
            <w:tcW w:w="4360" w:type="dxa"/>
            <w:vAlign w:val="bottom"/>
            <w:gridSpan w:val="3"/>
          </w:tcPr>
          <w:p>
            <w:pPr>
              <w:jc w:val="right"/>
              <w:ind w:right="20"/>
              <w:spacing w:after="0"/>
              <w:rPr>
                <w:sz w:val="20"/>
                <w:szCs w:val="20"/>
                <w:color w:val="auto"/>
              </w:rPr>
            </w:pPr>
            <w:r>
              <w:rPr>
                <w:rFonts w:ascii="Arial" w:cs="Arial" w:eastAsia="Arial" w:hAnsi="Arial"/>
                <w:sz w:val="16"/>
                <w:szCs w:val="16"/>
                <w:color w:val="auto"/>
              </w:rPr>
              <w:t>29,074</w:t>
            </w:r>
          </w:p>
        </w:tc>
        <w:tc>
          <w:tcPr>
            <w:tcW w:w="16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29,185</w:t>
            </w:r>
          </w:p>
        </w:tc>
      </w:tr>
      <w:tr>
        <w:trPr>
          <w:trHeight w:val="187"/>
        </w:trPr>
        <w:tc>
          <w:tcPr>
            <w:tcW w:w="5040" w:type="dxa"/>
            <w:vAlign w:val="bottom"/>
          </w:tcPr>
          <w:p>
            <w:pPr>
              <w:ind w:left="840"/>
              <w:spacing w:after="0"/>
              <w:rPr>
                <w:sz w:val="20"/>
                <w:szCs w:val="20"/>
                <w:color w:val="auto"/>
              </w:rPr>
            </w:pPr>
            <w:r>
              <w:rPr>
                <w:rFonts w:ascii="Arial" w:cs="Arial" w:eastAsia="Arial" w:hAnsi="Arial"/>
                <w:sz w:val="16"/>
                <w:szCs w:val="16"/>
                <w:color w:val="auto"/>
              </w:rPr>
              <w:t>Negotiable certificates of deposits</w:t>
            </w:r>
          </w:p>
        </w:tc>
        <w:tc>
          <w:tcPr>
            <w:tcW w:w="4360" w:type="dxa"/>
            <w:vAlign w:val="bottom"/>
            <w:gridSpan w:val="3"/>
          </w:tcPr>
          <w:p>
            <w:pPr>
              <w:jc w:val="right"/>
              <w:ind w:right="20"/>
              <w:spacing w:after="0"/>
              <w:rPr>
                <w:sz w:val="20"/>
                <w:szCs w:val="20"/>
                <w:color w:val="auto"/>
              </w:rPr>
            </w:pPr>
            <w:r>
              <w:rPr>
                <w:rFonts w:ascii="Arial" w:cs="Arial" w:eastAsia="Arial" w:hAnsi="Arial"/>
                <w:sz w:val="16"/>
                <w:szCs w:val="16"/>
                <w:color w:val="auto"/>
              </w:rPr>
              <w:t>23,889</w:t>
            </w:r>
          </w:p>
        </w:tc>
        <w:tc>
          <w:tcPr>
            <w:tcW w:w="16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23,904</w:t>
            </w:r>
          </w:p>
        </w:tc>
      </w:tr>
      <w:tr>
        <w:trPr>
          <w:trHeight w:val="201"/>
        </w:trPr>
        <w:tc>
          <w:tcPr>
            <w:tcW w:w="5040" w:type="dxa"/>
            <w:vAlign w:val="bottom"/>
          </w:tcPr>
          <w:p>
            <w:pPr>
              <w:ind w:left="840"/>
              <w:spacing w:after="0"/>
              <w:rPr>
                <w:sz w:val="20"/>
                <w:szCs w:val="20"/>
                <w:color w:val="auto"/>
              </w:rPr>
            </w:pPr>
            <w:r>
              <w:rPr>
                <w:rFonts w:ascii="Arial" w:cs="Arial" w:eastAsia="Arial" w:hAnsi="Arial"/>
                <w:sz w:val="16"/>
                <w:szCs w:val="16"/>
                <w:color w:val="auto"/>
              </w:rPr>
              <w:t>Certificates of payment on work progress (CRPAO) (ii)</w:t>
            </w:r>
          </w:p>
        </w:tc>
        <w:tc>
          <w:tcPr>
            <w:tcW w:w="4360" w:type="dxa"/>
            <w:vAlign w:val="bottom"/>
            <w:gridSpan w:val="3"/>
          </w:tcPr>
          <w:p>
            <w:pPr>
              <w:jc w:val="right"/>
              <w:ind w:right="20"/>
              <w:spacing w:after="0"/>
              <w:rPr>
                <w:sz w:val="20"/>
                <w:szCs w:val="20"/>
                <w:color w:val="auto"/>
              </w:rPr>
            </w:pPr>
            <w:r>
              <w:rPr>
                <w:rFonts w:ascii="Arial" w:cs="Arial" w:eastAsia="Arial" w:hAnsi="Arial"/>
                <w:sz w:val="16"/>
                <w:szCs w:val="16"/>
                <w:color w:val="auto"/>
              </w:rPr>
              <w:t>8,321</w:t>
            </w:r>
          </w:p>
        </w:tc>
        <w:tc>
          <w:tcPr>
            <w:tcW w:w="160" w:type="dxa"/>
            <w:vAlign w:val="bottom"/>
          </w:tcPr>
          <w:p>
            <w:pPr>
              <w:spacing w:after="0"/>
              <w:rPr>
                <w:sz w:val="17"/>
                <w:szCs w:val="17"/>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8,270</w:t>
            </w:r>
          </w:p>
        </w:tc>
      </w:tr>
      <w:tr>
        <w:trPr>
          <w:trHeight w:val="164"/>
        </w:trPr>
        <w:tc>
          <w:tcPr>
            <w:tcW w:w="5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20"/>
              <w:spacing w:after="0" w:line="164" w:lineRule="exact"/>
              <w:rPr>
                <w:sz w:val="20"/>
                <w:szCs w:val="20"/>
                <w:color w:val="auto"/>
              </w:rPr>
            </w:pPr>
            <w:r>
              <w:rPr>
                <w:rFonts w:ascii="Arial" w:cs="Arial" w:eastAsia="Arial" w:hAnsi="Arial"/>
                <w:sz w:val="16"/>
                <w:szCs w:val="16"/>
                <w:color w:val="auto"/>
              </w:rPr>
              <w:t>8,773,781</w:t>
            </w:r>
          </w:p>
        </w:tc>
        <w:tc>
          <w:tcPr>
            <w:tcW w:w="160" w:type="dxa"/>
            <w:vAlign w:val="bottom"/>
          </w:tcPr>
          <w:p>
            <w:pPr>
              <w:spacing w:after="0"/>
              <w:rPr>
                <w:sz w:val="14"/>
                <w:szCs w:val="14"/>
                <w:color w:val="auto"/>
              </w:rPr>
            </w:pPr>
          </w:p>
        </w:tc>
        <w:tc>
          <w:tcPr>
            <w:tcW w:w="10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8,249,442</w:t>
            </w:r>
          </w:p>
        </w:tc>
        <w:tc>
          <w:tcPr>
            <w:tcW w:w="640" w:type="dxa"/>
            <w:vAlign w:val="bottom"/>
          </w:tcPr>
          <w:p>
            <w:pPr>
              <w:spacing w:after="0"/>
              <w:rPr>
                <w:sz w:val="14"/>
                <w:szCs w:val="14"/>
                <w:color w:val="auto"/>
              </w:rPr>
            </w:pPr>
          </w:p>
        </w:tc>
      </w:tr>
      <w:tr>
        <w:trPr>
          <w:trHeight w:val="201"/>
        </w:trPr>
        <w:tc>
          <w:tcPr>
            <w:tcW w:w="5040" w:type="dxa"/>
            <w:vAlign w:val="bottom"/>
          </w:tcPr>
          <w:p>
            <w:pPr>
              <w:ind w:left="840"/>
              <w:spacing w:after="0"/>
              <w:rPr>
                <w:sz w:val="20"/>
                <w:szCs w:val="20"/>
                <w:color w:val="auto"/>
              </w:rPr>
            </w:pPr>
            <w:r>
              <w:rPr>
                <w:rFonts w:ascii="Arial" w:cs="Arial" w:eastAsia="Arial" w:hAnsi="Arial"/>
                <w:sz w:val="16"/>
                <w:szCs w:val="16"/>
                <w:color w:val="auto"/>
              </w:rPr>
              <w:t>Accrued interest</w:t>
            </w:r>
          </w:p>
        </w:tc>
        <w:tc>
          <w:tcPr>
            <w:tcW w:w="4340" w:type="dxa"/>
            <w:vAlign w:val="bottom"/>
            <w:gridSpan w:val="2"/>
          </w:tcPr>
          <w:p>
            <w:pPr>
              <w:jc w:val="right"/>
              <w:spacing w:after="0"/>
              <w:rPr>
                <w:sz w:val="20"/>
                <w:szCs w:val="20"/>
                <w:color w:val="auto"/>
              </w:rPr>
            </w:pPr>
            <w:r>
              <w:rPr>
                <w:rFonts w:ascii="Arial" w:cs="Arial" w:eastAsia="Arial" w:hAnsi="Arial"/>
                <w:sz w:val="16"/>
                <w:szCs w:val="16"/>
                <w:color w:val="auto"/>
              </w:rPr>
              <w:t>194,096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194,096</w:t>
            </w:r>
          </w:p>
        </w:tc>
      </w:tr>
      <w:tr>
        <w:trPr>
          <w:trHeight w:val="170"/>
        </w:trPr>
        <w:tc>
          <w:tcPr>
            <w:tcW w:w="5040" w:type="dxa"/>
            <w:vAlign w:val="bottom"/>
          </w:tcPr>
          <w:p>
            <w:pPr>
              <w:ind w:left="840"/>
              <w:spacing w:after="0" w:line="167" w:lineRule="exact"/>
              <w:rPr>
                <w:sz w:val="20"/>
                <w:szCs w:val="20"/>
                <w:color w:val="auto"/>
              </w:rPr>
            </w:pPr>
            <w:r>
              <w:rPr>
                <w:rFonts w:ascii="Arial" w:cs="Arial" w:eastAsia="Arial" w:hAnsi="Arial"/>
                <w:sz w:val="16"/>
                <w:szCs w:val="16"/>
                <w:b w:val="1"/>
                <w:bCs w:val="1"/>
                <w:color w:val="auto"/>
              </w:rPr>
              <w:t>Total investments at amortized cost, net</w:t>
            </w:r>
          </w:p>
        </w:tc>
        <w:tc>
          <w:tcPr>
            <w:tcW w:w="33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8,967,877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8,443,538</w:t>
            </w:r>
          </w:p>
        </w:tc>
        <w:tc>
          <w:tcPr>
            <w:tcW w:w="640" w:type="dxa"/>
            <w:vAlign w:val="bottom"/>
          </w:tcPr>
          <w:p>
            <w:pPr>
              <w:spacing w:after="0"/>
              <w:rPr>
                <w:sz w:val="14"/>
                <w:szCs w:val="14"/>
                <w:color w:val="auto"/>
              </w:rPr>
            </w:pPr>
          </w:p>
        </w:tc>
      </w:tr>
      <w:tr>
        <w:trPr>
          <w:trHeight w:val="483"/>
        </w:trPr>
        <w:tc>
          <w:tcPr>
            <w:tcW w:w="5040" w:type="dxa"/>
            <w:vAlign w:val="bottom"/>
          </w:tcPr>
          <w:p>
            <w:pPr>
              <w:spacing w:after="0"/>
              <w:rPr>
                <w:sz w:val="24"/>
                <w:szCs w:val="24"/>
                <w:color w:val="auto"/>
              </w:rPr>
            </w:pPr>
          </w:p>
        </w:tc>
        <w:tc>
          <w:tcPr>
            <w:tcW w:w="3300" w:type="dxa"/>
            <w:vAlign w:val="bottom"/>
          </w:tcPr>
          <w:p>
            <w:pPr>
              <w:jc w:val="right"/>
              <w:ind w:right="2524"/>
              <w:spacing w:after="0"/>
              <w:rPr>
                <w:sz w:val="20"/>
                <w:szCs w:val="20"/>
                <w:color w:val="auto"/>
              </w:rPr>
            </w:pPr>
            <w:r>
              <w:rPr>
                <w:rFonts w:ascii="Arial" w:cs="Arial" w:eastAsia="Arial" w:hAnsi="Arial"/>
                <w:sz w:val="12"/>
                <w:szCs w:val="12"/>
                <w:color w:val="auto"/>
              </w:rPr>
              <w:t>-63-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
        </w:trPr>
        <w:tc>
          <w:tcPr>
            <w:tcW w:w="50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66" w:name="page67"/>
    <w:bookmarkEnd w:id="66"/>
    <w:p>
      <w:pPr>
        <w:spacing w:after="0" w:line="1" w:lineRule="exact"/>
        <w:rPr>
          <w:sz w:val="20"/>
          <w:szCs w:val="20"/>
          <w:color w:val="auto"/>
        </w:rPr>
      </w:pPr>
    </w:p>
    <w:tbl>
      <w:tblPr>
        <w:tblLayout w:type="fixed"/>
        <w:tblInd w:w="7506" w:type="dxa"/>
        <w:tblCellMar>
          <w:top w:w="0" w:type="dxa"/>
          <w:left w:w="0" w:type="dxa"/>
          <w:bottom w:w="0" w:type="dxa"/>
          <w:right w:w="0" w:type="dxa"/>
        </w:tblCellMar>
      </w:tblPr>
      <w:tr>
        <w:trPr>
          <w:trHeight w:val="191"/>
        </w:trPr>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340" w:type="dxa"/>
            <w:vAlign w:val="bottom"/>
            <w:tcBorders>
              <w:bottom w:val="single" w:sz="8" w:color="auto"/>
            </w:tcBorders>
          </w:tcPr>
          <w:p>
            <w:pPr>
              <w:spacing w:after="0"/>
              <w:rPr>
                <w:sz w:val="16"/>
                <w:szCs w:val="16"/>
                <w:color w:val="auto"/>
              </w:rPr>
            </w:pPr>
          </w:p>
        </w:tc>
      </w:tr>
      <w:tr>
        <w:trPr>
          <w:trHeight w:val="162"/>
        </w:trPr>
        <w:tc>
          <w:tcPr>
            <w:tcW w:w="940" w:type="dxa"/>
            <w:vAlign w:val="bottom"/>
          </w:tcPr>
          <w:p>
            <w:pPr>
              <w:spacing w:after="0" w:line="161" w:lineRule="exact"/>
              <w:rPr>
                <w:sz w:val="20"/>
                <w:szCs w:val="20"/>
                <w:color w:val="auto"/>
              </w:rPr>
            </w:pPr>
            <w:r>
              <w:rPr>
                <w:rFonts w:ascii="Arial" w:cs="Arial" w:eastAsia="Arial" w:hAnsi="Arial"/>
                <w:sz w:val="16"/>
                <w:szCs w:val="16"/>
                <w:b w:val="1"/>
                <w:bCs w:val="1"/>
                <w:color w:val="auto"/>
              </w:rPr>
              <w:t>Carrying</w:t>
            </w:r>
          </w:p>
        </w:tc>
        <w:tc>
          <w:tcPr>
            <w:tcW w:w="1340" w:type="dxa"/>
            <w:vAlign w:val="bottom"/>
          </w:tcPr>
          <w:p>
            <w:pPr>
              <w:ind w:left="280"/>
              <w:spacing w:after="0" w:line="161" w:lineRule="exact"/>
              <w:rPr>
                <w:sz w:val="20"/>
                <w:szCs w:val="20"/>
                <w:color w:val="auto"/>
              </w:rPr>
            </w:pPr>
            <w:r>
              <w:rPr>
                <w:rFonts w:ascii="Arial" w:cs="Arial" w:eastAsia="Arial" w:hAnsi="Arial"/>
                <w:sz w:val="16"/>
                <w:szCs w:val="16"/>
                <w:b w:val="1"/>
                <w:bCs w:val="1"/>
                <w:color w:val="auto"/>
              </w:rPr>
              <w:t>Fair</w:t>
            </w:r>
          </w:p>
        </w:tc>
      </w:tr>
      <w:tr>
        <w:trPr>
          <w:trHeight w:val="192"/>
        </w:trPr>
        <w:tc>
          <w:tcPr>
            <w:tcW w:w="94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1340" w:type="dxa"/>
            <w:vAlign w:val="bottom"/>
          </w:tcPr>
          <w:p>
            <w:pPr>
              <w:ind w:left="280"/>
              <w:spacing w:after="0"/>
              <w:rPr>
                <w:sz w:val="20"/>
                <w:szCs w:val="20"/>
                <w:color w:val="auto"/>
              </w:rPr>
            </w:pPr>
            <w:r>
              <w:rPr>
                <w:rFonts w:ascii="Arial" w:cs="Arial" w:eastAsia="Arial" w:hAnsi="Arial"/>
                <w:sz w:val="16"/>
                <w:szCs w:val="16"/>
                <w:b w:val="1"/>
                <w:bCs w:val="1"/>
                <w:color w:val="auto"/>
              </w:rPr>
              <w:t>value</w:t>
            </w:r>
          </w:p>
        </w:tc>
      </w:tr>
    </w:tbl>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8"/>
                <w:szCs w:val="18"/>
                <w:color w:val="auto"/>
              </w:rPr>
            </w:pPr>
          </w:p>
        </w:tc>
      </w:tr>
      <w:tr>
        <w:trPr>
          <w:trHeight w:val="322"/>
        </w:trPr>
        <w:tc>
          <w:tcPr>
            <w:tcW w:w="7500" w:type="dxa"/>
            <w:vAlign w:val="bottom"/>
          </w:tcPr>
          <w:p>
            <w:pPr>
              <w:spacing w:after="0"/>
              <w:rPr>
                <w:sz w:val="20"/>
                <w:szCs w:val="20"/>
                <w:color w:val="auto"/>
              </w:rPr>
            </w:pPr>
            <w:r>
              <w:rPr>
                <w:rFonts w:ascii="Arial" w:cs="Arial" w:eastAsia="Arial" w:hAnsi="Arial"/>
                <w:sz w:val="16"/>
                <w:szCs w:val="16"/>
                <w:color w:val="auto"/>
              </w:rPr>
              <w:t>Peruvian Government Bonds (i)</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9,323,970</w:t>
            </w:r>
          </w:p>
        </w:tc>
        <w:tc>
          <w:tcPr>
            <w:tcW w:w="1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8,860,624</w:t>
            </w:r>
          </w:p>
        </w:tc>
      </w:tr>
      <w:tr>
        <w:trPr>
          <w:trHeight w:val="187"/>
        </w:trPr>
        <w:tc>
          <w:tcPr>
            <w:tcW w:w="7500" w:type="dxa"/>
            <w:vAlign w:val="bottom"/>
          </w:tcPr>
          <w:p>
            <w:pPr>
              <w:spacing w:after="0"/>
              <w:rPr>
                <w:sz w:val="20"/>
                <w:szCs w:val="20"/>
                <w:color w:val="auto"/>
              </w:rPr>
            </w:pPr>
            <w:r>
              <w:rPr>
                <w:rFonts w:ascii="Arial" w:cs="Arial" w:eastAsia="Arial" w:hAnsi="Arial"/>
                <w:sz w:val="16"/>
                <w:szCs w:val="16"/>
                <w:color w:val="auto"/>
              </w:rPr>
              <w:t>Corporate bonds (i)</w:t>
            </w:r>
          </w:p>
        </w:tc>
        <w:tc>
          <w:tcPr>
            <w:tcW w:w="1040" w:type="dxa"/>
            <w:vAlign w:val="bottom"/>
          </w:tcPr>
          <w:p>
            <w:pPr>
              <w:jc w:val="right"/>
              <w:spacing w:after="0"/>
              <w:rPr>
                <w:sz w:val="20"/>
                <w:szCs w:val="20"/>
                <w:color w:val="auto"/>
              </w:rPr>
            </w:pPr>
            <w:r>
              <w:rPr>
                <w:rFonts w:ascii="Arial" w:cs="Arial" w:eastAsia="Arial" w:hAnsi="Arial"/>
                <w:sz w:val="16"/>
                <w:szCs w:val="16"/>
                <w:color w:val="auto"/>
              </w:rPr>
              <w:t>447,245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447,774</w:t>
            </w:r>
          </w:p>
        </w:tc>
      </w:tr>
      <w:tr>
        <w:trPr>
          <w:trHeight w:val="187"/>
        </w:trPr>
        <w:tc>
          <w:tcPr>
            <w:tcW w:w="7500" w:type="dxa"/>
            <w:vAlign w:val="bottom"/>
          </w:tcPr>
          <w:p>
            <w:pPr>
              <w:spacing w:after="0"/>
              <w:rPr>
                <w:sz w:val="20"/>
                <w:szCs w:val="20"/>
                <w:color w:val="auto"/>
              </w:rPr>
            </w:pPr>
            <w:r>
              <w:rPr>
                <w:rFonts w:ascii="Arial" w:cs="Arial" w:eastAsia="Arial" w:hAnsi="Arial"/>
                <w:sz w:val="16"/>
                <w:szCs w:val="16"/>
                <w:color w:val="auto"/>
              </w:rPr>
              <w:t>Other government bonds (i)</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89,484</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89,482</w:t>
            </w:r>
          </w:p>
        </w:tc>
      </w:tr>
      <w:tr>
        <w:trPr>
          <w:trHeight w:val="187"/>
        </w:trPr>
        <w:tc>
          <w:tcPr>
            <w:tcW w:w="7500" w:type="dxa"/>
            <w:vAlign w:val="bottom"/>
          </w:tcPr>
          <w:p>
            <w:pPr>
              <w:spacing w:after="0"/>
              <w:rPr>
                <w:sz w:val="20"/>
                <w:szCs w:val="20"/>
                <w:color w:val="auto"/>
              </w:rPr>
            </w:pPr>
            <w:r>
              <w:rPr>
                <w:rFonts w:ascii="Arial" w:cs="Arial" w:eastAsia="Arial" w:hAnsi="Arial"/>
                <w:sz w:val="16"/>
                <w:szCs w:val="16"/>
                <w:color w:val="auto"/>
              </w:rPr>
              <w:t>Negotiable certificates of deposits</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55,336</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29,672</w:t>
            </w:r>
          </w:p>
        </w:tc>
      </w:tr>
      <w:tr>
        <w:trPr>
          <w:trHeight w:val="187"/>
        </w:trPr>
        <w:tc>
          <w:tcPr>
            <w:tcW w:w="7500" w:type="dxa"/>
            <w:vAlign w:val="bottom"/>
          </w:tcPr>
          <w:p>
            <w:pPr>
              <w:spacing w:after="0"/>
              <w:rPr>
                <w:sz w:val="20"/>
                <w:szCs w:val="20"/>
                <w:color w:val="auto"/>
              </w:rPr>
            </w:pPr>
            <w:r>
              <w:rPr>
                <w:rFonts w:ascii="Arial" w:cs="Arial" w:eastAsia="Arial" w:hAnsi="Arial"/>
                <w:sz w:val="16"/>
                <w:szCs w:val="16"/>
                <w:color w:val="auto"/>
              </w:rPr>
              <w:t>Subordinated bonds (i)</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29,648</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29,801</w:t>
            </w:r>
          </w:p>
        </w:tc>
      </w:tr>
      <w:tr>
        <w:trPr>
          <w:trHeight w:val="201"/>
        </w:trPr>
        <w:tc>
          <w:tcPr>
            <w:tcW w:w="7500" w:type="dxa"/>
            <w:vAlign w:val="bottom"/>
          </w:tcPr>
          <w:p>
            <w:pPr>
              <w:spacing w:after="0"/>
              <w:rPr>
                <w:sz w:val="20"/>
                <w:szCs w:val="20"/>
                <w:color w:val="auto"/>
              </w:rPr>
            </w:pPr>
            <w:r>
              <w:rPr>
                <w:rFonts w:ascii="Arial" w:cs="Arial" w:eastAsia="Arial" w:hAnsi="Arial"/>
                <w:sz w:val="16"/>
                <w:szCs w:val="16"/>
                <w:color w:val="auto"/>
              </w:rPr>
              <w:t>Certificates of payment on work progress (CRPAO) (ii)</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22,717</w:t>
            </w:r>
          </w:p>
        </w:tc>
        <w:tc>
          <w:tcPr>
            <w:tcW w:w="1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22,433</w:t>
            </w:r>
          </w:p>
        </w:tc>
      </w:tr>
      <w:tr>
        <w:trPr>
          <w:trHeight w:val="164"/>
        </w:trPr>
        <w:tc>
          <w:tcPr>
            <w:tcW w:w="750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20"/>
              <w:spacing w:after="0" w:line="164" w:lineRule="exact"/>
              <w:rPr>
                <w:sz w:val="20"/>
                <w:szCs w:val="20"/>
                <w:color w:val="auto"/>
              </w:rPr>
            </w:pPr>
            <w:r>
              <w:rPr>
                <w:rFonts w:ascii="Arial" w:cs="Arial" w:eastAsia="Arial" w:hAnsi="Arial"/>
                <w:sz w:val="16"/>
                <w:szCs w:val="16"/>
                <w:color w:val="auto"/>
              </w:rPr>
              <w:t>9,968,400</w:t>
            </w:r>
          </w:p>
        </w:tc>
        <w:tc>
          <w:tcPr>
            <w:tcW w:w="160" w:type="dxa"/>
            <w:vAlign w:val="bottom"/>
          </w:tcPr>
          <w:p>
            <w:pPr>
              <w:spacing w:after="0"/>
              <w:rPr>
                <w:sz w:val="14"/>
                <w:szCs w:val="14"/>
                <w:color w:val="auto"/>
              </w:rPr>
            </w:pPr>
          </w:p>
        </w:tc>
        <w:tc>
          <w:tcPr>
            <w:tcW w:w="10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9,479,786</w:t>
            </w:r>
          </w:p>
        </w:tc>
        <w:tc>
          <w:tcPr>
            <w:tcW w:w="20" w:type="dxa"/>
            <w:vAlign w:val="bottom"/>
          </w:tcPr>
          <w:p>
            <w:pPr>
              <w:spacing w:after="0"/>
              <w:rPr>
                <w:sz w:val="14"/>
                <w:szCs w:val="14"/>
                <w:color w:val="auto"/>
              </w:rPr>
            </w:pPr>
          </w:p>
        </w:tc>
      </w:tr>
      <w:tr>
        <w:trPr>
          <w:trHeight w:val="201"/>
        </w:trPr>
        <w:tc>
          <w:tcPr>
            <w:tcW w:w="7500" w:type="dxa"/>
            <w:vAlign w:val="bottom"/>
          </w:tcPr>
          <w:p>
            <w:pPr>
              <w:spacing w:after="0"/>
              <w:rPr>
                <w:sz w:val="20"/>
                <w:szCs w:val="20"/>
                <w:color w:val="auto"/>
              </w:rPr>
            </w:pPr>
            <w:r>
              <w:rPr>
                <w:rFonts w:ascii="Arial" w:cs="Arial" w:eastAsia="Arial" w:hAnsi="Arial"/>
                <w:sz w:val="16"/>
                <w:szCs w:val="16"/>
                <w:color w:val="auto"/>
              </w:rPr>
              <w:t>Accrued interest</w:t>
            </w:r>
          </w:p>
        </w:tc>
        <w:tc>
          <w:tcPr>
            <w:tcW w:w="1040" w:type="dxa"/>
            <w:vAlign w:val="bottom"/>
          </w:tcPr>
          <w:p>
            <w:pPr>
              <w:jc w:val="right"/>
              <w:spacing w:after="0"/>
              <w:rPr>
                <w:sz w:val="20"/>
                <w:szCs w:val="20"/>
                <w:color w:val="auto"/>
              </w:rPr>
            </w:pPr>
            <w:r>
              <w:rPr>
                <w:rFonts w:ascii="Arial" w:cs="Arial" w:eastAsia="Arial" w:hAnsi="Arial"/>
                <w:sz w:val="16"/>
                <w:szCs w:val="16"/>
                <w:color w:val="auto"/>
              </w:rPr>
              <w:t>220,527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220,527</w:t>
            </w:r>
          </w:p>
        </w:tc>
      </w:tr>
      <w:tr>
        <w:trPr>
          <w:trHeight w:val="170"/>
        </w:trPr>
        <w:tc>
          <w:tcPr>
            <w:tcW w:w="7500" w:type="dxa"/>
            <w:vAlign w:val="bottom"/>
          </w:tcPr>
          <w:p>
            <w:pPr>
              <w:spacing w:after="0" w:line="167" w:lineRule="exact"/>
              <w:rPr>
                <w:sz w:val="20"/>
                <w:szCs w:val="20"/>
                <w:color w:val="auto"/>
              </w:rPr>
            </w:pPr>
            <w:r>
              <w:rPr>
                <w:rFonts w:ascii="Arial" w:cs="Arial" w:eastAsia="Arial" w:hAnsi="Arial"/>
                <w:sz w:val="16"/>
                <w:szCs w:val="16"/>
                <w:b w:val="1"/>
                <w:bCs w:val="1"/>
                <w:color w:val="auto"/>
              </w:rPr>
              <w:t>Total investments at amortized cost, net</w:t>
            </w: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10,188,927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9,700,313</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expected loss of investments at amortized cost as of December 31, 2024 and 2023 is S/2.9 million and S/2.3 million, respectively.</w:t>
      </w:r>
    </w:p>
    <w:p>
      <w:pPr>
        <w:spacing w:after="0" w:line="166" w:lineRule="exact"/>
        <w:rPr>
          <w:sz w:val="20"/>
          <w:szCs w:val="20"/>
          <w:color w:val="auto"/>
        </w:rPr>
      </w:pPr>
    </w:p>
    <w:p>
      <w:pPr>
        <w:ind w:left="286" w:hanging="286"/>
        <w:spacing w:after="0" w:line="234" w:lineRule="auto"/>
        <w:tabs>
          <w:tab w:leader="none" w:pos="286" w:val="left"/>
        </w:tabs>
        <w:numPr>
          <w:ilvl w:val="0"/>
          <w:numId w:val="89"/>
        </w:numPr>
        <w:rPr>
          <w:rFonts w:ascii="Arial" w:cs="Arial" w:eastAsia="Arial" w:hAnsi="Arial"/>
          <w:sz w:val="16"/>
          <w:szCs w:val="16"/>
          <w:color w:val="auto"/>
        </w:rPr>
      </w:pPr>
      <w:r>
        <w:rPr>
          <w:rFonts w:ascii="Arial" w:cs="Arial" w:eastAsia="Arial" w:hAnsi="Arial"/>
          <w:sz w:val="16"/>
          <w:szCs w:val="16"/>
          <w:color w:val="auto"/>
        </w:rPr>
        <w:t>As of December 31, 2024, these bonds have maturities between January 2025 and February 2042; and have annual market rates between 4.40 percent and 7.02 percent annually for bonds issued in soles, between 4.32 percent and 15.39 percent for bonds issued in US$ dollars, and between 5.30 percent and 10.40 percent annually for bonds issued in other currencies. As of December 31, 2023, they have maturities between January 2024 and February 2042; and have annual market rates between 5.59 percent and 6.82 percent annually for bonds issued in soles, between 4.53 percent and 21.23 percent for bonds issued in US$ dollars, and between 8.67 percent and 11.53 percent annually for bonds issued in other currencies.</w:t>
      </w:r>
    </w:p>
    <w:p>
      <w:pPr>
        <w:spacing w:after="0" w:line="149" w:lineRule="exact"/>
        <w:rPr>
          <w:rFonts w:ascii="Arial" w:cs="Arial" w:eastAsia="Arial" w:hAnsi="Arial"/>
          <w:sz w:val="16"/>
          <w:szCs w:val="16"/>
          <w:color w:val="auto"/>
        </w:rPr>
      </w:pPr>
    </w:p>
    <w:p>
      <w:pPr>
        <w:ind w:left="286" w:right="60"/>
        <w:spacing w:after="0" w:line="255" w:lineRule="auto"/>
        <w:rPr>
          <w:rFonts w:ascii="Arial" w:cs="Arial" w:eastAsia="Arial" w:hAnsi="Arial"/>
          <w:sz w:val="16"/>
          <w:szCs w:val="16"/>
          <w:color w:val="auto"/>
        </w:rPr>
      </w:pPr>
      <w:r>
        <w:rPr>
          <w:rFonts w:ascii="Arial" w:cs="Arial" w:eastAsia="Arial" w:hAnsi="Arial"/>
          <w:sz w:val="16"/>
          <w:szCs w:val="16"/>
          <w:color w:val="auto"/>
        </w:rPr>
        <w:t>Likewise, Credicorp Management has determined that as of December 31, 2024, the difference between amortized cost and the fair value of these investments is temporary in nature and Credicorp has the intention and ability to hold each of these investments until its maturity.</w:t>
      </w:r>
    </w:p>
    <w:p>
      <w:pPr>
        <w:spacing w:after="0" w:line="134" w:lineRule="exact"/>
        <w:rPr>
          <w:rFonts w:ascii="Arial" w:cs="Arial" w:eastAsia="Arial" w:hAnsi="Arial"/>
          <w:sz w:val="16"/>
          <w:szCs w:val="16"/>
          <w:color w:val="auto"/>
        </w:rPr>
      </w:pPr>
    </w:p>
    <w:p>
      <w:pPr>
        <w:ind w:left="286" w:right="140"/>
        <w:spacing w:after="0" w:line="241" w:lineRule="auto"/>
        <w:rPr>
          <w:rFonts w:ascii="Arial" w:cs="Arial" w:eastAsia="Arial" w:hAnsi="Arial"/>
          <w:sz w:val="16"/>
          <w:szCs w:val="16"/>
          <w:color w:val="auto"/>
        </w:rPr>
      </w:pPr>
      <w:r>
        <w:rPr>
          <w:rFonts w:ascii="Arial" w:cs="Arial" w:eastAsia="Arial" w:hAnsi="Arial"/>
          <w:sz w:val="16"/>
          <w:szCs w:val="16"/>
          <w:color w:val="auto"/>
        </w:rPr>
        <w:t>As of December 31, 2024, the Group has repurchased agreement transactions for investments at amortized cost for a value of S/1,063.4 million (S/2,264.1 million as of December 31, 2023), the related liability for which is presented in the caption “Payables from repurchase agreements and securities lending” in the consolidated statement of financial position, see Note 5(c).</w:t>
      </w:r>
    </w:p>
    <w:p>
      <w:pPr>
        <w:spacing w:after="0" w:line="145" w:lineRule="exact"/>
        <w:rPr>
          <w:rFonts w:ascii="Arial" w:cs="Arial" w:eastAsia="Arial" w:hAnsi="Arial"/>
          <w:sz w:val="16"/>
          <w:szCs w:val="16"/>
          <w:color w:val="auto"/>
        </w:rPr>
      </w:pPr>
    </w:p>
    <w:p>
      <w:pPr>
        <w:ind w:left="286" w:right="40" w:hanging="286"/>
        <w:spacing w:after="0" w:line="236" w:lineRule="auto"/>
        <w:tabs>
          <w:tab w:leader="none" w:pos="286" w:val="left"/>
        </w:tabs>
        <w:numPr>
          <w:ilvl w:val="0"/>
          <w:numId w:val="89"/>
        </w:numPr>
        <w:rPr>
          <w:rFonts w:ascii="Arial" w:cs="Arial" w:eastAsia="Arial" w:hAnsi="Arial"/>
          <w:sz w:val="16"/>
          <w:szCs w:val="16"/>
          <w:color w:val="auto"/>
        </w:rPr>
      </w:pPr>
      <w:r>
        <w:rPr>
          <w:rFonts w:ascii="Arial" w:cs="Arial" w:eastAsia="Arial" w:hAnsi="Arial"/>
          <w:sz w:val="16"/>
          <w:szCs w:val="16"/>
          <w:color w:val="auto"/>
        </w:rPr>
        <w:t>As of December 31, 2024, there are 8 certificates of Annual Recognition of Work Progress Payment - CRPAO (26 CRPAO as of December 31, 2023), issued by the Peruvian State to finance projects and concessions. Said issuance is a mechanism established in the concession contract signed between the State and the concessionaire, which allows the latter to obtain financing to continue with the work undertaken. Said investment matures between January 2025 and April 2026 and have annual market rates between 6.5 percent and 6.8 percent (between January 2024 and April 2026 and have annual market rates between 7.1 percent and 7.8 percent as of December 31, 2023).</w:t>
      </w:r>
    </w:p>
    <w:p>
      <w:pPr>
        <w:spacing w:after="0" w:line="146" w:lineRule="exact"/>
        <w:rPr>
          <w:sz w:val="20"/>
          <w:szCs w:val="20"/>
          <w:color w:val="auto"/>
        </w:rPr>
      </w:pPr>
    </w:p>
    <w:p>
      <w:pPr>
        <w:ind w:left="6" w:right="60"/>
        <w:spacing w:after="0" w:line="269" w:lineRule="auto"/>
        <w:rPr>
          <w:sz w:val="20"/>
          <w:szCs w:val="20"/>
          <w:color w:val="auto"/>
        </w:rPr>
      </w:pPr>
      <w:r>
        <w:rPr>
          <w:rFonts w:ascii="Arial" w:cs="Arial" w:eastAsia="Arial" w:hAnsi="Arial"/>
          <w:sz w:val="14"/>
          <w:szCs w:val="14"/>
          <w:color w:val="auto"/>
        </w:rPr>
        <w:t>In 2024, the Government of the Republic of Peru made a public offer to repurchase certain sovereign bonds to renew its debt and finance the fiscal deficit. Although the SBS in its Resolution No. 7033-2012 establishes that any sale or transfer of investments at maturity obliges financial institutions to reclassify all instruments in this category to investments available for sale, on June 28, 2024, the SBS issued a multiple official letter No. 41264-2024-SBS, authorizing financial institutions to participate in said offer, regardless of the classification category assigned to said instruments; taking into account the purpose of the buyback carried out by the Republic of Peru. In this sense, the Bank participated in securities repurchase and exchange program offered by the Ministry of Economy and Finance on behalf of the Peruvian Government. Through this program sovereign bonds were repurchased for S/1,450.0 million maturing in August 2024 and February 2029. Likewise, sovereign bonds maturing between August 2026 and February 2029 were exchanged for approximately S/780.8 million, and in return, were received sovereign bonds maturing in August 2039 for approximately S/795.4 million. This operation generated a net profit of S/24.5 million that was recognized in in the consolidated statement of income.</w:t>
      </w:r>
    </w:p>
    <w:p>
      <w:pPr>
        <w:spacing w:after="0" w:line="285" w:lineRule="exact"/>
        <w:rPr>
          <w:sz w:val="20"/>
          <w:szCs w:val="20"/>
          <w:color w:val="auto"/>
        </w:rPr>
      </w:pPr>
    </w:p>
    <w:p>
      <w:pPr>
        <w:ind w:left="4686"/>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406"/>
          </w:cols>
          <w:pgMar w:left="1154" w:top="124" w:right="339" w:bottom="1440" w:gutter="0" w:footer="0" w:header="0"/>
        </w:sectPr>
      </w:pPr>
    </w:p>
    <w:bookmarkStart w:id="67" w:name="page68"/>
    <w:bookmarkEnd w:id="67"/>
    <w:p>
      <w:pPr>
        <w:ind w:left="840" w:right="80"/>
        <w:spacing w:after="0" w:line="235" w:lineRule="auto"/>
        <w:rPr>
          <w:sz w:val="20"/>
          <w:szCs w:val="20"/>
          <w:color w:val="auto"/>
        </w:rPr>
      </w:pPr>
      <w:r>
        <w:rPr>
          <w:rFonts w:ascii="Arial" w:cs="Arial" w:eastAsia="Arial" w:hAnsi="Arial"/>
          <w:sz w:val="16"/>
          <w:szCs w:val="16"/>
          <w:color w:val="auto"/>
        </w:rPr>
        <w:t>Likewise, during 2023, the Ministry of Economy and Finance, on behalf of the Peruvian Government, made a public offer to repurchase or exchange sovereign bonds. The SBS issued a multiple official letter No. 28112-2023, authorizing financial institutions to participate in said offer. In this sense, the Bank participated in the securities exchange program, through which it delivered sovereign bonds for S/1,183.6 million maturing between September 2023 and August 2028, which accrued effective interest rates between 5.08 and 6.62 percent; and received in exchange a sovereign bond for S/1,185.8 million maturing in August 2033 and an effective interest rate of 7.16 percent. This exchange generated a loss of S/27.8 million that was recognized in the consolidated statement of income.</w:t>
      </w:r>
    </w:p>
    <w:p>
      <w:pPr>
        <w:spacing w:after="0" w:line="146" w:lineRule="exact"/>
        <w:rPr>
          <w:sz w:val="20"/>
          <w:szCs w:val="20"/>
          <w:color w:val="auto"/>
        </w:rPr>
      </w:pPr>
    </w:p>
    <w:p>
      <w:pPr>
        <w:ind w:left="560"/>
        <w:spacing w:after="0"/>
        <w:tabs>
          <w:tab w:leader="none" w:pos="8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The table below shows the balance of investments classified by maturity, without consider accrued interest or provision for credit loss: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140" w:type="dxa"/>
            <w:vAlign w:val="bottom"/>
          </w:tcPr>
          <w:p>
            <w:pPr>
              <w:spacing w:after="0"/>
              <w:rPr>
                <w:sz w:val="16"/>
                <w:szCs w:val="16"/>
                <w:color w:val="auto"/>
              </w:rPr>
            </w:pPr>
          </w:p>
        </w:tc>
      </w:tr>
      <w:tr>
        <w:trPr>
          <w:trHeight w:val="150"/>
        </w:trPr>
        <w:tc>
          <w:tcPr>
            <w:tcW w:w="5240" w:type="dxa"/>
            <w:vAlign w:val="bottom"/>
          </w:tcPr>
          <w:p>
            <w:pPr>
              <w:spacing w:after="0"/>
              <w:rPr>
                <w:sz w:val="13"/>
                <w:szCs w:val="13"/>
                <w:color w:val="auto"/>
              </w:rPr>
            </w:pPr>
          </w:p>
        </w:tc>
        <w:tc>
          <w:tcPr>
            <w:tcW w:w="1560" w:type="dxa"/>
            <w:vAlign w:val="bottom"/>
            <w:gridSpan w:val="3"/>
          </w:tcPr>
          <w:p>
            <w:pPr>
              <w:spacing w:after="0" w:line="150" w:lineRule="exact"/>
              <w:rPr>
                <w:sz w:val="20"/>
                <w:szCs w:val="20"/>
                <w:color w:val="auto"/>
              </w:rPr>
            </w:pPr>
            <w:r>
              <w:rPr>
                <w:rFonts w:ascii="Arial" w:cs="Arial" w:eastAsia="Arial" w:hAnsi="Arial"/>
                <w:sz w:val="16"/>
                <w:szCs w:val="16"/>
                <w:b w:val="1"/>
                <w:bCs w:val="1"/>
                <w:color w:val="auto"/>
              </w:rPr>
              <w:t>At fair value</w:t>
            </w: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140" w:type="dxa"/>
            <w:vAlign w:val="bottom"/>
          </w:tcPr>
          <w:p>
            <w:pPr>
              <w:spacing w:after="0"/>
              <w:rPr>
                <w:sz w:val="13"/>
                <w:szCs w:val="13"/>
                <w:color w:val="auto"/>
              </w:rPr>
            </w:pPr>
          </w:p>
        </w:tc>
      </w:tr>
      <w:tr>
        <w:trPr>
          <w:trHeight w:val="175"/>
        </w:trPr>
        <w:tc>
          <w:tcPr>
            <w:tcW w:w="5240" w:type="dxa"/>
            <w:vAlign w:val="bottom"/>
          </w:tcPr>
          <w:p>
            <w:pPr>
              <w:spacing w:after="0"/>
              <w:rPr>
                <w:sz w:val="15"/>
                <w:szCs w:val="15"/>
                <w:color w:val="auto"/>
              </w:rPr>
            </w:pPr>
          </w:p>
        </w:tc>
        <w:tc>
          <w:tcPr>
            <w:tcW w:w="15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through other</w:t>
            </w: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75"/>
        </w:trPr>
        <w:tc>
          <w:tcPr>
            <w:tcW w:w="5240" w:type="dxa"/>
            <w:vAlign w:val="bottom"/>
          </w:tcPr>
          <w:p>
            <w:pPr>
              <w:spacing w:after="0"/>
              <w:rPr>
                <w:sz w:val="15"/>
                <w:szCs w:val="15"/>
                <w:color w:val="auto"/>
              </w:rPr>
            </w:pPr>
          </w:p>
        </w:tc>
        <w:tc>
          <w:tcPr>
            <w:tcW w:w="15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comprehensive</w:t>
            </w:r>
          </w:p>
        </w:tc>
        <w:tc>
          <w:tcPr>
            <w:tcW w:w="13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Amortized</w:t>
            </w:r>
          </w:p>
        </w:tc>
        <w:tc>
          <w:tcPr>
            <w:tcW w:w="3140" w:type="dxa"/>
            <w:vAlign w:val="bottom"/>
          </w:tcPr>
          <w:p>
            <w:pPr>
              <w:spacing w:after="0"/>
              <w:rPr>
                <w:sz w:val="15"/>
                <w:szCs w:val="15"/>
                <w:color w:val="auto"/>
              </w:rPr>
            </w:pPr>
          </w:p>
        </w:tc>
      </w:tr>
      <w:tr>
        <w:trPr>
          <w:trHeight w:val="192"/>
        </w:trPr>
        <w:tc>
          <w:tcPr>
            <w:tcW w:w="5240" w:type="dxa"/>
            <w:vAlign w:val="bottom"/>
          </w:tcPr>
          <w:p>
            <w:pPr>
              <w:spacing w:after="0"/>
              <w:rPr>
                <w:sz w:val="16"/>
                <w:szCs w:val="16"/>
                <w:color w:val="auto"/>
              </w:rPr>
            </w:pPr>
          </w:p>
        </w:tc>
        <w:tc>
          <w:tcPr>
            <w:tcW w:w="1560" w:type="dxa"/>
            <w:vAlign w:val="bottom"/>
            <w:gridSpan w:val="3"/>
          </w:tcPr>
          <w:p>
            <w:pPr>
              <w:spacing w:after="0"/>
              <w:rPr>
                <w:sz w:val="20"/>
                <w:szCs w:val="20"/>
                <w:color w:val="auto"/>
              </w:rPr>
            </w:pPr>
            <w:r>
              <w:rPr>
                <w:rFonts w:ascii="Arial" w:cs="Arial" w:eastAsia="Arial" w:hAnsi="Arial"/>
                <w:sz w:val="16"/>
                <w:szCs w:val="16"/>
                <w:b w:val="1"/>
                <w:bCs w:val="1"/>
                <w:color w:val="auto"/>
              </w:rPr>
              <w:t>income</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3140" w:type="dxa"/>
            <w:vAlign w:val="bottom"/>
          </w:tcPr>
          <w:p>
            <w:pPr>
              <w:spacing w:after="0"/>
              <w:rPr>
                <w:sz w:val="16"/>
                <w:szCs w:val="16"/>
                <w:color w:val="auto"/>
              </w:rPr>
            </w:pPr>
          </w:p>
        </w:tc>
      </w:tr>
      <w:tr>
        <w:trPr>
          <w:trHeight w:val="206"/>
        </w:trPr>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3140" w:type="dxa"/>
            <w:vAlign w:val="bottom"/>
          </w:tcPr>
          <w:p>
            <w:pPr>
              <w:spacing w:after="0"/>
              <w:rPr>
                <w:sz w:val="17"/>
                <w:szCs w:val="17"/>
                <w:color w:val="auto"/>
              </w:rPr>
            </w:pPr>
          </w:p>
        </w:tc>
      </w:tr>
      <w:tr>
        <w:trPr>
          <w:trHeight w:val="296"/>
        </w:trPr>
        <w:tc>
          <w:tcPr>
            <w:tcW w:w="5240" w:type="dxa"/>
            <w:vAlign w:val="bottom"/>
          </w:tcPr>
          <w:p>
            <w:pPr>
              <w:ind w:left="840"/>
              <w:spacing w:after="0"/>
              <w:rPr>
                <w:sz w:val="20"/>
                <w:szCs w:val="20"/>
                <w:color w:val="auto"/>
              </w:rPr>
            </w:pPr>
            <w:r>
              <w:rPr>
                <w:rFonts w:ascii="Arial" w:cs="Arial" w:eastAsia="Arial" w:hAnsi="Arial"/>
                <w:sz w:val="16"/>
                <w:szCs w:val="16"/>
                <w:color w:val="auto"/>
              </w:rPr>
              <w:t>Up to 3 months</w:t>
            </w: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4,631,496</w:t>
            </w:r>
          </w:p>
        </w:tc>
        <w:tc>
          <w:tcPr>
            <w:tcW w:w="1320" w:type="dxa"/>
            <w:vAlign w:val="bottom"/>
            <w:gridSpan w:val="2"/>
          </w:tcPr>
          <w:p>
            <w:pPr>
              <w:jc w:val="right"/>
              <w:ind w:right="22"/>
              <w:spacing w:after="0"/>
              <w:rPr>
                <w:sz w:val="20"/>
                <w:szCs w:val="20"/>
                <w:color w:val="auto"/>
              </w:rPr>
            </w:pPr>
            <w:r>
              <w:rPr>
                <w:rFonts w:ascii="Arial" w:cs="Arial" w:eastAsia="Arial" w:hAnsi="Arial"/>
                <w:sz w:val="16"/>
                <w:szCs w:val="16"/>
                <w:color w:val="auto"/>
              </w:rPr>
              <w:t>161,924</w:t>
            </w:r>
          </w:p>
        </w:tc>
        <w:tc>
          <w:tcPr>
            <w:tcW w:w="3140" w:type="dxa"/>
            <w:vAlign w:val="bottom"/>
          </w:tcPr>
          <w:p>
            <w:pPr>
              <w:spacing w:after="0"/>
              <w:rPr>
                <w:sz w:val="24"/>
                <w:szCs w:val="24"/>
                <w:color w:val="auto"/>
              </w:rPr>
            </w:pPr>
          </w:p>
        </w:tc>
      </w:tr>
      <w:tr>
        <w:trPr>
          <w:trHeight w:val="175"/>
        </w:trPr>
        <w:tc>
          <w:tcPr>
            <w:tcW w:w="5240" w:type="dxa"/>
            <w:vAlign w:val="bottom"/>
          </w:tcPr>
          <w:p>
            <w:pPr>
              <w:ind w:left="840"/>
              <w:spacing w:after="0" w:line="175" w:lineRule="exact"/>
              <w:rPr>
                <w:sz w:val="20"/>
                <w:szCs w:val="20"/>
                <w:color w:val="auto"/>
              </w:rPr>
            </w:pPr>
            <w:r>
              <w:rPr>
                <w:rFonts w:ascii="Arial" w:cs="Arial" w:eastAsia="Arial" w:hAnsi="Arial"/>
                <w:sz w:val="16"/>
                <w:szCs w:val="16"/>
                <w:color w:val="auto"/>
              </w:rPr>
              <w:t>From 3 months to 1 year</w:t>
            </w:r>
          </w:p>
        </w:tc>
        <w:tc>
          <w:tcPr>
            <w:tcW w:w="15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8,960,899</w:t>
            </w:r>
          </w:p>
        </w:tc>
        <w:tc>
          <w:tcPr>
            <w:tcW w:w="132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196,986</w:t>
            </w:r>
          </w:p>
        </w:tc>
        <w:tc>
          <w:tcPr>
            <w:tcW w:w="3140" w:type="dxa"/>
            <w:vAlign w:val="bottom"/>
          </w:tcPr>
          <w:p>
            <w:pPr>
              <w:spacing w:after="0"/>
              <w:rPr>
                <w:sz w:val="15"/>
                <w:szCs w:val="15"/>
                <w:color w:val="auto"/>
              </w:rPr>
            </w:pPr>
          </w:p>
        </w:tc>
      </w:tr>
      <w:tr>
        <w:trPr>
          <w:trHeight w:val="175"/>
        </w:trPr>
        <w:tc>
          <w:tcPr>
            <w:tcW w:w="5240" w:type="dxa"/>
            <w:vAlign w:val="bottom"/>
          </w:tcPr>
          <w:p>
            <w:pPr>
              <w:ind w:left="840"/>
              <w:spacing w:after="0" w:line="175" w:lineRule="exact"/>
              <w:rPr>
                <w:sz w:val="20"/>
                <w:szCs w:val="20"/>
                <w:color w:val="auto"/>
              </w:rPr>
            </w:pPr>
            <w:r>
              <w:rPr>
                <w:rFonts w:ascii="Arial" w:cs="Arial" w:eastAsia="Arial" w:hAnsi="Arial"/>
                <w:sz w:val="16"/>
                <w:szCs w:val="16"/>
                <w:color w:val="auto"/>
              </w:rPr>
              <w:t>From 1 to 3 years</w:t>
            </w:r>
          </w:p>
        </w:tc>
        <w:tc>
          <w:tcPr>
            <w:tcW w:w="15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5,259,160</w:t>
            </w:r>
          </w:p>
        </w:tc>
        <w:tc>
          <w:tcPr>
            <w:tcW w:w="132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642,039</w:t>
            </w:r>
          </w:p>
        </w:tc>
        <w:tc>
          <w:tcPr>
            <w:tcW w:w="3140" w:type="dxa"/>
            <w:vAlign w:val="bottom"/>
          </w:tcPr>
          <w:p>
            <w:pPr>
              <w:spacing w:after="0"/>
              <w:rPr>
                <w:sz w:val="15"/>
                <w:szCs w:val="15"/>
                <w:color w:val="auto"/>
              </w:rPr>
            </w:pPr>
          </w:p>
        </w:tc>
      </w:tr>
      <w:tr>
        <w:trPr>
          <w:trHeight w:val="175"/>
        </w:trPr>
        <w:tc>
          <w:tcPr>
            <w:tcW w:w="5240" w:type="dxa"/>
            <w:vAlign w:val="bottom"/>
          </w:tcPr>
          <w:p>
            <w:pPr>
              <w:ind w:left="840"/>
              <w:spacing w:after="0" w:line="175" w:lineRule="exact"/>
              <w:rPr>
                <w:sz w:val="20"/>
                <w:szCs w:val="20"/>
                <w:color w:val="auto"/>
              </w:rPr>
            </w:pPr>
            <w:r>
              <w:rPr>
                <w:rFonts w:ascii="Arial" w:cs="Arial" w:eastAsia="Arial" w:hAnsi="Arial"/>
                <w:sz w:val="16"/>
                <w:szCs w:val="16"/>
                <w:color w:val="auto"/>
              </w:rPr>
              <w:t>From 3 to 5 years</w:t>
            </w:r>
          </w:p>
        </w:tc>
        <w:tc>
          <w:tcPr>
            <w:tcW w:w="15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5,176,129</w:t>
            </w:r>
          </w:p>
        </w:tc>
        <w:tc>
          <w:tcPr>
            <w:tcW w:w="132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2,211,166</w:t>
            </w:r>
          </w:p>
        </w:tc>
        <w:tc>
          <w:tcPr>
            <w:tcW w:w="3140" w:type="dxa"/>
            <w:vAlign w:val="bottom"/>
          </w:tcPr>
          <w:p>
            <w:pPr>
              <w:spacing w:after="0"/>
              <w:rPr>
                <w:sz w:val="15"/>
                <w:szCs w:val="15"/>
                <w:color w:val="auto"/>
              </w:rPr>
            </w:pPr>
          </w:p>
        </w:tc>
      </w:tr>
      <w:tr>
        <w:trPr>
          <w:trHeight w:val="175"/>
        </w:trPr>
        <w:tc>
          <w:tcPr>
            <w:tcW w:w="5240" w:type="dxa"/>
            <w:vAlign w:val="bottom"/>
          </w:tcPr>
          <w:p>
            <w:pPr>
              <w:ind w:left="840"/>
              <w:spacing w:after="0" w:line="175" w:lineRule="exact"/>
              <w:rPr>
                <w:sz w:val="20"/>
                <w:szCs w:val="20"/>
                <w:color w:val="auto"/>
              </w:rPr>
            </w:pPr>
            <w:r>
              <w:rPr>
                <w:rFonts w:ascii="Arial" w:cs="Arial" w:eastAsia="Arial" w:hAnsi="Arial"/>
                <w:sz w:val="16"/>
                <w:szCs w:val="16"/>
                <w:color w:val="auto"/>
              </w:rPr>
              <w:t>More than 5 years</w:t>
            </w:r>
          </w:p>
        </w:tc>
        <w:tc>
          <w:tcPr>
            <w:tcW w:w="15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15,422,394</w:t>
            </w:r>
          </w:p>
        </w:tc>
        <w:tc>
          <w:tcPr>
            <w:tcW w:w="132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5,561,666</w:t>
            </w:r>
          </w:p>
        </w:tc>
        <w:tc>
          <w:tcPr>
            <w:tcW w:w="3140" w:type="dxa"/>
            <w:vAlign w:val="bottom"/>
          </w:tcPr>
          <w:p>
            <w:pPr>
              <w:spacing w:after="0"/>
              <w:rPr>
                <w:sz w:val="15"/>
                <w:szCs w:val="15"/>
                <w:color w:val="auto"/>
              </w:rPr>
            </w:pPr>
          </w:p>
        </w:tc>
      </w:tr>
      <w:tr>
        <w:trPr>
          <w:trHeight w:val="190"/>
        </w:trPr>
        <w:tc>
          <w:tcPr>
            <w:tcW w:w="5240" w:type="dxa"/>
            <w:vAlign w:val="bottom"/>
          </w:tcPr>
          <w:p>
            <w:pPr>
              <w:ind w:left="840"/>
              <w:spacing w:after="0"/>
              <w:rPr>
                <w:sz w:val="20"/>
                <w:szCs w:val="20"/>
                <w:color w:val="auto"/>
              </w:rPr>
            </w:pPr>
            <w:r>
              <w:rPr>
                <w:rFonts w:ascii="Arial" w:cs="Arial" w:eastAsia="Arial" w:hAnsi="Arial"/>
                <w:sz w:val="16"/>
                <w:szCs w:val="16"/>
                <w:color w:val="auto"/>
              </w:rPr>
              <w:t>Without maturity</w:t>
            </w: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147,264</w:t>
            </w:r>
          </w:p>
        </w:tc>
        <w:tc>
          <w:tcPr>
            <w:tcW w:w="2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140" w:type="dxa"/>
            <w:vAlign w:val="bottom"/>
          </w:tcPr>
          <w:p>
            <w:pPr>
              <w:spacing w:after="0"/>
              <w:rPr>
                <w:sz w:val="16"/>
                <w:szCs w:val="16"/>
                <w:color w:val="auto"/>
              </w:rPr>
            </w:pPr>
          </w:p>
        </w:tc>
      </w:tr>
      <w:tr>
        <w:trPr>
          <w:trHeight w:val="170"/>
        </w:trPr>
        <w:tc>
          <w:tcPr>
            <w:tcW w:w="5240" w:type="dxa"/>
            <w:vAlign w:val="bottom"/>
          </w:tcPr>
          <w:p>
            <w:pPr>
              <w:ind w:left="840"/>
              <w:spacing w:after="0" w:line="167"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39,597,342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22"/>
              <w:spacing w:after="0" w:line="167" w:lineRule="exact"/>
              <w:rPr>
                <w:sz w:val="20"/>
                <w:szCs w:val="20"/>
                <w:color w:val="auto"/>
              </w:rPr>
            </w:pPr>
            <w:r>
              <w:rPr>
                <w:rFonts w:ascii="Arial" w:cs="Arial" w:eastAsia="Arial" w:hAnsi="Arial"/>
                <w:sz w:val="16"/>
                <w:szCs w:val="16"/>
                <w:color w:val="auto"/>
              </w:rPr>
              <w:t>8,773,781</w:t>
            </w:r>
          </w:p>
        </w:tc>
        <w:tc>
          <w:tcPr>
            <w:tcW w:w="3140" w:type="dxa"/>
            <w:vAlign w:val="bottom"/>
          </w:tcPr>
          <w:p>
            <w:pPr>
              <w:spacing w:after="0"/>
              <w:rPr>
                <w:sz w:val="14"/>
                <w:szCs w:val="14"/>
                <w:color w:val="auto"/>
              </w:rPr>
            </w:pPr>
          </w:p>
        </w:tc>
      </w:tr>
      <w:tr>
        <w:trPr>
          <w:trHeight w:val="338"/>
        </w:trPr>
        <w:tc>
          <w:tcPr>
            <w:tcW w:w="5240" w:type="dxa"/>
            <w:vAlign w:val="bottom"/>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140" w:type="dxa"/>
            <w:vAlign w:val="bottom"/>
          </w:tcPr>
          <w:p>
            <w:pPr>
              <w:spacing w:after="0"/>
              <w:rPr>
                <w:sz w:val="24"/>
                <w:szCs w:val="24"/>
                <w:color w:val="auto"/>
              </w:rPr>
            </w:pPr>
          </w:p>
        </w:tc>
      </w:tr>
      <w:tr>
        <w:trPr>
          <w:trHeight w:val="150"/>
        </w:trPr>
        <w:tc>
          <w:tcPr>
            <w:tcW w:w="5240" w:type="dxa"/>
            <w:vAlign w:val="bottom"/>
          </w:tcPr>
          <w:p>
            <w:pPr>
              <w:spacing w:after="0"/>
              <w:rPr>
                <w:sz w:val="13"/>
                <w:szCs w:val="13"/>
                <w:color w:val="auto"/>
              </w:rPr>
            </w:pPr>
          </w:p>
        </w:tc>
        <w:tc>
          <w:tcPr>
            <w:tcW w:w="1560" w:type="dxa"/>
            <w:vAlign w:val="bottom"/>
            <w:gridSpan w:val="3"/>
          </w:tcPr>
          <w:p>
            <w:pPr>
              <w:spacing w:after="0" w:line="150" w:lineRule="exact"/>
              <w:rPr>
                <w:sz w:val="20"/>
                <w:szCs w:val="20"/>
                <w:color w:val="auto"/>
              </w:rPr>
            </w:pPr>
            <w:r>
              <w:rPr>
                <w:rFonts w:ascii="Arial" w:cs="Arial" w:eastAsia="Arial" w:hAnsi="Arial"/>
                <w:sz w:val="16"/>
                <w:szCs w:val="16"/>
                <w:b w:val="1"/>
                <w:bCs w:val="1"/>
                <w:color w:val="auto"/>
              </w:rPr>
              <w:t>At fair value</w:t>
            </w: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140" w:type="dxa"/>
            <w:vAlign w:val="bottom"/>
          </w:tcPr>
          <w:p>
            <w:pPr>
              <w:spacing w:after="0"/>
              <w:rPr>
                <w:sz w:val="13"/>
                <w:szCs w:val="13"/>
                <w:color w:val="auto"/>
              </w:rPr>
            </w:pPr>
          </w:p>
        </w:tc>
      </w:tr>
      <w:tr>
        <w:trPr>
          <w:trHeight w:val="175"/>
        </w:trPr>
        <w:tc>
          <w:tcPr>
            <w:tcW w:w="5240" w:type="dxa"/>
            <w:vAlign w:val="bottom"/>
          </w:tcPr>
          <w:p>
            <w:pPr>
              <w:spacing w:after="0"/>
              <w:rPr>
                <w:sz w:val="15"/>
                <w:szCs w:val="15"/>
                <w:color w:val="auto"/>
              </w:rPr>
            </w:pPr>
          </w:p>
        </w:tc>
        <w:tc>
          <w:tcPr>
            <w:tcW w:w="15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through other</w:t>
            </w: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175"/>
        </w:trPr>
        <w:tc>
          <w:tcPr>
            <w:tcW w:w="5240" w:type="dxa"/>
            <w:vAlign w:val="bottom"/>
          </w:tcPr>
          <w:p>
            <w:pPr>
              <w:spacing w:after="0"/>
              <w:rPr>
                <w:sz w:val="15"/>
                <w:szCs w:val="15"/>
                <w:color w:val="auto"/>
              </w:rPr>
            </w:pPr>
          </w:p>
        </w:tc>
        <w:tc>
          <w:tcPr>
            <w:tcW w:w="15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comprehensive</w:t>
            </w:r>
          </w:p>
        </w:tc>
        <w:tc>
          <w:tcPr>
            <w:tcW w:w="13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Amortized</w:t>
            </w:r>
          </w:p>
        </w:tc>
        <w:tc>
          <w:tcPr>
            <w:tcW w:w="3140" w:type="dxa"/>
            <w:vAlign w:val="bottom"/>
          </w:tcPr>
          <w:p>
            <w:pPr>
              <w:spacing w:after="0"/>
              <w:rPr>
                <w:sz w:val="15"/>
                <w:szCs w:val="15"/>
                <w:color w:val="auto"/>
              </w:rPr>
            </w:pPr>
          </w:p>
        </w:tc>
      </w:tr>
      <w:tr>
        <w:trPr>
          <w:trHeight w:val="192"/>
        </w:trPr>
        <w:tc>
          <w:tcPr>
            <w:tcW w:w="5240" w:type="dxa"/>
            <w:vAlign w:val="bottom"/>
          </w:tcPr>
          <w:p>
            <w:pPr>
              <w:spacing w:after="0"/>
              <w:rPr>
                <w:sz w:val="16"/>
                <w:szCs w:val="16"/>
                <w:color w:val="auto"/>
              </w:rPr>
            </w:pPr>
          </w:p>
        </w:tc>
        <w:tc>
          <w:tcPr>
            <w:tcW w:w="1560" w:type="dxa"/>
            <w:vAlign w:val="bottom"/>
            <w:gridSpan w:val="3"/>
          </w:tcPr>
          <w:p>
            <w:pPr>
              <w:spacing w:after="0"/>
              <w:rPr>
                <w:sz w:val="20"/>
                <w:szCs w:val="20"/>
                <w:color w:val="auto"/>
              </w:rPr>
            </w:pPr>
            <w:r>
              <w:rPr>
                <w:rFonts w:ascii="Arial" w:cs="Arial" w:eastAsia="Arial" w:hAnsi="Arial"/>
                <w:sz w:val="16"/>
                <w:szCs w:val="16"/>
                <w:b w:val="1"/>
                <w:bCs w:val="1"/>
                <w:color w:val="auto"/>
              </w:rPr>
              <w:t>income</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cost</w:t>
            </w:r>
          </w:p>
        </w:tc>
        <w:tc>
          <w:tcPr>
            <w:tcW w:w="3140" w:type="dxa"/>
            <w:vAlign w:val="bottom"/>
          </w:tcPr>
          <w:p>
            <w:pPr>
              <w:spacing w:after="0"/>
              <w:rPr>
                <w:sz w:val="16"/>
                <w:szCs w:val="16"/>
                <w:color w:val="auto"/>
              </w:rPr>
            </w:pPr>
          </w:p>
        </w:tc>
      </w:tr>
      <w:tr>
        <w:trPr>
          <w:trHeight w:val="206"/>
        </w:trPr>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3140" w:type="dxa"/>
            <w:vAlign w:val="bottom"/>
          </w:tcPr>
          <w:p>
            <w:pPr>
              <w:spacing w:after="0"/>
              <w:rPr>
                <w:sz w:val="17"/>
                <w:szCs w:val="17"/>
                <w:color w:val="auto"/>
              </w:rPr>
            </w:pPr>
          </w:p>
        </w:tc>
      </w:tr>
      <w:tr>
        <w:trPr>
          <w:trHeight w:val="296"/>
        </w:trPr>
        <w:tc>
          <w:tcPr>
            <w:tcW w:w="5240" w:type="dxa"/>
            <w:vAlign w:val="bottom"/>
          </w:tcPr>
          <w:p>
            <w:pPr>
              <w:ind w:left="840"/>
              <w:spacing w:after="0"/>
              <w:rPr>
                <w:sz w:val="20"/>
                <w:szCs w:val="20"/>
                <w:color w:val="auto"/>
              </w:rPr>
            </w:pPr>
            <w:r>
              <w:rPr>
                <w:rFonts w:ascii="Arial" w:cs="Arial" w:eastAsia="Arial" w:hAnsi="Arial"/>
                <w:sz w:val="16"/>
                <w:szCs w:val="16"/>
                <w:color w:val="auto"/>
              </w:rPr>
              <w:t>Up to 3 months</w:t>
            </w: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5,297,064</w:t>
            </w:r>
          </w:p>
        </w:tc>
        <w:tc>
          <w:tcPr>
            <w:tcW w:w="1320" w:type="dxa"/>
            <w:vAlign w:val="bottom"/>
            <w:gridSpan w:val="2"/>
          </w:tcPr>
          <w:p>
            <w:pPr>
              <w:jc w:val="right"/>
              <w:ind w:right="22"/>
              <w:spacing w:after="0"/>
              <w:rPr>
                <w:sz w:val="20"/>
                <w:szCs w:val="20"/>
                <w:color w:val="auto"/>
              </w:rPr>
            </w:pPr>
            <w:r>
              <w:rPr>
                <w:rFonts w:ascii="Arial" w:cs="Arial" w:eastAsia="Arial" w:hAnsi="Arial"/>
                <w:sz w:val="16"/>
                <w:szCs w:val="16"/>
                <w:color w:val="auto"/>
              </w:rPr>
              <w:t>102,203</w:t>
            </w:r>
          </w:p>
        </w:tc>
        <w:tc>
          <w:tcPr>
            <w:tcW w:w="3140" w:type="dxa"/>
            <w:vAlign w:val="bottom"/>
          </w:tcPr>
          <w:p>
            <w:pPr>
              <w:spacing w:after="0"/>
              <w:rPr>
                <w:sz w:val="24"/>
                <w:szCs w:val="24"/>
                <w:color w:val="auto"/>
              </w:rPr>
            </w:pPr>
          </w:p>
        </w:tc>
      </w:tr>
      <w:tr>
        <w:trPr>
          <w:trHeight w:val="175"/>
        </w:trPr>
        <w:tc>
          <w:tcPr>
            <w:tcW w:w="5240" w:type="dxa"/>
            <w:vAlign w:val="bottom"/>
          </w:tcPr>
          <w:p>
            <w:pPr>
              <w:ind w:left="840"/>
              <w:spacing w:after="0" w:line="175" w:lineRule="exact"/>
              <w:rPr>
                <w:sz w:val="20"/>
                <w:szCs w:val="20"/>
                <w:color w:val="auto"/>
              </w:rPr>
            </w:pPr>
            <w:r>
              <w:rPr>
                <w:rFonts w:ascii="Arial" w:cs="Arial" w:eastAsia="Arial" w:hAnsi="Arial"/>
                <w:sz w:val="16"/>
                <w:szCs w:val="16"/>
                <w:color w:val="auto"/>
              </w:rPr>
              <w:t>From 3 months to 1 year</w:t>
            </w:r>
          </w:p>
        </w:tc>
        <w:tc>
          <w:tcPr>
            <w:tcW w:w="15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7,778,579</w:t>
            </w:r>
          </w:p>
        </w:tc>
        <w:tc>
          <w:tcPr>
            <w:tcW w:w="132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1,309,800</w:t>
            </w:r>
          </w:p>
        </w:tc>
        <w:tc>
          <w:tcPr>
            <w:tcW w:w="3140" w:type="dxa"/>
            <w:vAlign w:val="bottom"/>
          </w:tcPr>
          <w:p>
            <w:pPr>
              <w:spacing w:after="0"/>
              <w:rPr>
                <w:sz w:val="15"/>
                <w:szCs w:val="15"/>
                <w:color w:val="auto"/>
              </w:rPr>
            </w:pPr>
          </w:p>
        </w:tc>
      </w:tr>
      <w:tr>
        <w:trPr>
          <w:trHeight w:val="175"/>
        </w:trPr>
        <w:tc>
          <w:tcPr>
            <w:tcW w:w="5240" w:type="dxa"/>
            <w:vAlign w:val="bottom"/>
          </w:tcPr>
          <w:p>
            <w:pPr>
              <w:ind w:left="840"/>
              <w:spacing w:after="0" w:line="175" w:lineRule="exact"/>
              <w:rPr>
                <w:sz w:val="20"/>
                <w:szCs w:val="20"/>
                <w:color w:val="auto"/>
              </w:rPr>
            </w:pPr>
            <w:r>
              <w:rPr>
                <w:rFonts w:ascii="Arial" w:cs="Arial" w:eastAsia="Arial" w:hAnsi="Arial"/>
                <w:sz w:val="16"/>
                <w:szCs w:val="16"/>
                <w:color w:val="auto"/>
              </w:rPr>
              <w:t>From 1 to 3 years</w:t>
            </w:r>
          </w:p>
        </w:tc>
        <w:tc>
          <w:tcPr>
            <w:tcW w:w="15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5,409,142</w:t>
            </w:r>
          </w:p>
        </w:tc>
        <w:tc>
          <w:tcPr>
            <w:tcW w:w="132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733,057</w:t>
            </w:r>
          </w:p>
        </w:tc>
        <w:tc>
          <w:tcPr>
            <w:tcW w:w="3140" w:type="dxa"/>
            <w:vAlign w:val="bottom"/>
          </w:tcPr>
          <w:p>
            <w:pPr>
              <w:spacing w:after="0"/>
              <w:rPr>
                <w:sz w:val="15"/>
                <w:szCs w:val="15"/>
                <w:color w:val="auto"/>
              </w:rPr>
            </w:pPr>
          </w:p>
        </w:tc>
      </w:tr>
      <w:tr>
        <w:trPr>
          <w:trHeight w:val="175"/>
        </w:trPr>
        <w:tc>
          <w:tcPr>
            <w:tcW w:w="5240" w:type="dxa"/>
            <w:vAlign w:val="bottom"/>
          </w:tcPr>
          <w:p>
            <w:pPr>
              <w:ind w:left="840"/>
              <w:spacing w:after="0" w:line="175" w:lineRule="exact"/>
              <w:rPr>
                <w:sz w:val="20"/>
                <w:szCs w:val="20"/>
                <w:color w:val="auto"/>
              </w:rPr>
            </w:pPr>
            <w:r>
              <w:rPr>
                <w:rFonts w:ascii="Arial" w:cs="Arial" w:eastAsia="Arial" w:hAnsi="Arial"/>
                <w:sz w:val="16"/>
                <w:szCs w:val="16"/>
                <w:color w:val="auto"/>
              </w:rPr>
              <w:t>From 3 to 5 years</w:t>
            </w:r>
          </w:p>
        </w:tc>
        <w:tc>
          <w:tcPr>
            <w:tcW w:w="15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5,378,056</w:t>
            </w:r>
          </w:p>
        </w:tc>
        <w:tc>
          <w:tcPr>
            <w:tcW w:w="132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1,193,767</w:t>
            </w:r>
          </w:p>
        </w:tc>
        <w:tc>
          <w:tcPr>
            <w:tcW w:w="3140" w:type="dxa"/>
            <w:vAlign w:val="bottom"/>
          </w:tcPr>
          <w:p>
            <w:pPr>
              <w:spacing w:after="0"/>
              <w:rPr>
                <w:sz w:val="15"/>
                <w:szCs w:val="15"/>
                <w:color w:val="auto"/>
              </w:rPr>
            </w:pPr>
          </w:p>
        </w:tc>
      </w:tr>
      <w:tr>
        <w:trPr>
          <w:trHeight w:val="175"/>
        </w:trPr>
        <w:tc>
          <w:tcPr>
            <w:tcW w:w="5240" w:type="dxa"/>
            <w:vAlign w:val="bottom"/>
          </w:tcPr>
          <w:p>
            <w:pPr>
              <w:ind w:left="840"/>
              <w:spacing w:after="0" w:line="175" w:lineRule="exact"/>
              <w:rPr>
                <w:sz w:val="20"/>
                <w:szCs w:val="20"/>
                <w:color w:val="auto"/>
              </w:rPr>
            </w:pPr>
            <w:r>
              <w:rPr>
                <w:rFonts w:ascii="Arial" w:cs="Arial" w:eastAsia="Arial" w:hAnsi="Arial"/>
                <w:sz w:val="16"/>
                <w:szCs w:val="16"/>
                <w:color w:val="auto"/>
              </w:rPr>
              <w:t>More than 5 years</w:t>
            </w:r>
          </w:p>
        </w:tc>
        <w:tc>
          <w:tcPr>
            <w:tcW w:w="156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12,372,792</w:t>
            </w:r>
          </w:p>
        </w:tc>
        <w:tc>
          <w:tcPr>
            <w:tcW w:w="132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6,629,573</w:t>
            </w:r>
          </w:p>
        </w:tc>
        <w:tc>
          <w:tcPr>
            <w:tcW w:w="3140" w:type="dxa"/>
            <w:vAlign w:val="bottom"/>
          </w:tcPr>
          <w:p>
            <w:pPr>
              <w:spacing w:after="0"/>
              <w:rPr>
                <w:sz w:val="15"/>
                <w:szCs w:val="15"/>
                <w:color w:val="auto"/>
              </w:rPr>
            </w:pPr>
          </w:p>
        </w:tc>
      </w:tr>
      <w:tr>
        <w:trPr>
          <w:trHeight w:val="190"/>
        </w:trPr>
        <w:tc>
          <w:tcPr>
            <w:tcW w:w="5240" w:type="dxa"/>
            <w:vAlign w:val="bottom"/>
          </w:tcPr>
          <w:p>
            <w:pPr>
              <w:ind w:left="840"/>
              <w:spacing w:after="0"/>
              <w:rPr>
                <w:sz w:val="20"/>
                <w:szCs w:val="20"/>
                <w:color w:val="auto"/>
              </w:rPr>
            </w:pPr>
            <w:r>
              <w:rPr>
                <w:rFonts w:ascii="Arial" w:cs="Arial" w:eastAsia="Arial" w:hAnsi="Arial"/>
                <w:sz w:val="16"/>
                <w:szCs w:val="16"/>
                <w:color w:val="auto"/>
              </w:rPr>
              <w:t>Without maturity</w:t>
            </w: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334,803</w:t>
            </w:r>
          </w:p>
        </w:tc>
        <w:tc>
          <w:tcPr>
            <w:tcW w:w="2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140" w:type="dxa"/>
            <w:vAlign w:val="bottom"/>
          </w:tcPr>
          <w:p>
            <w:pPr>
              <w:spacing w:after="0"/>
              <w:rPr>
                <w:sz w:val="16"/>
                <w:szCs w:val="16"/>
                <w:color w:val="auto"/>
              </w:rPr>
            </w:pPr>
          </w:p>
        </w:tc>
      </w:tr>
      <w:tr>
        <w:trPr>
          <w:trHeight w:val="170"/>
        </w:trPr>
        <w:tc>
          <w:tcPr>
            <w:tcW w:w="5240" w:type="dxa"/>
            <w:vAlign w:val="bottom"/>
          </w:tcPr>
          <w:p>
            <w:pPr>
              <w:ind w:left="840"/>
              <w:spacing w:after="0" w:line="167"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36,570,436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22"/>
              <w:spacing w:after="0" w:line="167" w:lineRule="exact"/>
              <w:rPr>
                <w:sz w:val="20"/>
                <w:szCs w:val="20"/>
                <w:color w:val="auto"/>
              </w:rPr>
            </w:pPr>
            <w:r>
              <w:rPr>
                <w:rFonts w:ascii="Arial" w:cs="Arial" w:eastAsia="Arial" w:hAnsi="Arial"/>
                <w:sz w:val="16"/>
                <w:szCs w:val="16"/>
                <w:color w:val="auto"/>
              </w:rPr>
              <w:t>9,968,400</w:t>
            </w:r>
          </w:p>
        </w:tc>
        <w:tc>
          <w:tcPr>
            <w:tcW w:w="3140" w:type="dxa"/>
            <w:vAlign w:val="bottom"/>
          </w:tcPr>
          <w:p>
            <w:pPr>
              <w:spacing w:after="0"/>
              <w:rPr>
                <w:sz w:val="14"/>
                <w:szCs w:val="14"/>
                <w:color w:val="auto"/>
              </w:rPr>
            </w:pPr>
          </w:p>
        </w:tc>
      </w:tr>
      <w:tr>
        <w:trPr>
          <w:trHeight w:val="472"/>
        </w:trPr>
        <w:tc>
          <w:tcPr>
            <w:tcW w:w="5240" w:type="dxa"/>
            <w:vAlign w:val="bottom"/>
          </w:tcPr>
          <w:p>
            <w:pPr>
              <w:spacing w:after="0"/>
              <w:rPr>
                <w:sz w:val="24"/>
                <w:szCs w:val="24"/>
                <w:color w:val="auto"/>
              </w:rPr>
            </w:pPr>
          </w:p>
        </w:tc>
        <w:tc>
          <w:tcPr>
            <w:tcW w:w="1480" w:type="dxa"/>
            <w:vAlign w:val="bottom"/>
            <w:gridSpan w:val="2"/>
          </w:tcPr>
          <w:p>
            <w:pPr>
              <w:jc w:val="right"/>
              <w:ind w:right="902"/>
              <w:spacing w:after="0"/>
              <w:rPr>
                <w:sz w:val="20"/>
                <w:szCs w:val="20"/>
                <w:color w:val="auto"/>
              </w:rPr>
            </w:pPr>
            <w:r>
              <w:rPr>
                <w:rFonts w:ascii="Arial" w:cs="Arial" w:eastAsia="Arial" w:hAnsi="Arial"/>
                <w:sz w:val="12"/>
                <w:szCs w:val="12"/>
                <w:color w:val="auto"/>
              </w:rPr>
              <w:t>-65-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
        </w:trPr>
        <w:tc>
          <w:tcPr>
            <w:tcW w:w="5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7</w:t>
            </w:r>
          </w:p>
        </w:tc>
        <w:tc>
          <w:tcPr>
            <w:tcW w:w="6160" w:type="dxa"/>
            <w:vAlign w:val="bottom"/>
          </w:tcPr>
          <w:p>
            <w:pPr>
              <w:ind w:left="240"/>
              <w:spacing w:after="0"/>
              <w:rPr>
                <w:sz w:val="20"/>
                <w:szCs w:val="20"/>
                <w:color w:val="auto"/>
              </w:rPr>
            </w:pPr>
            <w:r>
              <w:rPr>
                <w:rFonts w:ascii="Arial" w:cs="Arial" w:eastAsia="Arial" w:hAnsi="Arial"/>
                <w:sz w:val="16"/>
                <w:szCs w:val="16"/>
                <w:b w:val="1"/>
                <w:bCs w:val="1"/>
                <w:color w:val="auto"/>
              </w:rPr>
              <w:t>LOANS, NET</w:t>
            </w: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20" w:type="dxa"/>
            <w:vAlign w:val="bottom"/>
          </w:tcPr>
          <w:p>
            <w:pPr>
              <w:spacing w:after="0"/>
              <w:rPr>
                <w:sz w:val="24"/>
                <w:szCs w:val="24"/>
                <w:color w:val="auto"/>
              </w:rPr>
            </w:pPr>
          </w:p>
        </w:tc>
        <w:tc>
          <w:tcPr>
            <w:tcW w:w="6160" w:type="dxa"/>
            <w:vAlign w:val="bottom"/>
          </w:tcPr>
          <w:p>
            <w:pPr>
              <w:ind w:left="240"/>
              <w:spacing w:after="0"/>
              <w:rPr>
                <w:sz w:val="20"/>
                <w:szCs w:val="20"/>
                <w:color w:val="auto"/>
              </w:rPr>
            </w:pPr>
            <w:r>
              <w:rPr>
                <w:rFonts w:ascii="Arial" w:cs="Arial" w:eastAsia="Arial" w:hAnsi="Arial"/>
                <w:sz w:val="16"/>
                <w:szCs w:val="16"/>
                <w:color w:val="auto"/>
              </w:rPr>
              <w:t>a)  This item consists of the following:</w:t>
            </w: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90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6160" w:type="dxa"/>
            <w:vAlign w:val="bottom"/>
          </w:tcPr>
          <w:p>
            <w:pPr>
              <w:ind w:left="520"/>
              <w:spacing w:after="0"/>
              <w:rPr>
                <w:sz w:val="20"/>
                <w:szCs w:val="20"/>
                <w:color w:val="auto"/>
              </w:rPr>
            </w:pPr>
            <w:r>
              <w:rPr>
                <w:rFonts w:ascii="Arial" w:cs="Arial" w:eastAsia="Arial" w:hAnsi="Arial"/>
                <w:sz w:val="16"/>
                <w:szCs w:val="16"/>
                <w:b w:val="1"/>
                <w:bCs w:val="1"/>
                <w:color w:val="auto"/>
              </w:rPr>
              <w:t>Direct loans -</w:t>
            </w: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Loans</w:t>
            </w:r>
          </w:p>
        </w:tc>
        <w:tc>
          <w:tcPr>
            <w:tcW w:w="2900" w:type="dxa"/>
            <w:vAlign w:val="bottom"/>
            <w:gridSpan w:val="2"/>
          </w:tcPr>
          <w:p>
            <w:pPr>
              <w:jc w:val="right"/>
              <w:spacing w:after="0"/>
              <w:rPr>
                <w:sz w:val="20"/>
                <w:szCs w:val="20"/>
                <w:color w:val="auto"/>
              </w:rPr>
            </w:pPr>
            <w:r>
              <w:rPr>
                <w:rFonts w:ascii="Arial" w:cs="Arial" w:eastAsia="Arial" w:hAnsi="Arial"/>
                <w:sz w:val="16"/>
                <w:szCs w:val="16"/>
                <w:color w:val="auto"/>
              </w:rPr>
              <w:t>118,396,820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115,170,158</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Credit cards</w:t>
            </w:r>
          </w:p>
        </w:tc>
        <w:tc>
          <w:tcPr>
            <w:tcW w:w="2900" w:type="dxa"/>
            <w:vAlign w:val="bottom"/>
            <w:gridSpan w:val="2"/>
          </w:tcPr>
          <w:p>
            <w:pPr>
              <w:jc w:val="right"/>
              <w:spacing w:after="0"/>
              <w:rPr>
                <w:sz w:val="20"/>
                <w:szCs w:val="20"/>
                <w:color w:val="auto"/>
              </w:rPr>
            </w:pPr>
            <w:r>
              <w:rPr>
                <w:rFonts w:ascii="Arial" w:cs="Arial" w:eastAsia="Arial" w:hAnsi="Arial"/>
                <w:sz w:val="16"/>
                <w:szCs w:val="16"/>
                <w:color w:val="auto"/>
              </w:rPr>
              <w:t>6,223,711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7,112,268</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Leasing receivables</w:t>
            </w:r>
          </w:p>
        </w:tc>
        <w:tc>
          <w:tcPr>
            <w:tcW w:w="2920" w:type="dxa"/>
            <w:vAlign w:val="bottom"/>
            <w:gridSpan w:val="3"/>
          </w:tcPr>
          <w:p>
            <w:pPr>
              <w:jc w:val="right"/>
              <w:ind w:right="20"/>
              <w:spacing w:after="0"/>
              <w:rPr>
                <w:sz w:val="20"/>
                <w:szCs w:val="20"/>
                <w:color w:val="auto"/>
              </w:rPr>
            </w:pPr>
            <w:r>
              <w:rPr>
                <w:rFonts w:ascii="Arial" w:cs="Arial" w:eastAsia="Arial" w:hAnsi="Arial"/>
                <w:sz w:val="16"/>
                <w:szCs w:val="16"/>
                <w:color w:val="auto"/>
              </w:rPr>
              <w:t>5,260,182</w:t>
            </w:r>
          </w:p>
        </w:tc>
        <w:tc>
          <w:tcPr>
            <w:tcW w:w="16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5,735,973</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Discounted notes</w:t>
            </w:r>
          </w:p>
        </w:tc>
        <w:tc>
          <w:tcPr>
            <w:tcW w:w="2920" w:type="dxa"/>
            <w:vAlign w:val="bottom"/>
            <w:gridSpan w:val="3"/>
          </w:tcPr>
          <w:p>
            <w:pPr>
              <w:jc w:val="right"/>
              <w:ind w:right="20"/>
              <w:spacing w:after="0"/>
              <w:rPr>
                <w:sz w:val="20"/>
                <w:szCs w:val="20"/>
                <w:color w:val="auto"/>
              </w:rPr>
            </w:pPr>
            <w:r>
              <w:rPr>
                <w:rFonts w:ascii="Arial" w:cs="Arial" w:eastAsia="Arial" w:hAnsi="Arial"/>
                <w:sz w:val="16"/>
                <w:szCs w:val="16"/>
                <w:color w:val="auto"/>
              </w:rPr>
              <w:t>3,391,576</w:t>
            </w:r>
          </w:p>
        </w:tc>
        <w:tc>
          <w:tcPr>
            <w:tcW w:w="16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3,170,887</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Factoring receivables</w:t>
            </w:r>
          </w:p>
        </w:tc>
        <w:tc>
          <w:tcPr>
            <w:tcW w:w="2920" w:type="dxa"/>
            <w:vAlign w:val="bottom"/>
            <w:gridSpan w:val="3"/>
          </w:tcPr>
          <w:p>
            <w:pPr>
              <w:jc w:val="right"/>
              <w:ind w:right="20"/>
              <w:spacing w:after="0"/>
              <w:rPr>
                <w:sz w:val="20"/>
                <w:szCs w:val="20"/>
                <w:color w:val="auto"/>
              </w:rPr>
            </w:pPr>
            <w:r>
              <w:rPr>
                <w:rFonts w:ascii="Arial" w:cs="Arial" w:eastAsia="Arial" w:hAnsi="Arial"/>
                <w:sz w:val="16"/>
                <w:szCs w:val="16"/>
                <w:color w:val="auto"/>
              </w:rPr>
              <w:t>3,243,531</w:t>
            </w:r>
          </w:p>
        </w:tc>
        <w:tc>
          <w:tcPr>
            <w:tcW w:w="16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3,431,323</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Advances and overdrafts in current account</w:t>
            </w:r>
          </w:p>
        </w:tc>
        <w:tc>
          <w:tcPr>
            <w:tcW w:w="2900" w:type="dxa"/>
            <w:vAlign w:val="bottom"/>
            <w:gridSpan w:val="2"/>
          </w:tcPr>
          <w:p>
            <w:pPr>
              <w:jc w:val="right"/>
              <w:spacing w:after="0"/>
              <w:rPr>
                <w:sz w:val="20"/>
                <w:szCs w:val="20"/>
                <w:color w:val="auto"/>
              </w:rPr>
            </w:pPr>
            <w:r>
              <w:rPr>
                <w:rFonts w:ascii="Arial" w:cs="Arial" w:eastAsia="Arial" w:hAnsi="Arial"/>
                <w:sz w:val="16"/>
                <w:szCs w:val="16"/>
                <w:color w:val="auto"/>
              </w:rPr>
              <w:t>132,231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321,962</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Refinanced loans</w:t>
            </w:r>
          </w:p>
        </w:tc>
        <w:tc>
          <w:tcPr>
            <w:tcW w:w="2920" w:type="dxa"/>
            <w:vAlign w:val="bottom"/>
            <w:gridSpan w:val="3"/>
          </w:tcPr>
          <w:p>
            <w:pPr>
              <w:jc w:val="right"/>
              <w:ind w:right="20"/>
              <w:spacing w:after="0"/>
              <w:rPr>
                <w:sz w:val="20"/>
                <w:szCs w:val="20"/>
                <w:color w:val="auto"/>
              </w:rPr>
            </w:pPr>
            <w:r>
              <w:rPr>
                <w:rFonts w:ascii="Arial" w:cs="Arial" w:eastAsia="Arial" w:hAnsi="Arial"/>
                <w:sz w:val="16"/>
                <w:szCs w:val="16"/>
                <w:color w:val="auto"/>
              </w:rPr>
              <w:t>2,241,062</w:t>
            </w:r>
          </w:p>
        </w:tc>
        <w:tc>
          <w:tcPr>
            <w:tcW w:w="1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2,407,516</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160" w:type="dxa"/>
            <w:vAlign w:val="bottom"/>
          </w:tcPr>
          <w:p>
            <w:pPr>
              <w:ind w:left="520"/>
              <w:spacing w:after="0"/>
              <w:rPr>
                <w:sz w:val="20"/>
                <w:szCs w:val="20"/>
                <w:color w:val="auto"/>
              </w:rPr>
            </w:pPr>
            <w:r>
              <w:rPr>
                <w:rFonts w:ascii="Arial" w:cs="Arial" w:eastAsia="Arial" w:hAnsi="Arial"/>
                <w:sz w:val="16"/>
                <w:szCs w:val="16"/>
                <w:b w:val="1"/>
                <w:bCs w:val="1"/>
                <w:color w:val="auto"/>
              </w:rPr>
              <w:t>Total direct loans</w:t>
            </w:r>
          </w:p>
        </w:tc>
        <w:tc>
          <w:tcPr>
            <w:tcW w:w="186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138,889,113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137,350,087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320" w:type="dxa"/>
            <w:vAlign w:val="bottom"/>
          </w:tcPr>
          <w:p>
            <w:pPr>
              <w:spacing w:after="0"/>
              <w:rPr>
                <w:sz w:val="24"/>
                <w:szCs w:val="24"/>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Internal overdue loans and under legal collection loans</w:t>
            </w:r>
          </w:p>
        </w:tc>
        <w:tc>
          <w:tcPr>
            <w:tcW w:w="2920" w:type="dxa"/>
            <w:vAlign w:val="bottom"/>
            <w:gridSpan w:val="3"/>
          </w:tcPr>
          <w:p>
            <w:pPr>
              <w:jc w:val="right"/>
              <w:ind w:right="20"/>
              <w:spacing w:after="0"/>
              <w:rPr>
                <w:sz w:val="20"/>
                <w:szCs w:val="20"/>
                <w:color w:val="auto"/>
              </w:rPr>
            </w:pPr>
            <w:r>
              <w:rPr>
                <w:rFonts w:ascii="Arial" w:cs="Arial" w:eastAsia="Arial" w:hAnsi="Arial"/>
                <w:sz w:val="16"/>
                <w:szCs w:val="16"/>
                <w:color w:val="auto"/>
              </w:rPr>
              <w:t>5,430,132</w:t>
            </w:r>
          </w:p>
        </w:tc>
        <w:tc>
          <w:tcPr>
            <w:tcW w:w="1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6,133,167</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16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Add (less) -</w:t>
            </w:r>
          </w:p>
        </w:tc>
        <w:tc>
          <w:tcPr>
            <w:tcW w:w="186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144,319,245</w:t>
            </w: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143,483,254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1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Accrued interest</w:t>
            </w:r>
          </w:p>
        </w:tc>
        <w:tc>
          <w:tcPr>
            <w:tcW w:w="2920" w:type="dxa"/>
            <w:vAlign w:val="bottom"/>
            <w:gridSpan w:val="3"/>
          </w:tcPr>
          <w:p>
            <w:pPr>
              <w:jc w:val="right"/>
              <w:ind w:right="20"/>
              <w:spacing w:after="0"/>
              <w:rPr>
                <w:sz w:val="20"/>
                <w:szCs w:val="20"/>
                <w:color w:val="auto"/>
              </w:rPr>
            </w:pPr>
            <w:r>
              <w:rPr>
                <w:rFonts w:ascii="Arial" w:cs="Arial" w:eastAsia="Arial" w:hAnsi="Arial"/>
                <w:sz w:val="16"/>
                <w:szCs w:val="16"/>
                <w:color w:val="auto"/>
              </w:rPr>
              <w:t>1,413,028</w:t>
            </w:r>
          </w:p>
        </w:tc>
        <w:tc>
          <w:tcPr>
            <w:tcW w:w="1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1,492,797</w:t>
            </w:r>
          </w:p>
        </w:tc>
        <w:tc>
          <w:tcPr>
            <w:tcW w:w="0" w:type="dxa"/>
            <w:vAlign w:val="bottom"/>
          </w:tcPr>
          <w:p>
            <w:pPr>
              <w:spacing w:after="0"/>
              <w:rPr>
                <w:sz w:val="1"/>
                <w:szCs w:val="1"/>
                <w:color w:val="auto"/>
              </w:rPr>
            </w:pPr>
          </w:p>
        </w:tc>
      </w:tr>
      <w:tr>
        <w:trPr>
          <w:trHeight w:val="164"/>
        </w:trPr>
        <w:tc>
          <w:tcPr>
            <w:tcW w:w="320" w:type="dxa"/>
            <w:vAlign w:val="bottom"/>
          </w:tcPr>
          <w:p>
            <w:pPr>
              <w:spacing w:after="0"/>
              <w:rPr>
                <w:sz w:val="14"/>
                <w:szCs w:val="14"/>
                <w:color w:val="auto"/>
              </w:rPr>
            </w:pPr>
          </w:p>
        </w:tc>
        <w:tc>
          <w:tcPr>
            <w:tcW w:w="6160" w:type="dxa"/>
            <w:vAlign w:val="bottom"/>
          </w:tcPr>
          <w:p>
            <w:pPr>
              <w:ind w:left="520"/>
              <w:spacing w:after="0" w:line="164" w:lineRule="exact"/>
              <w:rPr>
                <w:sz w:val="20"/>
                <w:szCs w:val="20"/>
                <w:color w:val="auto"/>
              </w:rPr>
            </w:pPr>
            <w:r>
              <w:rPr>
                <w:rFonts w:ascii="Arial" w:cs="Arial" w:eastAsia="Arial" w:hAnsi="Arial"/>
                <w:sz w:val="16"/>
                <w:szCs w:val="16"/>
                <w:color w:val="auto"/>
              </w:rPr>
              <w:t>Total direct loans</w:t>
            </w:r>
          </w:p>
        </w:tc>
        <w:tc>
          <w:tcPr>
            <w:tcW w:w="186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20"/>
              <w:spacing w:after="0" w:line="164" w:lineRule="exact"/>
              <w:rPr>
                <w:sz w:val="20"/>
                <w:szCs w:val="20"/>
                <w:color w:val="auto"/>
              </w:rPr>
            </w:pPr>
            <w:r>
              <w:rPr>
                <w:rFonts w:ascii="Arial" w:cs="Arial" w:eastAsia="Arial" w:hAnsi="Arial"/>
                <w:sz w:val="16"/>
                <w:szCs w:val="16"/>
                <w:color w:val="auto"/>
              </w:rPr>
              <w:t>145,732,273</w:t>
            </w:r>
          </w:p>
        </w:tc>
        <w:tc>
          <w:tcPr>
            <w:tcW w:w="160" w:type="dxa"/>
            <w:vAlign w:val="bottom"/>
          </w:tcPr>
          <w:p>
            <w:pPr>
              <w:spacing w:after="0"/>
              <w:rPr>
                <w:sz w:val="14"/>
                <w:szCs w:val="14"/>
                <w:color w:val="auto"/>
              </w:rPr>
            </w:pPr>
          </w:p>
        </w:tc>
        <w:tc>
          <w:tcPr>
            <w:tcW w:w="10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144,976,051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6160" w:type="dxa"/>
            <w:vAlign w:val="bottom"/>
          </w:tcPr>
          <w:p>
            <w:pPr>
              <w:ind w:left="520"/>
              <w:spacing w:after="0"/>
              <w:rPr>
                <w:sz w:val="20"/>
                <w:szCs w:val="20"/>
                <w:color w:val="auto"/>
              </w:rPr>
            </w:pPr>
            <w:r>
              <w:rPr>
                <w:rFonts w:ascii="Arial" w:cs="Arial" w:eastAsia="Arial" w:hAnsi="Arial"/>
                <w:sz w:val="16"/>
                <w:szCs w:val="16"/>
                <w:color w:val="auto"/>
              </w:rPr>
              <w:t>Allowance for direct loan losses, Note 30.1(c)</w:t>
            </w:r>
          </w:p>
        </w:tc>
        <w:tc>
          <w:tcPr>
            <w:tcW w:w="3080" w:type="dxa"/>
            <w:vAlign w:val="bottom"/>
            <w:gridSpan w:val="4"/>
          </w:tcPr>
          <w:p>
            <w:pPr>
              <w:jc w:val="right"/>
              <w:ind w:right="140"/>
              <w:spacing w:after="0"/>
              <w:rPr>
                <w:sz w:val="20"/>
                <w:szCs w:val="20"/>
                <w:color w:val="auto"/>
              </w:rPr>
            </w:pPr>
            <w:r>
              <w:rPr>
                <w:rFonts w:ascii="Arial" w:cs="Arial" w:eastAsia="Arial" w:hAnsi="Arial"/>
                <w:sz w:val="16"/>
                <w:szCs w:val="16"/>
                <w:color w:val="auto"/>
              </w:rPr>
              <w:t>(7,994,977)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(8,277,916)</w:t>
            </w: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6160" w:type="dxa"/>
            <w:vAlign w:val="bottom"/>
          </w:tcPr>
          <w:p>
            <w:pPr>
              <w:ind w:left="520"/>
              <w:spacing w:after="0" w:line="167" w:lineRule="exact"/>
              <w:rPr>
                <w:sz w:val="20"/>
                <w:szCs w:val="20"/>
                <w:color w:val="auto"/>
              </w:rPr>
            </w:pPr>
            <w:r>
              <w:rPr>
                <w:rFonts w:ascii="Arial" w:cs="Arial" w:eastAsia="Arial" w:hAnsi="Arial"/>
                <w:sz w:val="16"/>
                <w:szCs w:val="16"/>
                <w:b w:val="1"/>
                <w:bCs w:val="1"/>
                <w:color w:val="auto"/>
              </w:rPr>
              <w:t>Total direct loans, net</w:t>
            </w:r>
          </w:p>
        </w:tc>
        <w:tc>
          <w:tcPr>
            <w:tcW w:w="1860" w:type="dxa"/>
            <w:vAlign w:val="bottom"/>
          </w:tcPr>
          <w:p>
            <w:pPr>
              <w:spacing w:after="0"/>
              <w:rPr>
                <w:sz w:val="14"/>
                <w:szCs w:val="14"/>
                <w:color w:val="auto"/>
              </w:rPr>
            </w:pPr>
          </w:p>
        </w:tc>
        <w:tc>
          <w:tcPr>
            <w:tcW w:w="106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137,737,296</w:t>
            </w: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136,698,135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40" w:right="40"/>
        <w:spacing w:after="0" w:line="326" w:lineRule="auto"/>
        <w:rPr>
          <w:sz w:val="20"/>
          <w:szCs w:val="20"/>
          <w:color w:val="auto"/>
        </w:rPr>
      </w:pPr>
      <w:r>
        <w:rPr>
          <w:rFonts w:ascii="Arial" w:cs="Arial" w:eastAsia="Arial" w:hAnsi="Arial"/>
          <w:sz w:val="14"/>
          <w:szCs w:val="14"/>
          <w:color w:val="auto"/>
        </w:rPr>
        <w:t>The Bank has participated in the Reactiva Perú I and II Program (liquidity program launched by the Peruvian Government in 2020, aimed at providing a quick and effective response to the liquidity needs that companies faced due to the impact of COVID-19 and ensure continuity in the payment chain).</w:t>
      </w:r>
    </w:p>
    <w:p>
      <w:pPr>
        <w:spacing w:after="0" w:line="88" w:lineRule="exact"/>
        <w:rPr>
          <w:sz w:val="20"/>
          <w:szCs w:val="20"/>
          <w:color w:val="auto"/>
        </w:rPr>
      </w:pPr>
    </w:p>
    <w:p>
      <w:pPr>
        <w:jc w:val="both"/>
        <w:ind w:left="840" w:right="160"/>
        <w:spacing w:after="0" w:line="293" w:lineRule="auto"/>
        <w:rPr>
          <w:sz w:val="20"/>
          <w:szCs w:val="20"/>
          <w:color w:val="auto"/>
        </w:rPr>
      </w:pPr>
      <w:r>
        <w:rPr>
          <w:rFonts w:ascii="Arial" w:cs="Arial" w:eastAsia="Arial" w:hAnsi="Arial"/>
          <w:sz w:val="14"/>
          <w:szCs w:val="14"/>
          <w:color w:val="auto"/>
        </w:rPr>
        <w:t>As of December 31, 2024, direct loans of the Reactiva Peru program amount to S/877.3 million and the loans of FAE-MYPE program amount to S/3.5 million and S/2.1 million for FAE-MYPE 1 and FAE-MYPE 2, respectively. As of December 2023, the direct loans of Reactiva Peru program amounted to S/2,877.2 million and the loans of FAE-MYPE program to S/3.6 million and S/10.1 million for FAE-MYPE 1 and FAE-MYPE 2, respectively.</w:t>
      </w:r>
    </w:p>
    <w:p>
      <w:pPr>
        <w:spacing w:after="0" w:line="111" w:lineRule="exact"/>
        <w:rPr>
          <w:sz w:val="20"/>
          <w:szCs w:val="20"/>
          <w:color w:val="auto"/>
        </w:rPr>
      </w:pPr>
    </w:p>
    <w:p>
      <w:pPr>
        <w:ind w:left="560"/>
        <w:spacing w:after="0"/>
        <w:tabs>
          <w:tab w:leader="none" w:pos="82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As of December 31, 2024, and 2023, the composition of the gross credit balance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462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640" w:type="dxa"/>
            <w:vAlign w:val="bottom"/>
          </w:tcPr>
          <w:p>
            <w:pPr>
              <w:spacing w:after="0"/>
              <w:rPr>
                <w:sz w:val="16"/>
                <w:szCs w:val="16"/>
                <w:color w:val="auto"/>
              </w:rPr>
            </w:pPr>
          </w:p>
        </w:tc>
      </w:tr>
      <w:tr>
        <w:trPr>
          <w:trHeight w:val="206"/>
        </w:trPr>
        <w:tc>
          <w:tcPr>
            <w:tcW w:w="47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r>
      <w:tr>
        <w:trPr>
          <w:trHeight w:val="471"/>
        </w:trPr>
        <w:tc>
          <w:tcPr>
            <w:tcW w:w="4760" w:type="dxa"/>
            <w:vAlign w:val="bottom"/>
          </w:tcPr>
          <w:p>
            <w:pPr>
              <w:ind w:left="840"/>
              <w:spacing w:after="0"/>
              <w:rPr>
                <w:sz w:val="20"/>
                <w:szCs w:val="20"/>
                <w:color w:val="auto"/>
              </w:rPr>
            </w:pPr>
            <w:r>
              <w:rPr>
                <w:rFonts w:ascii="Arial" w:cs="Arial" w:eastAsia="Arial" w:hAnsi="Arial"/>
                <w:sz w:val="16"/>
                <w:szCs w:val="16"/>
                <w:color w:val="auto"/>
              </w:rPr>
              <w:t>Direct loans, Note 7(a)</w:t>
            </w:r>
          </w:p>
        </w:tc>
        <w:tc>
          <w:tcPr>
            <w:tcW w:w="4800" w:type="dxa"/>
            <w:vAlign w:val="bottom"/>
            <w:gridSpan w:val="3"/>
          </w:tcPr>
          <w:p>
            <w:pPr>
              <w:jc w:val="right"/>
              <w:ind w:right="180"/>
              <w:spacing w:after="0"/>
              <w:rPr>
                <w:sz w:val="20"/>
                <w:szCs w:val="20"/>
                <w:color w:val="auto"/>
              </w:rPr>
            </w:pPr>
            <w:r>
              <w:rPr>
                <w:rFonts w:ascii="Arial" w:cs="Arial" w:eastAsia="Arial" w:hAnsi="Arial"/>
                <w:sz w:val="16"/>
                <w:szCs w:val="16"/>
                <w:color w:val="auto"/>
              </w:rPr>
              <w:t>144,319,245</w:t>
            </w: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143,483,254</w:t>
            </w:r>
          </w:p>
        </w:tc>
      </w:tr>
      <w:tr>
        <w:trPr>
          <w:trHeight w:val="175"/>
        </w:trPr>
        <w:tc>
          <w:tcPr>
            <w:tcW w:w="4760" w:type="dxa"/>
            <w:vAlign w:val="bottom"/>
          </w:tcPr>
          <w:p>
            <w:pPr>
              <w:ind w:left="840"/>
              <w:spacing w:after="0" w:line="175" w:lineRule="exact"/>
              <w:rPr>
                <w:sz w:val="20"/>
                <w:szCs w:val="20"/>
                <w:color w:val="auto"/>
              </w:rPr>
            </w:pPr>
            <w:r>
              <w:rPr>
                <w:rFonts w:ascii="Arial" w:cs="Arial" w:eastAsia="Arial" w:hAnsi="Arial"/>
                <w:sz w:val="16"/>
                <w:szCs w:val="16"/>
                <w:color w:val="auto"/>
              </w:rPr>
              <w:t>Indirect loans, Note 18(a)</w:t>
            </w:r>
          </w:p>
        </w:tc>
        <w:tc>
          <w:tcPr>
            <w:tcW w:w="4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22,139,321</w:t>
            </w:r>
          </w:p>
        </w:tc>
        <w:tc>
          <w:tcPr>
            <w:tcW w:w="1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20,051,615</w:t>
            </w:r>
          </w:p>
        </w:tc>
        <w:tc>
          <w:tcPr>
            <w:tcW w:w="640" w:type="dxa"/>
            <w:vAlign w:val="bottom"/>
          </w:tcPr>
          <w:p>
            <w:pPr>
              <w:spacing w:after="0"/>
              <w:rPr>
                <w:sz w:val="15"/>
                <w:szCs w:val="15"/>
                <w:color w:val="auto"/>
              </w:rPr>
            </w:pPr>
          </w:p>
        </w:tc>
      </w:tr>
      <w:tr>
        <w:trPr>
          <w:trHeight w:val="190"/>
        </w:trPr>
        <w:tc>
          <w:tcPr>
            <w:tcW w:w="4760" w:type="dxa"/>
            <w:vAlign w:val="bottom"/>
          </w:tcPr>
          <w:p>
            <w:pPr>
              <w:ind w:left="840"/>
              <w:spacing w:after="0"/>
              <w:rPr>
                <w:sz w:val="20"/>
                <w:szCs w:val="20"/>
                <w:color w:val="auto"/>
              </w:rPr>
            </w:pPr>
            <w:r>
              <w:rPr>
                <w:rFonts w:ascii="Arial" w:cs="Arial" w:eastAsia="Arial" w:hAnsi="Arial"/>
                <w:sz w:val="16"/>
                <w:szCs w:val="16"/>
                <w:color w:val="auto"/>
              </w:rPr>
              <w:t>Due from customers on banker’s acceptances</w:t>
            </w:r>
          </w:p>
        </w:tc>
        <w:tc>
          <w:tcPr>
            <w:tcW w:w="4620" w:type="dxa"/>
            <w:vAlign w:val="bottom"/>
            <w:gridSpan w:val="2"/>
          </w:tcPr>
          <w:p>
            <w:pPr>
              <w:jc w:val="right"/>
              <w:spacing w:after="0"/>
              <w:rPr>
                <w:sz w:val="20"/>
                <w:szCs w:val="20"/>
                <w:color w:val="auto"/>
              </w:rPr>
            </w:pPr>
            <w:r>
              <w:rPr>
                <w:rFonts w:ascii="Arial" w:cs="Arial" w:eastAsia="Arial" w:hAnsi="Arial"/>
                <w:sz w:val="16"/>
                <w:szCs w:val="16"/>
                <w:color w:val="auto"/>
              </w:rPr>
              <w:t>528,184</w:t>
            </w:r>
          </w:p>
        </w:tc>
        <w:tc>
          <w:tcPr>
            <w:tcW w:w="18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412,401</w:t>
            </w:r>
          </w:p>
        </w:tc>
      </w:tr>
      <w:tr>
        <w:trPr>
          <w:trHeight w:val="170"/>
        </w:trPr>
        <w:tc>
          <w:tcPr>
            <w:tcW w:w="4760" w:type="dxa"/>
            <w:vAlign w:val="bottom"/>
          </w:tcPr>
          <w:p>
            <w:pPr>
              <w:ind w:left="840"/>
              <w:spacing w:after="0" w:line="167" w:lineRule="exact"/>
              <w:rPr>
                <w:sz w:val="20"/>
                <w:szCs w:val="20"/>
                <w:color w:val="auto"/>
              </w:rPr>
            </w:pPr>
            <w:r>
              <w:rPr>
                <w:rFonts w:ascii="Arial" w:cs="Arial" w:eastAsia="Arial" w:hAnsi="Arial"/>
                <w:sz w:val="16"/>
                <w:szCs w:val="16"/>
                <w:b w:val="1"/>
                <w:bCs w:val="1"/>
                <w:color w:val="auto"/>
              </w:rPr>
              <w:t>Total</w:t>
            </w:r>
          </w:p>
        </w:tc>
        <w:tc>
          <w:tcPr>
            <w:tcW w:w="35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166,986,750</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163,947,270</w:t>
            </w:r>
          </w:p>
        </w:tc>
        <w:tc>
          <w:tcPr>
            <w:tcW w:w="640" w:type="dxa"/>
            <w:vAlign w:val="bottom"/>
          </w:tcPr>
          <w:p>
            <w:pPr>
              <w:spacing w:after="0"/>
              <w:rPr>
                <w:sz w:val="14"/>
                <w:szCs w:val="14"/>
                <w:color w:val="auto"/>
              </w:rPr>
            </w:pPr>
          </w:p>
        </w:tc>
      </w:tr>
      <w:tr>
        <w:trPr>
          <w:trHeight w:val="483"/>
        </w:trPr>
        <w:tc>
          <w:tcPr>
            <w:tcW w:w="4760" w:type="dxa"/>
            <w:vAlign w:val="bottom"/>
          </w:tcPr>
          <w:p>
            <w:pPr>
              <w:spacing w:after="0"/>
              <w:rPr>
                <w:sz w:val="24"/>
                <w:szCs w:val="24"/>
                <w:color w:val="auto"/>
              </w:rPr>
            </w:pPr>
          </w:p>
        </w:tc>
        <w:tc>
          <w:tcPr>
            <w:tcW w:w="3580" w:type="dxa"/>
            <w:vAlign w:val="bottom"/>
          </w:tcPr>
          <w:p>
            <w:pPr>
              <w:jc w:val="right"/>
              <w:ind w:right="2525"/>
              <w:spacing w:after="0"/>
              <w:rPr>
                <w:sz w:val="20"/>
                <w:szCs w:val="20"/>
                <w:color w:val="auto"/>
              </w:rPr>
            </w:pPr>
            <w:r>
              <w:rPr>
                <w:rFonts w:ascii="Arial" w:cs="Arial" w:eastAsia="Arial" w:hAnsi="Arial"/>
                <w:sz w:val="12"/>
                <w:szCs w:val="12"/>
                <w:color w:val="auto"/>
              </w:rPr>
              <w:t>-66-</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The following table presents the movement of the gross balance of the credit portfolio by stage for the periods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Stage 1</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Transfers</w:t>
            </w: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New loans,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Transfer</w:t>
            </w:r>
          </w:p>
        </w:tc>
        <w:tc>
          <w:tcPr>
            <w:tcW w:w="86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Transfer</w:t>
            </w:r>
          </w:p>
        </w:tc>
        <w:tc>
          <w:tcPr>
            <w:tcW w:w="100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between</w:t>
            </w:r>
          </w:p>
        </w:tc>
        <w:tc>
          <w:tcPr>
            <w:tcW w:w="106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liquidation</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Transfer to</w:t>
            </w:r>
          </w:p>
        </w:tc>
        <w:tc>
          <w:tcPr>
            <w:tcW w:w="8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w w:val="98"/>
              </w:rPr>
              <w:t>Transfer to</w:t>
            </w: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from</w:t>
            </w:r>
          </w:p>
        </w:tc>
        <w:tc>
          <w:tcPr>
            <w:tcW w:w="8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from</w:t>
            </w: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classes of</w:t>
            </w:r>
          </w:p>
        </w:tc>
        <w:tc>
          <w:tcPr>
            <w:tcW w:w="106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and write-</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Sale of loan</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differences</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192"/>
        </w:trPr>
        <w:tc>
          <w:tcPr>
            <w:tcW w:w="1600" w:type="dxa"/>
            <w:vAlign w:val="bottom"/>
          </w:tcPr>
          <w:p>
            <w:pPr>
              <w:spacing w:after="0"/>
              <w:rPr>
                <w:sz w:val="20"/>
                <w:szCs w:val="20"/>
                <w:color w:val="auto"/>
              </w:rPr>
            </w:pPr>
            <w:r>
              <w:rPr>
                <w:rFonts w:ascii="Arial" w:cs="Arial" w:eastAsia="Arial" w:hAnsi="Arial"/>
                <w:sz w:val="16"/>
                <w:szCs w:val="16"/>
                <w:b w:val="1"/>
                <w:bCs w:val="1"/>
                <w:color w:val="auto"/>
              </w:rPr>
              <w:t>Loans by class</w:t>
            </w: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31, 2023</w:t>
            </w:r>
          </w:p>
        </w:tc>
        <w:tc>
          <w:tcPr>
            <w:tcW w:w="10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Stage 2</w:t>
            </w: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Stage 3</w:t>
            </w: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2</w:t>
            </w: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Stage 3</w:t>
            </w: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loans</w:t>
            </w: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offs, net</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and others</w:t>
            </w:r>
          </w:p>
        </w:tc>
        <w:tc>
          <w:tcPr>
            <w:tcW w:w="900" w:type="dxa"/>
            <w:vAlign w:val="bottom"/>
          </w:tcPr>
          <w:p>
            <w:pPr>
              <w:spacing w:after="0"/>
              <w:rPr>
                <w:sz w:val="20"/>
                <w:szCs w:val="20"/>
                <w:color w:val="auto"/>
              </w:rPr>
            </w:pPr>
            <w:r>
              <w:rPr>
                <w:rFonts w:ascii="Arial" w:cs="Arial" w:eastAsia="Arial" w:hAnsi="Arial"/>
                <w:sz w:val="16"/>
                <w:szCs w:val="16"/>
                <w:b w:val="1"/>
                <w:bCs w:val="1"/>
                <w:color w:val="auto"/>
              </w:rPr>
              <w:t>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Commercial loans</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83,928,787</w:t>
            </w:r>
          </w:p>
        </w:tc>
        <w:tc>
          <w:tcPr>
            <w:tcW w:w="100" w:type="dxa"/>
            <w:vAlign w:val="bottom"/>
          </w:tcPr>
          <w:p>
            <w:pPr>
              <w:spacing w:after="0"/>
              <w:rPr>
                <w:sz w:val="15"/>
                <w:szCs w:val="15"/>
                <w:color w:val="auto"/>
              </w:rPr>
            </w:pP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(6,375,422)</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(321,490)</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5,170,908</w:t>
            </w: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557,795</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1,471,769</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4,212,548</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460,706</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89,105,601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Residential mortgage</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19,150,069</w:t>
            </w:r>
          </w:p>
        </w:tc>
        <w:tc>
          <w:tcPr>
            <w:tcW w:w="100" w:type="dxa"/>
            <w:vAlign w:val="bottom"/>
          </w:tcPr>
          <w:p>
            <w:pPr>
              <w:spacing w:after="0"/>
              <w:rPr>
                <w:sz w:val="15"/>
                <w:szCs w:val="15"/>
                <w:color w:val="auto"/>
              </w:rPr>
            </w:pP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(4,867,259)</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(78,840)</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2,949,592</w:t>
            </w: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22,355</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2,186</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1,727,613</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50,813</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18,956,529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Small business loans</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16,065,846</w:t>
            </w:r>
          </w:p>
        </w:tc>
        <w:tc>
          <w:tcPr>
            <w:tcW w:w="100" w:type="dxa"/>
            <w:vAlign w:val="bottom"/>
          </w:tcPr>
          <w:p>
            <w:pPr>
              <w:spacing w:after="0"/>
              <w:rPr>
                <w:sz w:val="15"/>
                <w:szCs w:val="15"/>
                <w:color w:val="auto"/>
              </w:rPr>
            </w:pP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(9,240,619)</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(115,321)</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3,329,738</w:t>
            </w: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44,315</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(1,471,769)</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8,378,279</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(84,640)</w:t>
            </w:r>
          </w:p>
        </w:tc>
        <w:tc>
          <w:tcPr>
            <w:tcW w:w="8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16,905,829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0" w:type="dxa"/>
            <w:vAlign w:val="bottom"/>
          </w:tcPr>
          <w:p>
            <w:pPr>
              <w:spacing w:after="0"/>
              <w:rPr>
                <w:sz w:val="20"/>
                <w:szCs w:val="20"/>
                <w:color w:val="auto"/>
              </w:rPr>
            </w:pPr>
            <w:r>
              <w:rPr>
                <w:rFonts w:ascii="Arial" w:cs="Arial" w:eastAsia="Arial" w:hAnsi="Arial"/>
                <w:sz w:val="16"/>
                <w:szCs w:val="16"/>
                <w:color w:val="auto"/>
              </w:rPr>
              <w:t>Consumer loans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15,234,060</w:t>
            </w: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(6,349,365)</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(130,291)</w:t>
            </w: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2,545,058</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85,014</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(2,186)</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2,982,062</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28,189</w:t>
            </w:r>
          </w:p>
        </w:tc>
        <w:tc>
          <w:tcPr>
            <w:tcW w:w="900" w:type="dxa"/>
            <w:vAlign w:val="bottom"/>
          </w:tcPr>
          <w:p>
            <w:pPr>
              <w:jc w:val="right"/>
              <w:spacing w:after="0"/>
              <w:rPr>
                <w:sz w:val="20"/>
                <w:szCs w:val="20"/>
                <w:color w:val="auto"/>
              </w:rPr>
            </w:pPr>
            <w:r>
              <w:rPr>
                <w:rFonts w:ascii="Arial" w:cs="Arial" w:eastAsia="Arial" w:hAnsi="Arial"/>
                <w:sz w:val="16"/>
                <w:szCs w:val="16"/>
                <w:color w:val="auto"/>
              </w:rPr>
              <w:t>14,392,541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134,378,762</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(26,832,665)</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(645,942)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13,995,296</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709,479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17,300,502</w:t>
            </w: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w w:val="72"/>
              </w:rPr>
              <w:t>−</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455,068</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8"/>
              </w:rPr>
              <w:t>139,360,500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Stage 2</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Transfers</w:t>
            </w: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New loans,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Transfer</w:t>
            </w:r>
          </w:p>
        </w:tc>
        <w:tc>
          <w:tcPr>
            <w:tcW w:w="86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Transfer</w:t>
            </w:r>
          </w:p>
        </w:tc>
        <w:tc>
          <w:tcPr>
            <w:tcW w:w="100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between</w:t>
            </w:r>
          </w:p>
        </w:tc>
        <w:tc>
          <w:tcPr>
            <w:tcW w:w="106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liquidation</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Transfer to</w:t>
            </w:r>
          </w:p>
        </w:tc>
        <w:tc>
          <w:tcPr>
            <w:tcW w:w="8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w w:val="98"/>
              </w:rPr>
              <w:t>Transfer to</w:t>
            </w: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from</w:t>
            </w:r>
          </w:p>
        </w:tc>
        <w:tc>
          <w:tcPr>
            <w:tcW w:w="8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from</w:t>
            </w: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classes of</w:t>
            </w:r>
          </w:p>
        </w:tc>
        <w:tc>
          <w:tcPr>
            <w:tcW w:w="106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and write-</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Sale of loan</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differences</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192"/>
        </w:trPr>
        <w:tc>
          <w:tcPr>
            <w:tcW w:w="1600" w:type="dxa"/>
            <w:vAlign w:val="bottom"/>
          </w:tcPr>
          <w:p>
            <w:pPr>
              <w:spacing w:after="0"/>
              <w:rPr>
                <w:sz w:val="20"/>
                <w:szCs w:val="20"/>
                <w:color w:val="auto"/>
              </w:rPr>
            </w:pPr>
            <w:r>
              <w:rPr>
                <w:rFonts w:ascii="Arial" w:cs="Arial" w:eastAsia="Arial" w:hAnsi="Arial"/>
                <w:sz w:val="16"/>
                <w:szCs w:val="16"/>
                <w:b w:val="1"/>
                <w:bCs w:val="1"/>
                <w:color w:val="auto"/>
              </w:rPr>
              <w:t>Loans by class</w:t>
            </w: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31, 2023</w:t>
            </w:r>
          </w:p>
        </w:tc>
        <w:tc>
          <w:tcPr>
            <w:tcW w:w="10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Stage 1</w:t>
            </w: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Stage 3</w:t>
            </w: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1</w:t>
            </w: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Stage 3</w:t>
            </w: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loans</w:t>
            </w: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offs, net</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and others</w:t>
            </w:r>
          </w:p>
        </w:tc>
        <w:tc>
          <w:tcPr>
            <w:tcW w:w="900" w:type="dxa"/>
            <w:vAlign w:val="bottom"/>
          </w:tcPr>
          <w:p>
            <w:pPr>
              <w:spacing w:after="0"/>
              <w:rPr>
                <w:sz w:val="20"/>
                <w:szCs w:val="20"/>
                <w:color w:val="auto"/>
              </w:rPr>
            </w:pPr>
            <w:r>
              <w:rPr>
                <w:rFonts w:ascii="Arial" w:cs="Arial" w:eastAsia="Arial" w:hAnsi="Arial"/>
                <w:sz w:val="16"/>
                <w:szCs w:val="16"/>
                <w:b w:val="1"/>
                <w:bCs w:val="1"/>
                <w:color w:val="auto"/>
              </w:rPr>
              <w:t>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Commercial loans</w:t>
            </w:r>
          </w:p>
        </w:tc>
        <w:tc>
          <w:tcPr>
            <w:tcW w:w="1040" w:type="dxa"/>
            <w:vAlign w:val="bottom"/>
            <w:gridSpan w:val="3"/>
          </w:tcPr>
          <w:p>
            <w:pPr>
              <w:jc w:val="right"/>
              <w:ind w:right="100"/>
              <w:spacing w:after="0" w:line="175" w:lineRule="exact"/>
              <w:rPr>
                <w:sz w:val="20"/>
                <w:szCs w:val="20"/>
                <w:color w:val="auto"/>
              </w:rPr>
            </w:pPr>
            <w:r>
              <w:rPr>
                <w:rFonts w:ascii="Arial" w:cs="Arial" w:eastAsia="Arial" w:hAnsi="Arial"/>
                <w:sz w:val="16"/>
                <w:szCs w:val="16"/>
                <w:color w:val="auto"/>
              </w:rPr>
              <w:t>5,937,197</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(5,170,908)</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5"/>
              </w:rPr>
              <w:t>(1,523,412)</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6,375,422</w:t>
            </w: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517,832</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134,410</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(1,763,989)</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1,594</w:t>
            </w: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4,508,146</w:t>
            </w: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Residential mortgage</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1040" w:type="dxa"/>
            <w:vAlign w:val="bottom"/>
            <w:gridSpan w:val="3"/>
          </w:tcPr>
          <w:p>
            <w:pPr>
              <w:jc w:val="right"/>
              <w:ind w:right="100"/>
              <w:spacing w:after="0" w:line="175" w:lineRule="exact"/>
              <w:rPr>
                <w:sz w:val="20"/>
                <w:szCs w:val="20"/>
                <w:color w:val="auto"/>
              </w:rPr>
            </w:pPr>
            <w:r>
              <w:rPr>
                <w:rFonts w:ascii="Arial" w:cs="Arial" w:eastAsia="Arial" w:hAnsi="Arial"/>
                <w:sz w:val="16"/>
                <w:szCs w:val="16"/>
                <w:color w:val="auto"/>
              </w:rPr>
              <w:t>3,558,102</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(2,949,592)</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(493,788)</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4,867,259</w:t>
            </w: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52,741</w:t>
            </w:r>
          </w:p>
        </w:tc>
        <w:tc>
          <w:tcPr>
            <w:tcW w:w="40" w:type="dxa"/>
            <w:vAlign w:val="bottom"/>
          </w:tcPr>
          <w:p>
            <w:pPr>
              <w:spacing w:after="0"/>
              <w:rPr>
                <w:sz w:val="15"/>
                <w:szCs w:val="15"/>
                <w:color w:val="auto"/>
              </w:rPr>
            </w:pPr>
          </w:p>
        </w:tc>
        <w:tc>
          <w:tcPr>
            <w:tcW w:w="9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(548,555)</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6,158</w:t>
            </w: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4,492,325</w:t>
            </w: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Small business loans</w:t>
            </w:r>
          </w:p>
        </w:tc>
        <w:tc>
          <w:tcPr>
            <w:tcW w:w="1040" w:type="dxa"/>
            <w:vAlign w:val="bottom"/>
            <w:gridSpan w:val="3"/>
          </w:tcPr>
          <w:p>
            <w:pPr>
              <w:jc w:val="right"/>
              <w:ind w:right="100"/>
              <w:spacing w:after="0" w:line="175" w:lineRule="exact"/>
              <w:rPr>
                <w:sz w:val="20"/>
                <w:szCs w:val="20"/>
                <w:color w:val="auto"/>
              </w:rPr>
            </w:pPr>
            <w:r>
              <w:rPr>
                <w:rFonts w:ascii="Arial" w:cs="Arial" w:eastAsia="Arial" w:hAnsi="Arial"/>
                <w:sz w:val="16"/>
                <w:szCs w:val="16"/>
                <w:color w:val="auto"/>
              </w:rPr>
              <w:t>4,630,314</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(3,329,738)</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5"/>
              </w:rPr>
              <w:t>(1,907,961)</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9,240,619</w:t>
            </w: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118,948</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(134,410)</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(4,355,869)</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(18,318)</w:t>
            </w:r>
          </w:p>
        </w:tc>
        <w:tc>
          <w:tcPr>
            <w:tcW w:w="80" w:type="dxa"/>
            <w:vAlign w:val="bottom"/>
          </w:tcPr>
          <w:p>
            <w:pPr>
              <w:spacing w:after="0"/>
              <w:rPr>
                <w:sz w:val="15"/>
                <w:szCs w:val="15"/>
                <w:color w:val="auto"/>
              </w:rPr>
            </w:pP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4,243,585</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20"/>
                <w:szCs w:val="20"/>
                <w:color w:val="auto"/>
              </w:rPr>
            </w:pPr>
            <w:r>
              <w:rPr>
                <w:rFonts w:ascii="Arial" w:cs="Arial" w:eastAsia="Arial" w:hAnsi="Arial"/>
                <w:sz w:val="16"/>
                <w:szCs w:val="16"/>
                <w:color w:val="auto"/>
              </w:rPr>
              <w:t>Consumer loans</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3,317,454</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(2,545,058)</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(1,777,749)</w:t>
            </w: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6,349,365</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105,041</w:t>
            </w:r>
          </w:p>
        </w:tc>
        <w:tc>
          <w:tcPr>
            <w:tcW w:w="4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(1,731,395)</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1,197</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3,718,855</w:t>
            </w:r>
          </w:p>
        </w:tc>
        <w:tc>
          <w:tcPr>
            <w:tcW w:w="0" w:type="dxa"/>
            <w:vAlign w:val="bottom"/>
          </w:tcPr>
          <w:p>
            <w:pPr>
              <w:spacing w:after="0"/>
              <w:rPr>
                <w:sz w:val="1"/>
                <w:szCs w:val="1"/>
                <w:color w:val="auto"/>
              </w:rPr>
            </w:pPr>
          </w:p>
        </w:tc>
      </w:tr>
      <w:tr>
        <w:trPr>
          <w:trHeight w:val="170"/>
        </w:trPr>
        <w:tc>
          <w:tcPr>
            <w:tcW w:w="16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17,443,067</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(13,995,296)</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5"/>
              </w:rPr>
              <w:t>(5,702,910)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26,832,665</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794,562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(8,399,808)</w:t>
            </w: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w w:val="72"/>
              </w:rPr>
              <w:t>−</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(9,369)</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16,962,911</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Stage 3</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Transfers</w:t>
            </w: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New loans,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Transfer</w:t>
            </w:r>
          </w:p>
        </w:tc>
        <w:tc>
          <w:tcPr>
            <w:tcW w:w="86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Transfer</w:t>
            </w:r>
          </w:p>
        </w:tc>
        <w:tc>
          <w:tcPr>
            <w:tcW w:w="100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between</w:t>
            </w:r>
          </w:p>
        </w:tc>
        <w:tc>
          <w:tcPr>
            <w:tcW w:w="106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liquidation</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Transfer to</w:t>
            </w:r>
          </w:p>
        </w:tc>
        <w:tc>
          <w:tcPr>
            <w:tcW w:w="8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w w:val="98"/>
              </w:rPr>
              <w:t>Transfer to</w:t>
            </w: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from</w:t>
            </w:r>
          </w:p>
        </w:tc>
        <w:tc>
          <w:tcPr>
            <w:tcW w:w="8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from</w:t>
            </w: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classes of</w:t>
            </w:r>
          </w:p>
        </w:tc>
        <w:tc>
          <w:tcPr>
            <w:tcW w:w="106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and write-</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Sale of loan</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differences</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192"/>
        </w:trPr>
        <w:tc>
          <w:tcPr>
            <w:tcW w:w="1600" w:type="dxa"/>
            <w:vAlign w:val="bottom"/>
          </w:tcPr>
          <w:p>
            <w:pPr>
              <w:spacing w:after="0"/>
              <w:rPr>
                <w:sz w:val="20"/>
                <w:szCs w:val="20"/>
                <w:color w:val="auto"/>
              </w:rPr>
            </w:pPr>
            <w:r>
              <w:rPr>
                <w:rFonts w:ascii="Arial" w:cs="Arial" w:eastAsia="Arial" w:hAnsi="Arial"/>
                <w:sz w:val="16"/>
                <w:szCs w:val="16"/>
                <w:b w:val="1"/>
                <w:bCs w:val="1"/>
                <w:color w:val="auto"/>
              </w:rPr>
              <w:t>Loans by class</w:t>
            </w: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31, 2023</w:t>
            </w:r>
          </w:p>
        </w:tc>
        <w:tc>
          <w:tcPr>
            <w:tcW w:w="10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Stage 1</w:t>
            </w: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Stage 2</w:t>
            </w: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1</w:t>
            </w: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Stage 2</w:t>
            </w: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loans</w:t>
            </w: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offs, net</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and others</w:t>
            </w:r>
          </w:p>
        </w:tc>
        <w:tc>
          <w:tcPr>
            <w:tcW w:w="900" w:type="dxa"/>
            <w:vAlign w:val="bottom"/>
          </w:tcPr>
          <w:p>
            <w:pPr>
              <w:spacing w:after="0"/>
              <w:rPr>
                <w:sz w:val="20"/>
                <w:szCs w:val="20"/>
                <w:color w:val="auto"/>
              </w:rPr>
            </w:pPr>
            <w:r>
              <w:rPr>
                <w:rFonts w:ascii="Arial" w:cs="Arial" w:eastAsia="Arial" w:hAnsi="Arial"/>
                <w:sz w:val="16"/>
                <w:szCs w:val="16"/>
                <w:b w:val="1"/>
                <w:bCs w:val="1"/>
                <w:color w:val="auto"/>
              </w:rPr>
              <w:t>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Commercial loans</w:t>
            </w:r>
          </w:p>
        </w:tc>
        <w:tc>
          <w:tcPr>
            <w:tcW w:w="1040" w:type="dxa"/>
            <w:vAlign w:val="bottom"/>
            <w:gridSpan w:val="3"/>
          </w:tcPr>
          <w:p>
            <w:pPr>
              <w:jc w:val="right"/>
              <w:ind w:right="100"/>
              <w:spacing w:after="0" w:line="175" w:lineRule="exact"/>
              <w:rPr>
                <w:sz w:val="20"/>
                <w:szCs w:val="20"/>
                <w:color w:val="auto"/>
              </w:rPr>
            </w:pPr>
            <w:r>
              <w:rPr>
                <w:rFonts w:ascii="Arial" w:cs="Arial" w:eastAsia="Arial" w:hAnsi="Arial"/>
                <w:sz w:val="16"/>
                <w:szCs w:val="16"/>
                <w:color w:val="auto"/>
              </w:rPr>
              <w:t>7,307,176</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(557,795)</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(517,832)</w:t>
            </w: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321,490</w:t>
            </w:r>
          </w:p>
        </w:tc>
        <w:tc>
          <w:tcPr>
            <w:tcW w:w="80" w:type="dxa"/>
            <w:vAlign w:val="bottom"/>
          </w:tcPr>
          <w:p>
            <w:pPr>
              <w:spacing w:after="0"/>
              <w:rPr>
                <w:sz w:val="15"/>
                <w:szCs w:val="15"/>
                <w:color w:val="auto"/>
              </w:rPr>
            </w:pP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1,523,412</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(265,854)</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(1,843,891)</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(110,550)</w:t>
            </w:r>
          </w:p>
        </w:tc>
        <w:tc>
          <w:tcPr>
            <w:tcW w:w="80" w:type="dxa"/>
            <w:vAlign w:val="bottom"/>
          </w:tcPr>
          <w:p>
            <w:pPr>
              <w:spacing w:after="0"/>
              <w:rPr>
                <w:sz w:val="15"/>
                <w:szCs w:val="15"/>
                <w:color w:val="auto"/>
              </w:rPr>
            </w:pP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17,264</w:t>
            </w: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5,873,420</w:t>
            </w: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Residential mortgage</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1040" w:type="dxa"/>
            <w:vAlign w:val="bottom"/>
            <w:gridSpan w:val="3"/>
          </w:tcPr>
          <w:p>
            <w:pPr>
              <w:jc w:val="right"/>
              <w:ind w:right="100"/>
              <w:spacing w:after="0" w:line="175" w:lineRule="exact"/>
              <w:rPr>
                <w:sz w:val="20"/>
                <w:szCs w:val="20"/>
                <w:color w:val="auto"/>
              </w:rPr>
            </w:pPr>
            <w:r>
              <w:rPr>
                <w:rFonts w:ascii="Arial" w:cs="Arial" w:eastAsia="Arial" w:hAnsi="Arial"/>
                <w:sz w:val="16"/>
                <w:szCs w:val="16"/>
                <w:color w:val="auto"/>
              </w:rPr>
              <w:t>1,468,748</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(22,355)</w:t>
            </w:r>
          </w:p>
        </w:tc>
        <w:tc>
          <w:tcPr>
            <w:tcW w:w="8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(52,741)</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78,840</w:t>
            </w: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493,788</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871</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(284,913)</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(44,749)</w:t>
            </w:r>
          </w:p>
        </w:tc>
        <w:tc>
          <w:tcPr>
            <w:tcW w:w="80" w:type="dxa"/>
            <w:vAlign w:val="bottom"/>
          </w:tcPr>
          <w:p>
            <w:pPr>
              <w:spacing w:after="0"/>
              <w:rPr>
                <w:sz w:val="15"/>
                <w:szCs w:val="15"/>
                <w:color w:val="auto"/>
              </w:rPr>
            </w:pP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5,689</w:t>
            </w: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1,643,178</w:t>
            </w: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Small business loans</w:t>
            </w:r>
          </w:p>
        </w:tc>
        <w:tc>
          <w:tcPr>
            <w:tcW w:w="1040" w:type="dxa"/>
            <w:vAlign w:val="bottom"/>
            <w:gridSpan w:val="3"/>
          </w:tcPr>
          <w:p>
            <w:pPr>
              <w:jc w:val="right"/>
              <w:ind w:right="100"/>
              <w:spacing w:after="0" w:line="175" w:lineRule="exact"/>
              <w:rPr>
                <w:sz w:val="20"/>
                <w:szCs w:val="20"/>
                <w:color w:val="auto"/>
              </w:rPr>
            </w:pPr>
            <w:r>
              <w:rPr>
                <w:rFonts w:ascii="Arial" w:cs="Arial" w:eastAsia="Arial" w:hAnsi="Arial"/>
                <w:sz w:val="16"/>
                <w:szCs w:val="16"/>
                <w:color w:val="auto"/>
              </w:rPr>
              <w:t>1,802,830</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(44,315)</w:t>
            </w:r>
          </w:p>
        </w:tc>
        <w:tc>
          <w:tcPr>
            <w:tcW w:w="8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(118,948)</w:t>
            </w: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115,321</w:t>
            </w:r>
          </w:p>
        </w:tc>
        <w:tc>
          <w:tcPr>
            <w:tcW w:w="80" w:type="dxa"/>
            <w:vAlign w:val="bottom"/>
          </w:tcPr>
          <w:p>
            <w:pPr>
              <w:spacing w:after="0"/>
              <w:rPr>
                <w:sz w:val="15"/>
                <w:szCs w:val="15"/>
                <w:color w:val="auto"/>
              </w:rPr>
            </w:pP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1,907,961</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265,854</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(2,237,017)</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(7,081)</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3,098</w:t>
            </w: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1,687,703</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20"/>
                <w:szCs w:val="20"/>
                <w:color w:val="auto"/>
              </w:rPr>
            </w:pPr>
            <w:r>
              <w:rPr>
                <w:rFonts w:ascii="Arial" w:cs="Arial" w:eastAsia="Arial" w:hAnsi="Arial"/>
                <w:sz w:val="16"/>
                <w:szCs w:val="16"/>
                <w:color w:val="auto"/>
              </w:rPr>
              <w:t>Consumer loans</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1,546,687</w:t>
            </w:r>
          </w:p>
        </w:tc>
        <w:tc>
          <w:tcPr>
            <w:tcW w:w="880" w:type="dxa"/>
            <w:vAlign w:val="bottom"/>
          </w:tcPr>
          <w:p>
            <w:pPr>
              <w:jc w:val="right"/>
              <w:spacing w:after="0"/>
              <w:rPr>
                <w:sz w:val="20"/>
                <w:szCs w:val="20"/>
                <w:color w:val="auto"/>
              </w:rPr>
            </w:pPr>
            <w:r>
              <w:rPr>
                <w:rFonts w:ascii="Arial" w:cs="Arial" w:eastAsia="Arial" w:hAnsi="Arial"/>
                <w:sz w:val="16"/>
                <w:szCs w:val="16"/>
                <w:color w:val="auto"/>
              </w:rPr>
              <w:t>(85,014)</w:t>
            </w: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(105,041)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130,291</w:t>
            </w:r>
          </w:p>
        </w:tc>
        <w:tc>
          <w:tcPr>
            <w:tcW w:w="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1,777,749</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(871)</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(1,799,077)</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(11,931)</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6,245</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1,459,038</w:t>
            </w:r>
          </w:p>
        </w:tc>
        <w:tc>
          <w:tcPr>
            <w:tcW w:w="0" w:type="dxa"/>
            <w:vAlign w:val="bottom"/>
          </w:tcPr>
          <w:p>
            <w:pPr>
              <w:spacing w:after="0"/>
              <w:rPr>
                <w:sz w:val="1"/>
                <w:szCs w:val="1"/>
                <w:color w:val="auto"/>
              </w:rPr>
            </w:pPr>
          </w:p>
        </w:tc>
      </w:tr>
      <w:tr>
        <w:trPr>
          <w:trHeight w:val="170"/>
        </w:trPr>
        <w:tc>
          <w:tcPr>
            <w:tcW w:w="16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12,125,441</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(709,479)</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(794,562)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645,942</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5,702,910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(6,164,898)</w:t>
            </w: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(174,311)</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32,296</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10,663,339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600" w:type="dxa"/>
            <w:vAlign w:val="bottom"/>
          </w:tcPr>
          <w:p>
            <w:pPr>
              <w:spacing w:after="0"/>
              <w:rPr>
                <w:sz w:val="20"/>
                <w:szCs w:val="20"/>
                <w:color w:val="auto"/>
              </w:rPr>
            </w:pPr>
            <w:r>
              <w:rPr>
                <w:rFonts w:ascii="Arial" w:cs="Arial" w:eastAsia="Arial" w:hAnsi="Arial"/>
                <w:sz w:val="16"/>
                <w:szCs w:val="16"/>
                <w:b w:val="1"/>
                <w:bCs w:val="1"/>
                <w:color w:val="auto"/>
              </w:rPr>
              <w:t>Consolidated 3</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Stages</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Transfers</w:t>
            </w:r>
          </w:p>
        </w:tc>
        <w:tc>
          <w:tcPr>
            <w:tcW w:w="10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New loans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Balance at</w:t>
            </w:r>
          </w:p>
        </w:tc>
        <w:tc>
          <w:tcPr>
            <w:tcW w:w="8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Written off</w:t>
            </w: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between</w:t>
            </w:r>
          </w:p>
        </w:tc>
        <w:tc>
          <w:tcPr>
            <w:tcW w:w="106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and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Exchange</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December</w:t>
            </w:r>
          </w:p>
        </w:tc>
        <w:tc>
          <w:tcPr>
            <w:tcW w:w="8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and</w:t>
            </w:r>
          </w:p>
        </w:tc>
        <w:tc>
          <w:tcPr>
            <w:tcW w:w="10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classes of</w:t>
            </w:r>
          </w:p>
        </w:tc>
        <w:tc>
          <w:tcPr>
            <w:tcW w:w="106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liquidation,</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Sale of loan</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differences</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0" w:type="dxa"/>
            <w:vAlign w:val="bottom"/>
          </w:tcPr>
          <w:p>
            <w:pPr>
              <w:spacing w:after="0"/>
              <w:rPr>
                <w:sz w:val="1"/>
                <w:szCs w:val="1"/>
                <w:color w:val="auto"/>
              </w:rPr>
            </w:pPr>
          </w:p>
        </w:tc>
      </w:tr>
      <w:tr>
        <w:trPr>
          <w:trHeight w:val="192"/>
        </w:trPr>
        <w:tc>
          <w:tcPr>
            <w:tcW w:w="1600" w:type="dxa"/>
            <w:vAlign w:val="bottom"/>
          </w:tcPr>
          <w:p>
            <w:pPr>
              <w:spacing w:after="0"/>
              <w:rPr>
                <w:sz w:val="20"/>
                <w:szCs w:val="20"/>
                <w:color w:val="auto"/>
              </w:rPr>
            </w:pPr>
            <w:r>
              <w:rPr>
                <w:rFonts w:ascii="Arial" w:cs="Arial" w:eastAsia="Arial" w:hAnsi="Arial"/>
                <w:sz w:val="16"/>
                <w:szCs w:val="16"/>
                <w:b w:val="1"/>
                <w:bCs w:val="1"/>
                <w:color w:val="auto"/>
              </w:rPr>
              <w:t>Loans by class</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31, 2023</w:t>
            </w:r>
          </w:p>
        </w:tc>
        <w:tc>
          <w:tcPr>
            <w:tcW w:w="8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forgivens</w:t>
            </w:r>
          </w:p>
        </w:tc>
        <w:tc>
          <w:tcPr>
            <w:tcW w:w="1000" w:type="dxa"/>
            <w:vAlign w:val="bottom"/>
            <w:gridSpan w:val="3"/>
          </w:tcPr>
          <w:p>
            <w:pPr>
              <w:ind w:left="40"/>
              <w:spacing w:after="0"/>
              <w:rPr>
                <w:sz w:val="20"/>
                <w:szCs w:val="20"/>
                <w:color w:val="auto"/>
              </w:rPr>
            </w:pPr>
            <w:r>
              <w:rPr>
                <w:rFonts w:ascii="Arial" w:cs="Arial" w:eastAsia="Arial" w:hAnsi="Arial"/>
                <w:sz w:val="16"/>
                <w:szCs w:val="16"/>
                <w:b w:val="1"/>
                <w:bCs w:val="1"/>
                <w:color w:val="auto"/>
              </w:rPr>
              <w:t>loans</w:t>
            </w: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net</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and others</w:t>
            </w:r>
          </w:p>
        </w:tc>
        <w:tc>
          <w:tcPr>
            <w:tcW w:w="900" w:type="dxa"/>
            <w:vAlign w:val="bottom"/>
          </w:tcPr>
          <w:p>
            <w:pPr>
              <w:spacing w:after="0"/>
              <w:rPr>
                <w:sz w:val="20"/>
                <w:szCs w:val="20"/>
                <w:color w:val="auto"/>
              </w:rPr>
            </w:pPr>
            <w:r>
              <w:rPr>
                <w:rFonts w:ascii="Arial" w:cs="Arial" w:eastAsia="Arial" w:hAnsi="Arial"/>
                <w:sz w:val="16"/>
                <w:szCs w:val="16"/>
                <w:b w:val="1"/>
                <w:bCs w:val="1"/>
                <w:color w:val="auto"/>
              </w:rPr>
              <w:t>31, 2024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Commercial loans</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97,173,160</w:t>
            </w:r>
          </w:p>
        </w:tc>
        <w:tc>
          <w:tcPr>
            <w:tcW w:w="80" w:type="dxa"/>
            <w:vAlign w:val="bottom"/>
          </w:tcPr>
          <w:p>
            <w:pPr>
              <w:spacing w:after="0"/>
              <w:rPr>
                <w:sz w:val="15"/>
                <w:szCs w:val="15"/>
                <w:color w:val="auto"/>
              </w:rPr>
            </w:pP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(594,478)</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1,340,325</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1,199,146</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(110,550)</w:t>
            </w:r>
          </w:p>
        </w:tc>
        <w:tc>
          <w:tcPr>
            <w:tcW w:w="80" w:type="dxa"/>
            <w:vAlign w:val="bottom"/>
          </w:tcPr>
          <w:p>
            <w:pPr>
              <w:spacing w:after="0"/>
              <w:rPr>
                <w:sz w:val="15"/>
                <w:szCs w:val="15"/>
                <w:color w:val="auto"/>
              </w:rPr>
            </w:pP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479,564</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99,487,167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Residential mortgage</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24,176,919</w:t>
            </w:r>
          </w:p>
        </w:tc>
        <w:tc>
          <w:tcPr>
            <w:tcW w:w="80" w:type="dxa"/>
            <w:vAlign w:val="bottom"/>
          </w:tcPr>
          <w:p>
            <w:pPr>
              <w:spacing w:after="0"/>
              <w:rPr>
                <w:sz w:val="15"/>
                <w:szCs w:val="15"/>
                <w:color w:val="auto"/>
              </w:rPr>
            </w:pP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(20,162)</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3,057</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914,307</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(44,749)</w:t>
            </w:r>
          </w:p>
        </w:tc>
        <w:tc>
          <w:tcPr>
            <w:tcW w:w="80" w:type="dxa"/>
            <w:vAlign w:val="bottom"/>
          </w:tcPr>
          <w:p>
            <w:pPr>
              <w:spacing w:after="0"/>
              <w:rPr>
                <w:sz w:val="15"/>
                <w:szCs w:val="15"/>
                <w:color w:val="auto"/>
              </w:rPr>
            </w:pP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62,660</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25,092,032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line="175" w:lineRule="exact"/>
              <w:rPr>
                <w:sz w:val="20"/>
                <w:szCs w:val="20"/>
                <w:color w:val="auto"/>
              </w:rPr>
            </w:pPr>
            <w:r>
              <w:rPr>
                <w:rFonts w:ascii="Arial" w:cs="Arial" w:eastAsia="Arial" w:hAnsi="Arial"/>
                <w:sz w:val="16"/>
                <w:szCs w:val="16"/>
                <w:color w:val="auto"/>
              </w:rPr>
              <w:t>Small business loans</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22,498,990</w:t>
            </w:r>
          </w:p>
        </w:tc>
        <w:tc>
          <w:tcPr>
            <w:tcW w:w="80" w:type="dxa"/>
            <w:vAlign w:val="bottom"/>
          </w:tcPr>
          <w:p>
            <w:pPr>
              <w:spacing w:after="0"/>
              <w:rPr>
                <w:sz w:val="15"/>
                <w:szCs w:val="15"/>
                <w:color w:val="auto"/>
              </w:rPr>
            </w:pPr>
          </w:p>
        </w:tc>
        <w:tc>
          <w:tcPr>
            <w:tcW w:w="8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7"/>
              </w:rPr>
              <w:t>(1,746,105)</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(1,340,325)</w:t>
            </w:r>
          </w:p>
        </w:tc>
        <w:tc>
          <w:tcPr>
            <w:tcW w:w="10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3,531,498</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(7,081)</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(99,860)</w:t>
            </w:r>
          </w:p>
        </w:tc>
        <w:tc>
          <w:tcPr>
            <w:tcW w:w="80" w:type="dxa"/>
            <w:vAlign w:val="bottom"/>
          </w:tcPr>
          <w:p>
            <w:pPr>
              <w:spacing w:after="0"/>
              <w:rPr>
                <w:sz w:val="15"/>
                <w:szCs w:val="15"/>
                <w:color w:val="auto"/>
              </w:rPr>
            </w:pP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22,837,117</w:t>
            </w:r>
          </w:p>
        </w:tc>
        <w:tc>
          <w:tcPr>
            <w:tcW w:w="0" w:type="dxa"/>
            <w:vAlign w:val="bottom"/>
          </w:tcPr>
          <w:p>
            <w:pPr>
              <w:spacing w:after="0"/>
              <w:rPr>
                <w:sz w:val="1"/>
                <w:szCs w:val="1"/>
                <w:color w:val="auto"/>
              </w:rPr>
            </w:pPr>
          </w:p>
        </w:tc>
      </w:tr>
      <w:tr>
        <w:trPr>
          <w:trHeight w:val="190"/>
        </w:trPr>
        <w:tc>
          <w:tcPr>
            <w:tcW w:w="1600" w:type="dxa"/>
            <w:vAlign w:val="bottom"/>
          </w:tcPr>
          <w:p>
            <w:pPr>
              <w:spacing w:after="0"/>
              <w:rPr>
                <w:sz w:val="20"/>
                <w:szCs w:val="20"/>
                <w:color w:val="auto"/>
              </w:rPr>
            </w:pPr>
            <w:r>
              <w:rPr>
                <w:rFonts w:ascii="Arial" w:cs="Arial" w:eastAsia="Arial" w:hAnsi="Arial"/>
                <w:sz w:val="16"/>
                <w:szCs w:val="16"/>
                <w:color w:val="auto"/>
              </w:rPr>
              <w:t>Consumer loans</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20,098,201</w:t>
            </w:r>
          </w:p>
        </w:tc>
        <w:tc>
          <w:tcPr>
            <w:tcW w:w="8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(1,526,839)</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(3,057)</w:t>
            </w: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978,429</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(11,931)</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35,631</w:t>
            </w:r>
          </w:p>
        </w:tc>
        <w:tc>
          <w:tcPr>
            <w:tcW w:w="900" w:type="dxa"/>
            <w:vAlign w:val="bottom"/>
          </w:tcPr>
          <w:p>
            <w:pPr>
              <w:jc w:val="right"/>
              <w:spacing w:after="0"/>
              <w:rPr>
                <w:sz w:val="20"/>
                <w:szCs w:val="20"/>
                <w:color w:val="auto"/>
              </w:rPr>
            </w:pPr>
            <w:r>
              <w:rPr>
                <w:rFonts w:ascii="Arial" w:cs="Arial" w:eastAsia="Arial" w:hAnsi="Arial"/>
                <w:sz w:val="16"/>
                <w:szCs w:val="16"/>
                <w:color w:val="auto"/>
              </w:rPr>
              <w:t>19,570,434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163,947,270</w:t>
            </w:r>
          </w:p>
        </w:tc>
        <w:tc>
          <w:tcPr>
            <w:tcW w:w="8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7"/>
              </w:rPr>
              <w:t>(3,887,584)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6,623,380</w:t>
            </w: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(174,311)</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477,995</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8"/>
              </w:rPr>
              <w:t>166,986,750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3"/>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2"/>
                <w:szCs w:val="12"/>
                <w:color w:val="auto"/>
              </w:rPr>
              <w:t>-67-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Stage 1</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Transfers</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New loans,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0"/>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Transfer</w:t>
            </w:r>
          </w:p>
        </w:tc>
        <w:tc>
          <w:tcPr>
            <w:tcW w:w="88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Transfer</w:t>
            </w:r>
          </w:p>
        </w:tc>
        <w:tc>
          <w:tcPr>
            <w:tcW w:w="1040" w:type="dxa"/>
            <w:vAlign w:val="bottom"/>
            <w:gridSpan w:val="3"/>
          </w:tcPr>
          <w:p>
            <w:pPr>
              <w:ind w:left="60"/>
              <w:spacing w:after="0" w:line="150" w:lineRule="exact"/>
              <w:rPr>
                <w:sz w:val="20"/>
                <w:szCs w:val="20"/>
                <w:color w:val="auto"/>
              </w:rPr>
            </w:pPr>
            <w:r>
              <w:rPr>
                <w:rFonts w:ascii="Arial" w:cs="Arial" w:eastAsia="Arial" w:hAnsi="Arial"/>
                <w:sz w:val="16"/>
                <w:szCs w:val="16"/>
                <w:b w:val="1"/>
                <w:bCs w:val="1"/>
                <w:color w:val="auto"/>
              </w:rPr>
              <w:t>between</w:t>
            </w: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liquidation</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r>
      <w:tr>
        <w:trPr>
          <w:trHeight w:val="175"/>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96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Transfer to</w:t>
            </w:r>
          </w:p>
        </w:tc>
        <w:tc>
          <w:tcPr>
            <w:tcW w:w="94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Transfer to</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from</w:t>
            </w:r>
          </w:p>
        </w:tc>
        <w:tc>
          <w:tcPr>
            <w:tcW w:w="88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from</w:t>
            </w:r>
          </w:p>
        </w:tc>
        <w:tc>
          <w:tcPr>
            <w:tcW w:w="1040" w:type="dxa"/>
            <w:vAlign w:val="bottom"/>
            <w:gridSpan w:val="3"/>
          </w:tcPr>
          <w:p>
            <w:pPr>
              <w:ind w:left="60"/>
              <w:spacing w:after="0" w:line="175" w:lineRule="exact"/>
              <w:rPr>
                <w:sz w:val="20"/>
                <w:szCs w:val="20"/>
                <w:color w:val="auto"/>
              </w:rPr>
            </w:pPr>
            <w:r>
              <w:rPr>
                <w:rFonts w:ascii="Arial" w:cs="Arial" w:eastAsia="Arial" w:hAnsi="Arial"/>
                <w:sz w:val="16"/>
                <w:szCs w:val="16"/>
                <w:b w:val="1"/>
                <w:bCs w:val="1"/>
                <w:color w:val="auto"/>
              </w:rPr>
              <w:t>classes of</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and write-</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Sale of loan</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differences</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r>
      <w:tr>
        <w:trPr>
          <w:trHeight w:val="192"/>
        </w:trPr>
        <w:tc>
          <w:tcPr>
            <w:tcW w:w="1580" w:type="dxa"/>
            <w:vAlign w:val="bottom"/>
          </w:tcPr>
          <w:p>
            <w:pPr>
              <w:spacing w:after="0"/>
              <w:rPr>
                <w:sz w:val="20"/>
                <w:szCs w:val="20"/>
                <w:color w:val="auto"/>
              </w:rPr>
            </w:pPr>
            <w:r>
              <w:rPr>
                <w:rFonts w:ascii="Arial" w:cs="Arial" w:eastAsia="Arial" w:hAnsi="Arial"/>
                <w:sz w:val="16"/>
                <w:szCs w:val="16"/>
                <w:b w:val="1"/>
                <w:bCs w:val="1"/>
                <w:color w:val="auto"/>
              </w:rPr>
              <w:t>Loans by class</w:t>
            </w: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31, 2022</w:t>
            </w:r>
          </w:p>
        </w:tc>
        <w:tc>
          <w:tcPr>
            <w:tcW w:w="4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2</w:t>
            </w:r>
          </w:p>
        </w:tc>
        <w:tc>
          <w:tcPr>
            <w:tcW w:w="94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3</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Stage 2</w:t>
            </w: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3</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loans</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offs, net</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and others</w:t>
            </w:r>
          </w:p>
        </w:tc>
        <w:tc>
          <w:tcPr>
            <w:tcW w:w="900" w:type="dxa"/>
            <w:vAlign w:val="bottom"/>
          </w:tcPr>
          <w:p>
            <w:pPr>
              <w:spacing w:after="0"/>
              <w:rPr>
                <w:sz w:val="20"/>
                <w:szCs w:val="20"/>
                <w:color w:val="auto"/>
              </w:rPr>
            </w:pPr>
            <w:r>
              <w:rPr>
                <w:rFonts w:ascii="Arial" w:cs="Arial" w:eastAsia="Arial" w:hAnsi="Arial"/>
                <w:sz w:val="16"/>
                <w:szCs w:val="16"/>
                <w:b w:val="1"/>
                <w:bCs w:val="1"/>
                <w:color w:val="auto"/>
              </w:rPr>
              <w:t>31, 2023</w:t>
            </w:r>
          </w:p>
        </w:tc>
        <w:tc>
          <w:tcPr>
            <w:tcW w:w="20" w:type="dxa"/>
            <w:vAlign w:val="bottom"/>
          </w:tcPr>
          <w:p>
            <w:pPr>
              <w:spacing w:after="0"/>
              <w:rPr>
                <w:sz w:val="16"/>
                <w:szCs w:val="16"/>
                <w:color w:val="auto"/>
              </w:rPr>
            </w:pPr>
          </w:p>
        </w:tc>
      </w:tr>
      <w:tr>
        <w:trPr>
          <w:trHeight w:val="152"/>
        </w:trPr>
        <w:tc>
          <w:tcPr>
            <w:tcW w:w="1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jc w:val="right"/>
              <w:ind w:right="222"/>
              <w:spacing w:after="0" w:line="152" w:lineRule="exact"/>
              <w:rPr>
                <w:sz w:val="20"/>
                <w:szCs w:val="20"/>
                <w:color w:val="auto"/>
              </w:rPr>
            </w:pPr>
            <w:r>
              <w:rPr>
                <w:rFonts w:ascii="Arial" w:cs="Arial" w:eastAsia="Arial" w:hAnsi="Arial"/>
                <w:sz w:val="16"/>
                <w:szCs w:val="16"/>
                <w:b w:val="1"/>
                <w:bCs w:val="1"/>
                <w:color w:val="auto"/>
                <w:w w:val="91"/>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Commercial loans</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86,190,457</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(7,735,234)</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(390,080)</w:t>
            </w: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6,837,244</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113,232</w:t>
            </w:r>
          </w:p>
        </w:tc>
        <w:tc>
          <w:tcPr>
            <w:tcW w:w="10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865,954</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(957,315)</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(995,471)</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83,928,787</w:t>
            </w:r>
          </w:p>
        </w:tc>
        <w:tc>
          <w:tcPr>
            <w:tcW w:w="20" w:type="dxa"/>
            <w:vAlign w:val="bottom"/>
          </w:tcPr>
          <w:p>
            <w:pPr>
              <w:spacing w:after="0"/>
              <w:rPr>
                <w:sz w:val="15"/>
                <w:szCs w:val="15"/>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Residential mortgage</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18,640,432</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(3,890,376)</w:t>
            </w:r>
          </w:p>
        </w:tc>
        <w:tc>
          <w:tcPr>
            <w:tcW w:w="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(87,230)</w:t>
            </w:r>
          </w:p>
        </w:tc>
        <w:tc>
          <w:tcPr>
            <w:tcW w:w="80" w:type="dxa"/>
            <w:vAlign w:val="bottom"/>
          </w:tcPr>
          <w:p>
            <w:pPr>
              <w:spacing w:after="0"/>
              <w:rPr>
                <w:sz w:val="15"/>
                <w:szCs w:val="15"/>
                <w:color w:val="auto"/>
              </w:rPr>
            </w:pP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2,834,608</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68,812</w:t>
            </w:r>
          </w:p>
        </w:tc>
        <w:tc>
          <w:tcPr>
            <w:tcW w:w="60" w:type="dxa"/>
            <w:vAlign w:val="bottom"/>
          </w:tcPr>
          <w:p>
            <w:pPr>
              <w:spacing w:after="0"/>
              <w:rPr>
                <w:sz w:val="15"/>
                <w:szCs w:val="15"/>
                <w:color w:val="auto"/>
              </w:rPr>
            </w:pPr>
          </w:p>
        </w:tc>
        <w:tc>
          <w:tcPr>
            <w:tcW w:w="9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1,680,893</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(97,070)</w:t>
            </w:r>
          </w:p>
        </w:tc>
        <w:tc>
          <w:tcPr>
            <w:tcW w:w="8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19,150,069</w:t>
            </w:r>
          </w:p>
        </w:tc>
        <w:tc>
          <w:tcPr>
            <w:tcW w:w="20" w:type="dxa"/>
            <w:vAlign w:val="bottom"/>
          </w:tcPr>
          <w:p>
            <w:pPr>
              <w:spacing w:after="0"/>
              <w:rPr>
                <w:sz w:val="15"/>
                <w:szCs w:val="15"/>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Small business loans</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13,425,653</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w w:val="99"/>
              </w:rPr>
              <w:t>(10,427,681)</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(193,852)</w:t>
            </w: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4,537,627</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15,883</w:t>
            </w:r>
          </w:p>
        </w:tc>
        <w:tc>
          <w:tcPr>
            <w:tcW w:w="10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(865,954)</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9,439,846</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134,324</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16,065,846</w:t>
            </w:r>
          </w:p>
        </w:tc>
        <w:tc>
          <w:tcPr>
            <w:tcW w:w="20" w:type="dxa"/>
            <w:vAlign w:val="bottom"/>
          </w:tcPr>
          <w:p>
            <w:pPr>
              <w:spacing w:after="0"/>
              <w:rPr>
                <w:sz w:val="15"/>
                <w:szCs w:val="15"/>
                <w:color w:val="auto"/>
              </w:rPr>
            </w:pPr>
          </w:p>
        </w:tc>
      </w:tr>
      <w:tr>
        <w:trPr>
          <w:trHeight w:val="190"/>
        </w:trPr>
        <w:tc>
          <w:tcPr>
            <w:tcW w:w="1580" w:type="dxa"/>
            <w:vAlign w:val="bottom"/>
          </w:tcPr>
          <w:p>
            <w:pPr>
              <w:spacing w:after="0"/>
              <w:rPr>
                <w:sz w:val="20"/>
                <w:szCs w:val="20"/>
                <w:color w:val="auto"/>
              </w:rPr>
            </w:pPr>
            <w:r>
              <w:rPr>
                <w:rFonts w:ascii="Arial" w:cs="Arial" w:eastAsia="Arial" w:hAnsi="Arial"/>
                <w:sz w:val="16"/>
                <w:szCs w:val="16"/>
                <w:color w:val="auto"/>
              </w:rPr>
              <w:t>Consumer loans</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15,386,935</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(6,597,935)</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(466,950)</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3,352,518</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68,103</w:t>
            </w:r>
          </w:p>
        </w:tc>
        <w:tc>
          <w:tcPr>
            <w:tcW w:w="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3,555,141</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(63,752)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15,234,060</w:t>
            </w:r>
          </w:p>
        </w:tc>
        <w:tc>
          <w:tcPr>
            <w:tcW w:w="20" w:type="dxa"/>
            <w:vAlign w:val="bottom"/>
          </w:tcPr>
          <w:p>
            <w:pPr>
              <w:spacing w:after="0"/>
              <w:rPr>
                <w:sz w:val="16"/>
                <w:szCs w:val="16"/>
                <w:color w:val="auto"/>
              </w:rPr>
            </w:pPr>
          </w:p>
        </w:tc>
      </w:tr>
      <w:tr>
        <w:trPr>
          <w:trHeight w:val="170"/>
        </w:trPr>
        <w:tc>
          <w:tcPr>
            <w:tcW w:w="158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133,643,477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(28,651,226)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7"/>
              </w:rPr>
              <w:t>(1,138,112)</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17,561,997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266,030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13,718,565</w:t>
            </w: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w w:val="72"/>
              </w:rPr>
              <w:t>−</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(1,021,969)</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8"/>
              </w:rPr>
              <w:t>134,378,762</w:t>
            </w:r>
          </w:p>
        </w:tc>
        <w:tc>
          <w:tcPr>
            <w:tcW w:w="20" w:type="dxa"/>
            <w:vAlign w:val="bottom"/>
          </w:tcPr>
          <w:p>
            <w:pPr>
              <w:spacing w:after="0"/>
              <w:rPr>
                <w:sz w:val="14"/>
                <w:szCs w:val="14"/>
                <w:color w:val="auto"/>
              </w:rPr>
            </w:pPr>
          </w:p>
        </w:tc>
      </w:tr>
      <w:tr>
        <w:trPr>
          <w:trHeight w:val="350"/>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Stage 2</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Transfers</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New loans,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0"/>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Transfer</w:t>
            </w:r>
          </w:p>
        </w:tc>
        <w:tc>
          <w:tcPr>
            <w:tcW w:w="88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Transfer</w:t>
            </w:r>
          </w:p>
        </w:tc>
        <w:tc>
          <w:tcPr>
            <w:tcW w:w="1040" w:type="dxa"/>
            <w:vAlign w:val="bottom"/>
            <w:gridSpan w:val="3"/>
          </w:tcPr>
          <w:p>
            <w:pPr>
              <w:ind w:left="60"/>
              <w:spacing w:after="0" w:line="150" w:lineRule="exact"/>
              <w:rPr>
                <w:sz w:val="20"/>
                <w:szCs w:val="20"/>
                <w:color w:val="auto"/>
              </w:rPr>
            </w:pPr>
            <w:r>
              <w:rPr>
                <w:rFonts w:ascii="Arial" w:cs="Arial" w:eastAsia="Arial" w:hAnsi="Arial"/>
                <w:sz w:val="16"/>
                <w:szCs w:val="16"/>
                <w:b w:val="1"/>
                <w:bCs w:val="1"/>
                <w:color w:val="auto"/>
              </w:rPr>
              <w:t>between</w:t>
            </w: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liquidation</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r>
      <w:tr>
        <w:trPr>
          <w:trHeight w:val="175"/>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96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Transfer to</w:t>
            </w:r>
          </w:p>
        </w:tc>
        <w:tc>
          <w:tcPr>
            <w:tcW w:w="94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Transfer to</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from</w:t>
            </w:r>
          </w:p>
        </w:tc>
        <w:tc>
          <w:tcPr>
            <w:tcW w:w="88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from</w:t>
            </w:r>
          </w:p>
        </w:tc>
        <w:tc>
          <w:tcPr>
            <w:tcW w:w="1040" w:type="dxa"/>
            <w:vAlign w:val="bottom"/>
            <w:gridSpan w:val="3"/>
          </w:tcPr>
          <w:p>
            <w:pPr>
              <w:ind w:left="60"/>
              <w:spacing w:after="0" w:line="175" w:lineRule="exact"/>
              <w:rPr>
                <w:sz w:val="20"/>
                <w:szCs w:val="20"/>
                <w:color w:val="auto"/>
              </w:rPr>
            </w:pPr>
            <w:r>
              <w:rPr>
                <w:rFonts w:ascii="Arial" w:cs="Arial" w:eastAsia="Arial" w:hAnsi="Arial"/>
                <w:sz w:val="16"/>
                <w:szCs w:val="16"/>
                <w:b w:val="1"/>
                <w:bCs w:val="1"/>
                <w:color w:val="auto"/>
              </w:rPr>
              <w:t>classes of</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and write-</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Sale of loan</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differences</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r>
      <w:tr>
        <w:trPr>
          <w:trHeight w:val="192"/>
        </w:trPr>
        <w:tc>
          <w:tcPr>
            <w:tcW w:w="1580" w:type="dxa"/>
            <w:vAlign w:val="bottom"/>
          </w:tcPr>
          <w:p>
            <w:pPr>
              <w:spacing w:after="0"/>
              <w:rPr>
                <w:sz w:val="20"/>
                <w:szCs w:val="20"/>
                <w:color w:val="auto"/>
              </w:rPr>
            </w:pPr>
            <w:r>
              <w:rPr>
                <w:rFonts w:ascii="Arial" w:cs="Arial" w:eastAsia="Arial" w:hAnsi="Arial"/>
                <w:sz w:val="16"/>
                <w:szCs w:val="16"/>
                <w:b w:val="1"/>
                <w:bCs w:val="1"/>
                <w:color w:val="auto"/>
              </w:rPr>
              <w:t>Loans by class</w:t>
            </w: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31, 2022</w:t>
            </w:r>
          </w:p>
        </w:tc>
        <w:tc>
          <w:tcPr>
            <w:tcW w:w="4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1</w:t>
            </w:r>
          </w:p>
        </w:tc>
        <w:tc>
          <w:tcPr>
            <w:tcW w:w="94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3</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Stage 1</w:t>
            </w: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3</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loans</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offs, net</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and others</w:t>
            </w:r>
          </w:p>
        </w:tc>
        <w:tc>
          <w:tcPr>
            <w:tcW w:w="900" w:type="dxa"/>
            <w:vAlign w:val="bottom"/>
          </w:tcPr>
          <w:p>
            <w:pPr>
              <w:spacing w:after="0"/>
              <w:rPr>
                <w:sz w:val="20"/>
                <w:szCs w:val="20"/>
                <w:color w:val="auto"/>
              </w:rPr>
            </w:pPr>
            <w:r>
              <w:rPr>
                <w:rFonts w:ascii="Arial" w:cs="Arial" w:eastAsia="Arial" w:hAnsi="Arial"/>
                <w:sz w:val="16"/>
                <w:szCs w:val="16"/>
                <w:b w:val="1"/>
                <w:bCs w:val="1"/>
                <w:color w:val="auto"/>
              </w:rPr>
              <w:t>31, 2023</w:t>
            </w:r>
          </w:p>
        </w:tc>
        <w:tc>
          <w:tcPr>
            <w:tcW w:w="20" w:type="dxa"/>
            <w:vAlign w:val="bottom"/>
          </w:tcPr>
          <w:p>
            <w:pPr>
              <w:spacing w:after="0"/>
              <w:rPr>
                <w:sz w:val="16"/>
                <w:szCs w:val="16"/>
                <w:color w:val="auto"/>
              </w:rPr>
            </w:pPr>
          </w:p>
        </w:tc>
      </w:tr>
      <w:tr>
        <w:trPr>
          <w:trHeight w:val="152"/>
        </w:trPr>
        <w:tc>
          <w:tcPr>
            <w:tcW w:w="1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jc w:val="right"/>
              <w:ind w:right="222"/>
              <w:spacing w:after="0" w:line="152" w:lineRule="exact"/>
              <w:rPr>
                <w:sz w:val="20"/>
                <w:szCs w:val="20"/>
                <w:color w:val="auto"/>
              </w:rPr>
            </w:pPr>
            <w:r>
              <w:rPr>
                <w:rFonts w:ascii="Arial" w:cs="Arial" w:eastAsia="Arial" w:hAnsi="Arial"/>
                <w:sz w:val="16"/>
                <w:szCs w:val="16"/>
                <w:b w:val="1"/>
                <w:bCs w:val="1"/>
                <w:color w:val="auto"/>
                <w:w w:val="91"/>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Commercial loans</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8,850,173</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(6,837,244)</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(1,901,832)</w:t>
            </w: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7,735,234</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149,554</w:t>
            </w:r>
          </w:p>
        </w:tc>
        <w:tc>
          <w:tcPr>
            <w:tcW w:w="10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505,667</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(2,566,703)</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2,348</w:t>
            </w: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5,937,197</w:t>
            </w: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Residential mortgage</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3,207,081</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(2,834,608)</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(498,299)</w:t>
            </w: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3,890,376</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109,625</w:t>
            </w:r>
          </w:p>
        </w:tc>
        <w:tc>
          <w:tcPr>
            <w:tcW w:w="60" w:type="dxa"/>
            <w:vAlign w:val="bottom"/>
          </w:tcPr>
          <w:p>
            <w:pPr>
              <w:spacing w:after="0"/>
              <w:rPr>
                <w:sz w:val="15"/>
                <w:szCs w:val="15"/>
                <w:color w:val="auto"/>
              </w:rPr>
            </w:pPr>
          </w:p>
        </w:tc>
        <w:tc>
          <w:tcPr>
            <w:tcW w:w="9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(301,840)</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(14,233)</w:t>
            </w:r>
          </w:p>
        </w:tc>
        <w:tc>
          <w:tcPr>
            <w:tcW w:w="80" w:type="dxa"/>
            <w:vAlign w:val="bottom"/>
          </w:tcPr>
          <w:p>
            <w:pPr>
              <w:spacing w:after="0"/>
              <w:rPr>
                <w:sz w:val="15"/>
                <w:szCs w:val="15"/>
                <w:color w:val="auto"/>
              </w:rPr>
            </w:pP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3,558,102</w:t>
            </w: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Small business loans</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7,266,464</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(4,537,627)</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(2,151,478)</w:t>
            </w: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10,427,681</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104,183</w:t>
            </w:r>
          </w:p>
        </w:tc>
        <w:tc>
          <w:tcPr>
            <w:tcW w:w="10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(505,667)</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(6,021,879)</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48,637</w:t>
            </w: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4,630,314</w:t>
            </w:r>
          </w:p>
        </w:tc>
      </w:tr>
      <w:tr>
        <w:trPr>
          <w:trHeight w:val="190"/>
        </w:trPr>
        <w:tc>
          <w:tcPr>
            <w:tcW w:w="1580" w:type="dxa"/>
            <w:vAlign w:val="bottom"/>
          </w:tcPr>
          <w:p>
            <w:pPr>
              <w:spacing w:after="0"/>
              <w:rPr>
                <w:sz w:val="20"/>
                <w:szCs w:val="20"/>
                <w:color w:val="auto"/>
              </w:rPr>
            </w:pPr>
            <w:r>
              <w:rPr>
                <w:rFonts w:ascii="Arial" w:cs="Arial" w:eastAsia="Arial" w:hAnsi="Arial"/>
                <w:sz w:val="16"/>
                <w:szCs w:val="16"/>
                <w:color w:val="auto"/>
              </w:rPr>
              <w:t>Consumer loans</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3,471,604</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(3,352,518)</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(1,888,270)</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6,597,935</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66,491</w:t>
            </w:r>
          </w:p>
        </w:tc>
        <w:tc>
          <w:tcPr>
            <w:tcW w:w="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(1,552,101)</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(25,687)</w:t>
            </w:r>
          </w:p>
        </w:tc>
        <w:tc>
          <w:tcPr>
            <w:tcW w:w="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3,317,454</w:t>
            </w:r>
          </w:p>
        </w:tc>
      </w:tr>
      <w:tr>
        <w:trPr>
          <w:trHeight w:val="170"/>
        </w:trPr>
        <w:tc>
          <w:tcPr>
            <w:tcW w:w="158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22,795,322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(17,561,997)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7"/>
              </w:rPr>
              <w:t>(6,439,879)</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28,651,226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429,853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(10,442,523)</w:t>
            </w: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w w:val="72"/>
              </w:rPr>
              <w:t>−</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11,065</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17,443,067</w:t>
            </w:r>
          </w:p>
        </w:tc>
        <w:tc>
          <w:tcPr>
            <w:tcW w:w="20" w:type="dxa"/>
            <w:vAlign w:val="bottom"/>
          </w:tcPr>
          <w:p>
            <w:pPr>
              <w:spacing w:after="0"/>
              <w:rPr>
                <w:sz w:val="14"/>
                <w:szCs w:val="14"/>
                <w:color w:val="auto"/>
              </w:rPr>
            </w:pPr>
          </w:p>
        </w:tc>
      </w:tr>
      <w:tr>
        <w:trPr>
          <w:trHeight w:val="350"/>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Stage 3</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Transfers</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New loans,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0"/>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Transfer</w:t>
            </w:r>
          </w:p>
        </w:tc>
        <w:tc>
          <w:tcPr>
            <w:tcW w:w="88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Transfer</w:t>
            </w:r>
          </w:p>
        </w:tc>
        <w:tc>
          <w:tcPr>
            <w:tcW w:w="1040" w:type="dxa"/>
            <w:vAlign w:val="bottom"/>
            <w:gridSpan w:val="3"/>
          </w:tcPr>
          <w:p>
            <w:pPr>
              <w:ind w:left="60"/>
              <w:spacing w:after="0" w:line="150" w:lineRule="exact"/>
              <w:rPr>
                <w:sz w:val="20"/>
                <w:szCs w:val="20"/>
                <w:color w:val="auto"/>
              </w:rPr>
            </w:pPr>
            <w:r>
              <w:rPr>
                <w:rFonts w:ascii="Arial" w:cs="Arial" w:eastAsia="Arial" w:hAnsi="Arial"/>
                <w:sz w:val="16"/>
                <w:szCs w:val="16"/>
                <w:b w:val="1"/>
                <w:bCs w:val="1"/>
                <w:color w:val="auto"/>
              </w:rPr>
              <w:t>between</w:t>
            </w: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liquidation</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r>
      <w:tr>
        <w:trPr>
          <w:trHeight w:val="175"/>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96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Transfer to</w:t>
            </w:r>
          </w:p>
        </w:tc>
        <w:tc>
          <w:tcPr>
            <w:tcW w:w="94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Transfer to</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from</w:t>
            </w:r>
          </w:p>
        </w:tc>
        <w:tc>
          <w:tcPr>
            <w:tcW w:w="88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from</w:t>
            </w:r>
          </w:p>
        </w:tc>
        <w:tc>
          <w:tcPr>
            <w:tcW w:w="1040" w:type="dxa"/>
            <w:vAlign w:val="bottom"/>
            <w:gridSpan w:val="3"/>
          </w:tcPr>
          <w:p>
            <w:pPr>
              <w:ind w:left="60"/>
              <w:spacing w:after="0" w:line="175" w:lineRule="exact"/>
              <w:rPr>
                <w:sz w:val="20"/>
                <w:szCs w:val="20"/>
                <w:color w:val="auto"/>
              </w:rPr>
            </w:pPr>
            <w:r>
              <w:rPr>
                <w:rFonts w:ascii="Arial" w:cs="Arial" w:eastAsia="Arial" w:hAnsi="Arial"/>
                <w:sz w:val="16"/>
                <w:szCs w:val="16"/>
                <w:b w:val="1"/>
                <w:bCs w:val="1"/>
                <w:color w:val="auto"/>
              </w:rPr>
              <w:t>classes of</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and write-</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Sale of loan</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differences</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r>
      <w:tr>
        <w:trPr>
          <w:trHeight w:val="192"/>
        </w:trPr>
        <w:tc>
          <w:tcPr>
            <w:tcW w:w="1580" w:type="dxa"/>
            <w:vAlign w:val="bottom"/>
          </w:tcPr>
          <w:p>
            <w:pPr>
              <w:spacing w:after="0"/>
              <w:rPr>
                <w:sz w:val="20"/>
                <w:szCs w:val="20"/>
                <w:color w:val="auto"/>
              </w:rPr>
            </w:pPr>
            <w:r>
              <w:rPr>
                <w:rFonts w:ascii="Arial" w:cs="Arial" w:eastAsia="Arial" w:hAnsi="Arial"/>
                <w:sz w:val="16"/>
                <w:szCs w:val="16"/>
                <w:b w:val="1"/>
                <w:bCs w:val="1"/>
                <w:color w:val="auto"/>
              </w:rPr>
              <w:t>Loans by class</w:t>
            </w: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31, 2022</w:t>
            </w:r>
          </w:p>
        </w:tc>
        <w:tc>
          <w:tcPr>
            <w:tcW w:w="4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1</w:t>
            </w:r>
          </w:p>
        </w:tc>
        <w:tc>
          <w:tcPr>
            <w:tcW w:w="94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2</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Stage 1</w:t>
            </w: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Stage 2</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loans</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offs, net</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and others</w:t>
            </w:r>
          </w:p>
        </w:tc>
        <w:tc>
          <w:tcPr>
            <w:tcW w:w="900" w:type="dxa"/>
            <w:vAlign w:val="bottom"/>
          </w:tcPr>
          <w:p>
            <w:pPr>
              <w:spacing w:after="0"/>
              <w:rPr>
                <w:sz w:val="20"/>
                <w:szCs w:val="20"/>
                <w:color w:val="auto"/>
              </w:rPr>
            </w:pPr>
            <w:r>
              <w:rPr>
                <w:rFonts w:ascii="Arial" w:cs="Arial" w:eastAsia="Arial" w:hAnsi="Arial"/>
                <w:sz w:val="16"/>
                <w:szCs w:val="16"/>
                <w:b w:val="1"/>
                <w:bCs w:val="1"/>
                <w:color w:val="auto"/>
              </w:rPr>
              <w:t>31, 2023</w:t>
            </w:r>
          </w:p>
        </w:tc>
        <w:tc>
          <w:tcPr>
            <w:tcW w:w="20" w:type="dxa"/>
            <w:vAlign w:val="bottom"/>
          </w:tcPr>
          <w:p>
            <w:pPr>
              <w:spacing w:after="0"/>
              <w:rPr>
                <w:sz w:val="16"/>
                <w:szCs w:val="16"/>
                <w:color w:val="auto"/>
              </w:rPr>
            </w:pPr>
          </w:p>
        </w:tc>
      </w:tr>
      <w:tr>
        <w:trPr>
          <w:trHeight w:val="152"/>
        </w:trPr>
        <w:tc>
          <w:tcPr>
            <w:tcW w:w="1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jc w:val="right"/>
              <w:ind w:right="222"/>
              <w:spacing w:after="0" w:line="152" w:lineRule="exact"/>
              <w:rPr>
                <w:sz w:val="20"/>
                <w:szCs w:val="20"/>
                <w:color w:val="auto"/>
              </w:rPr>
            </w:pPr>
            <w:r>
              <w:rPr>
                <w:rFonts w:ascii="Arial" w:cs="Arial" w:eastAsia="Arial" w:hAnsi="Arial"/>
                <w:sz w:val="16"/>
                <w:szCs w:val="16"/>
                <w:b w:val="1"/>
                <w:bCs w:val="1"/>
                <w:color w:val="auto"/>
                <w:w w:val="91"/>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Commercial loans</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8,150,200</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(113,232)</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(149,554)</w:t>
            </w: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390,080</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1,901,832</w:t>
            </w:r>
          </w:p>
        </w:tc>
        <w:tc>
          <w:tcPr>
            <w:tcW w:w="9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(86,176)</w:t>
            </w:r>
          </w:p>
        </w:tc>
        <w:tc>
          <w:tcPr>
            <w:tcW w:w="80" w:type="dxa"/>
            <w:vAlign w:val="bottom"/>
          </w:tcPr>
          <w:p>
            <w:pPr>
              <w:spacing w:after="0"/>
              <w:rPr>
                <w:sz w:val="15"/>
                <w:szCs w:val="15"/>
                <w:color w:val="auto"/>
              </w:rPr>
            </w:pP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(2,325,958)</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(377,652)</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(82,364)</w:t>
            </w:r>
          </w:p>
        </w:tc>
        <w:tc>
          <w:tcPr>
            <w:tcW w:w="80" w:type="dxa"/>
            <w:vAlign w:val="bottom"/>
          </w:tcPr>
          <w:p>
            <w:pPr>
              <w:spacing w:after="0"/>
              <w:rPr>
                <w:sz w:val="15"/>
                <w:szCs w:val="15"/>
                <w:color w:val="auto"/>
              </w:rPr>
            </w:pP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7,307,176</w:t>
            </w: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Residential mortgage</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1,388,061</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(68,812)</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(109,625)</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87,230</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498,299</w:t>
            </w:r>
          </w:p>
        </w:tc>
        <w:tc>
          <w:tcPr>
            <w:tcW w:w="60" w:type="dxa"/>
            <w:vAlign w:val="bottom"/>
          </w:tcPr>
          <w:p>
            <w:pPr>
              <w:spacing w:after="0"/>
              <w:rPr>
                <w:sz w:val="15"/>
                <w:szCs w:val="15"/>
                <w:color w:val="auto"/>
              </w:rPr>
            </w:pPr>
          </w:p>
        </w:tc>
        <w:tc>
          <w:tcPr>
            <w:tcW w:w="9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(248,110)</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(69,258)</w:t>
            </w:r>
          </w:p>
        </w:tc>
        <w:tc>
          <w:tcPr>
            <w:tcW w:w="80" w:type="dxa"/>
            <w:vAlign w:val="bottom"/>
          </w:tcPr>
          <w:p>
            <w:pPr>
              <w:spacing w:after="0"/>
              <w:rPr>
                <w:sz w:val="15"/>
                <w:szCs w:val="15"/>
                <w:color w:val="auto"/>
              </w:rPr>
            </w:pP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(9,037)</w:t>
            </w: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1,468,748</w:t>
            </w: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Small business loans</w:t>
            </w:r>
          </w:p>
        </w:tc>
        <w:tc>
          <w:tcPr>
            <w:tcW w:w="10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1,741,559</w:t>
            </w:r>
          </w:p>
        </w:tc>
        <w:tc>
          <w:tcPr>
            <w:tcW w:w="9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(15,883)</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(104,183)</w:t>
            </w: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193,852</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2,151,478</w:t>
            </w:r>
          </w:p>
        </w:tc>
        <w:tc>
          <w:tcPr>
            <w:tcW w:w="10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86,176</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(2,231,402)</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(21,388)</w:t>
            </w:r>
          </w:p>
        </w:tc>
        <w:tc>
          <w:tcPr>
            <w:tcW w:w="80" w:type="dxa"/>
            <w:vAlign w:val="bottom"/>
          </w:tcPr>
          <w:p>
            <w:pPr>
              <w:spacing w:after="0"/>
              <w:rPr>
                <w:sz w:val="15"/>
                <w:szCs w:val="15"/>
                <w:color w:val="auto"/>
              </w:rPr>
            </w:pP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2,621</w:t>
            </w:r>
          </w:p>
        </w:tc>
        <w:tc>
          <w:tcPr>
            <w:tcW w:w="9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1,802,830</w:t>
            </w:r>
          </w:p>
        </w:tc>
      </w:tr>
      <w:tr>
        <w:trPr>
          <w:trHeight w:val="190"/>
        </w:trPr>
        <w:tc>
          <w:tcPr>
            <w:tcW w:w="1580" w:type="dxa"/>
            <w:vAlign w:val="bottom"/>
          </w:tcPr>
          <w:p>
            <w:pPr>
              <w:spacing w:after="0"/>
              <w:rPr>
                <w:sz w:val="20"/>
                <w:szCs w:val="20"/>
                <w:color w:val="auto"/>
              </w:rPr>
            </w:pPr>
            <w:r>
              <w:rPr>
                <w:rFonts w:ascii="Arial" w:cs="Arial" w:eastAsia="Arial" w:hAnsi="Arial"/>
                <w:sz w:val="16"/>
                <w:szCs w:val="16"/>
                <w:color w:val="auto"/>
              </w:rPr>
              <w:t>Consumer loans</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auto"/>
              </w:rPr>
              <w:t>1,099,383</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(68,103)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(66,491)</w:t>
            </w:r>
          </w:p>
        </w:tc>
        <w:tc>
          <w:tcPr>
            <w:tcW w:w="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466,950</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1,888,270</w:t>
            </w:r>
          </w:p>
        </w:tc>
        <w:tc>
          <w:tcPr>
            <w:tcW w:w="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(1,763,126)</w:t>
            </w:r>
          </w:p>
        </w:tc>
        <w:tc>
          <w:tcPr>
            <w:tcW w:w="880" w:type="dxa"/>
            <w:vAlign w:val="bottom"/>
          </w:tcPr>
          <w:p>
            <w:pPr>
              <w:jc w:val="right"/>
              <w:spacing w:after="0"/>
              <w:rPr>
                <w:sz w:val="20"/>
                <w:szCs w:val="20"/>
                <w:color w:val="auto"/>
              </w:rPr>
            </w:pPr>
            <w:r>
              <w:rPr>
                <w:rFonts w:ascii="Arial" w:cs="Arial" w:eastAsia="Arial" w:hAnsi="Arial"/>
                <w:sz w:val="16"/>
                <w:szCs w:val="16"/>
                <w:color w:val="auto"/>
              </w:rPr>
              <w:t>(21,689)</w:t>
            </w:r>
          </w:p>
        </w:tc>
        <w:tc>
          <w:tcPr>
            <w:tcW w:w="8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11,493</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1,546,687</w:t>
            </w:r>
          </w:p>
        </w:tc>
      </w:tr>
      <w:tr>
        <w:trPr>
          <w:trHeight w:val="170"/>
        </w:trPr>
        <w:tc>
          <w:tcPr>
            <w:tcW w:w="158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12,379,203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(266,030)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(429,853)</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1,138,112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6,439,879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(6,568,596)</w:t>
            </w: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(489,987)</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(77,287)</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12,125,441</w:t>
            </w:r>
          </w:p>
        </w:tc>
        <w:tc>
          <w:tcPr>
            <w:tcW w:w="20" w:type="dxa"/>
            <w:vAlign w:val="bottom"/>
          </w:tcPr>
          <w:p>
            <w:pPr>
              <w:spacing w:after="0"/>
              <w:rPr>
                <w:sz w:val="14"/>
                <w:szCs w:val="14"/>
                <w:color w:val="auto"/>
              </w:rPr>
            </w:pPr>
          </w:p>
        </w:tc>
      </w:tr>
      <w:tr>
        <w:trPr>
          <w:trHeight w:val="333"/>
        </w:trPr>
        <w:tc>
          <w:tcPr>
            <w:tcW w:w="1580" w:type="dxa"/>
            <w:vAlign w:val="bottom"/>
          </w:tcPr>
          <w:p>
            <w:pPr>
              <w:spacing w:after="0"/>
              <w:rPr>
                <w:sz w:val="20"/>
                <w:szCs w:val="20"/>
                <w:color w:val="auto"/>
              </w:rPr>
            </w:pPr>
            <w:r>
              <w:rPr>
                <w:rFonts w:ascii="Arial" w:cs="Arial" w:eastAsia="Arial" w:hAnsi="Arial"/>
                <w:sz w:val="16"/>
                <w:szCs w:val="16"/>
                <w:b w:val="1"/>
                <w:bCs w:val="1"/>
                <w:color w:val="auto"/>
              </w:rPr>
              <w:t>Consolidated 3</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2"/>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Stages</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Transfers</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New loans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0"/>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c>
          <w:tcPr>
            <w:tcW w:w="88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Written off</w:t>
            </w:r>
          </w:p>
        </w:tc>
        <w:tc>
          <w:tcPr>
            <w:tcW w:w="1040" w:type="dxa"/>
            <w:vAlign w:val="bottom"/>
            <w:gridSpan w:val="3"/>
          </w:tcPr>
          <w:p>
            <w:pPr>
              <w:ind w:left="60"/>
              <w:spacing w:after="0" w:line="150" w:lineRule="exact"/>
              <w:rPr>
                <w:sz w:val="20"/>
                <w:szCs w:val="20"/>
                <w:color w:val="auto"/>
              </w:rPr>
            </w:pPr>
            <w:r>
              <w:rPr>
                <w:rFonts w:ascii="Arial" w:cs="Arial" w:eastAsia="Arial" w:hAnsi="Arial"/>
                <w:sz w:val="16"/>
                <w:szCs w:val="16"/>
                <w:b w:val="1"/>
                <w:bCs w:val="1"/>
                <w:color w:val="auto"/>
              </w:rPr>
              <w:t>between</w:t>
            </w: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and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Exchange</w:t>
            </w:r>
          </w:p>
        </w:tc>
        <w:tc>
          <w:tcPr>
            <w:tcW w:w="9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Balance at</w:t>
            </w:r>
          </w:p>
        </w:tc>
      </w:tr>
      <w:tr>
        <w:trPr>
          <w:trHeight w:val="175"/>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c>
          <w:tcPr>
            <w:tcW w:w="88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and</w:t>
            </w:r>
          </w:p>
        </w:tc>
        <w:tc>
          <w:tcPr>
            <w:tcW w:w="1040" w:type="dxa"/>
            <w:vAlign w:val="bottom"/>
            <w:gridSpan w:val="3"/>
          </w:tcPr>
          <w:p>
            <w:pPr>
              <w:ind w:left="60"/>
              <w:spacing w:after="0" w:line="175" w:lineRule="exact"/>
              <w:rPr>
                <w:sz w:val="20"/>
                <w:szCs w:val="20"/>
                <w:color w:val="auto"/>
              </w:rPr>
            </w:pPr>
            <w:r>
              <w:rPr>
                <w:rFonts w:ascii="Arial" w:cs="Arial" w:eastAsia="Arial" w:hAnsi="Arial"/>
                <w:sz w:val="16"/>
                <w:szCs w:val="16"/>
                <w:b w:val="1"/>
                <w:bCs w:val="1"/>
                <w:color w:val="auto"/>
              </w:rPr>
              <w:t>classes of</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liquidation,</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Sale of loan</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differences</w:t>
            </w:r>
          </w:p>
        </w:tc>
        <w:tc>
          <w:tcPr>
            <w:tcW w:w="9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w:t>
            </w:r>
          </w:p>
        </w:tc>
      </w:tr>
      <w:tr>
        <w:trPr>
          <w:trHeight w:val="192"/>
        </w:trPr>
        <w:tc>
          <w:tcPr>
            <w:tcW w:w="1580" w:type="dxa"/>
            <w:vAlign w:val="bottom"/>
          </w:tcPr>
          <w:p>
            <w:pPr>
              <w:spacing w:after="0"/>
              <w:rPr>
                <w:sz w:val="20"/>
                <w:szCs w:val="20"/>
                <w:color w:val="auto"/>
              </w:rPr>
            </w:pPr>
            <w:r>
              <w:rPr>
                <w:rFonts w:ascii="Arial" w:cs="Arial" w:eastAsia="Arial" w:hAnsi="Arial"/>
                <w:sz w:val="16"/>
                <w:szCs w:val="16"/>
                <w:b w:val="1"/>
                <w:bCs w:val="1"/>
                <w:color w:val="auto"/>
              </w:rPr>
              <w:t>Loans by class</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31, 2022</w:t>
            </w:r>
          </w:p>
        </w:tc>
        <w:tc>
          <w:tcPr>
            <w:tcW w:w="60" w:type="dxa"/>
            <w:vAlign w:val="bottom"/>
          </w:tcPr>
          <w:p>
            <w:pPr>
              <w:spacing w:after="0"/>
              <w:rPr>
                <w:sz w:val="16"/>
                <w:szCs w:val="16"/>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b w:val="1"/>
                <w:bCs w:val="1"/>
                <w:color w:val="auto"/>
              </w:rPr>
              <w:t>forgivens</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loans</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net</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and others</w:t>
            </w:r>
          </w:p>
        </w:tc>
        <w:tc>
          <w:tcPr>
            <w:tcW w:w="900" w:type="dxa"/>
            <w:vAlign w:val="bottom"/>
          </w:tcPr>
          <w:p>
            <w:pPr>
              <w:spacing w:after="0"/>
              <w:rPr>
                <w:sz w:val="20"/>
                <w:szCs w:val="20"/>
                <w:color w:val="auto"/>
              </w:rPr>
            </w:pPr>
            <w:r>
              <w:rPr>
                <w:rFonts w:ascii="Arial" w:cs="Arial" w:eastAsia="Arial" w:hAnsi="Arial"/>
                <w:sz w:val="16"/>
                <w:szCs w:val="16"/>
                <w:b w:val="1"/>
                <w:bCs w:val="1"/>
                <w:color w:val="auto"/>
              </w:rPr>
              <w:t>31, 2023</w:t>
            </w:r>
          </w:p>
        </w:tc>
        <w:tc>
          <w:tcPr>
            <w:tcW w:w="20" w:type="dxa"/>
            <w:vAlign w:val="bottom"/>
          </w:tcPr>
          <w:p>
            <w:pPr>
              <w:spacing w:after="0"/>
              <w:rPr>
                <w:sz w:val="16"/>
                <w:szCs w:val="16"/>
                <w:color w:val="auto"/>
              </w:rPr>
            </w:pPr>
          </w:p>
        </w:tc>
      </w:tr>
      <w:tr>
        <w:trPr>
          <w:trHeight w:val="152"/>
        </w:trPr>
        <w:tc>
          <w:tcPr>
            <w:tcW w:w="1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b w:val="1"/>
                <w:bCs w:val="1"/>
                <w:color w:val="auto"/>
              </w:rPr>
              <w:t>S/(000)</w:t>
            </w:r>
          </w:p>
        </w:tc>
        <w:tc>
          <w:tcPr>
            <w:tcW w:w="840" w:type="dxa"/>
            <w:vAlign w:val="bottom"/>
            <w:tcBorders>
              <w:top w:val="single" w:sz="8" w:color="auto"/>
            </w:tcBorders>
            <w:gridSpan w:val="2"/>
          </w:tcPr>
          <w:p>
            <w:pPr>
              <w:jc w:val="right"/>
              <w:ind w:right="222"/>
              <w:spacing w:after="0" w:line="152" w:lineRule="exact"/>
              <w:rPr>
                <w:sz w:val="20"/>
                <w:szCs w:val="20"/>
                <w:color w:val="auto"/>
              </w:rPr>
            </w:pPr>
            <w:r>
              <w:rPr>
                <w:rFonts w:ascii="Arial" w:cs="Arial" w:eastAsia="Arial" w:hAnsi="Arial"/>
                <w:sz w:val="16"/>
                <w:szCs w:val="16"/>
                <w:b w:val="1"/>
                <w:bCs w:val="1"/>
                <w:color w:val="auto"/>
                <w:w w:val="99"/>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Commercial loans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w w:val="94"/>
              </w:rPr>
              <w:t>103,190,830</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(369,307)</w:t>
            </w:r>
          </w:p>
        </w:tc>
        <w:tc>
          <w:tcPr>
            <w:tcW w:w="10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1,285,445</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(5,480,669)</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(377,652)</w:t>
            </w: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(1,075,487)</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97,173,160</w:t>
            </w:r>
          </w:p>
        </w:tc>
        <w:tc>
          <w:tcPr>
            <w:tcW w:w="20" w:type="dxa"/>
            <w:vAlign w:val="bottom"/>
          </w:tcPr>
          <w:p>
            <w:pPr>
              <w:spacing w:after="0"/>
              <w:rPr>
                <w:sz w:val="15"/>
                <w:szCs w:val="15"/>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Residential mortgage</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23,235,574</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(25,205)</w:t>
            </w:r>
          </w:p>
        </w:tc>
        <w:tc>
          <w:tcPr>
            <w:tcW w:w="60" w:type="dxa"/>
            <w:vAlign w:val="bottom"/>
          </w:tcPr>
          <w:p>
            <w:pPr>
              <w:spacing w:after="0"/>
              <w:rPr>
                <w:sz w:val="15"/>
                <w:szCs w:val="15"/>
                <w:color w:val="auto"/>
              </w:rPr>
            </w:pPr>
          </w:p>
        </w:tc>
        <w:tc>
          <w:tcPr>
            <w:tcW w:w="9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1,156,148</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(69,258)</w:t>
            </w:r>
          </w:p>
        </w:tc>
        <w:tc>
          <w:tcPr>
            <w:tcW w:w="80" w:type="dxa"/>
            <w:vAlign w:val="bottom"/>
          </w:tcPr>
          <w:p>
            <w:pPr>
              <w:spacing w:after="0"/>
              <w:rPr>
                <w:sz w:val="15"/>
                <w:szCs w:val="15"/>
                <w:color w:val="auto"/>
              </w:rPr>
            </w:pP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(120,340)</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24,176,919</w:t>
            </w:r>
          </w:p>
        </w:tc>
        <w:tc>
          <w:tcPr>
            <w:tcW w:w="20" w:type="dxa"/>
            <w:vAlign w:val="bottom"/>
          </w:tcPr>
          <w:p>
            <w:pPr>
              <w:spacing w:after="0"/>
              <w:rPr>
                <w:sz w:val="15"/>
                <w:szCs w:val="15"/>
                <w:color w:val="auto"/>
              </w:rPr>
            </w:pPr>
          </w:p>
        </w:tc>
      </w:tr>
      <w:tr>
        <w:trPr>
          <w:trHeight w:val="175"/>
        </w:trPr>
        <w:tc>
          <w:tcPr>
            <w:tcW w:w="1580" w:type="dxa"/>
            <w:vAlign w:val="bottom"/>
          </w:tcPr>
          <w:p>
            <w:pPr>
              <w:spacing w:after="0" w:line="175" w:lineRule="exact"/>
              <w:rPr>
                <w:sz w:val="20"/>
                <w:szCs w:val="20"/>
                <w:color w:val="auto"/>
              </w:rPr>
            </w:pPr>
            <w:r>
              <w:rPr>
                <w:rFonts w:ascii="Arial" w:cs="Arial" w:eastAsia="Arial" w:hAnsi="Arial"/>
                <w:sz w:val="16"/>
                <w:szCs w:val="16"/>
                <w:color w:val="auto"/>
              </w:rPr>
              <w:t>Small business loans</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22,433,676</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(1,519,522)</w:t>
            </w:r>
          </w:p>
        </w:tc>
        <w:tc>
          <w:tcPr>
            <w:tcW w:w="10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(1,285,445)</w:t>
            </w:r>
          </w:p>
        </w:tc>
        <w:tc>
          <w:tcPr>
            <w:tcW w:w="104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2,706,087</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(21,388)</w:t>
            </w:r>
          </w:p>
        </w:tc>
        <w:tc>
          <w:tcPr>
            <w:tcW w:w="80" w:type="dxa"/>
            <w:vAlign w:val="bottom"/>
          </w:tcPr>
          <w:p>
            <w:pPr>
              <w:spacing w:after="0"/>
              <w:rPr>
                <w:sz w:val="15"/>
                <w:szCs w:val="15"/>
                <w:color w:val="auto"/>
              </w:rPr>
            </w:pPr>
          </w:p>
        </w:tc>
        <w:tc>
          <w:tcPr>
            <w:tcW w:w="10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185,582</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22,498,990</w:t>
            </w:r>
          </w:p>
        </w:tc>
        <w:tc>
          <w:tcPr>
            <w:tcW w:w="20" w:type="dxa"/>
            <w:vAlign w:val="bottom"/>
          </w:tcPr>
          <w:p>
            <w:pPr>
              <w:spacing w:after="0"/>
              <w:rPr>
                <w:sz w:val="15"/>
                <w:szCs w:val="15"/>
                <w:color w:val="auto"/>
              </w:rPr>
            </w:pPr>
          </w:p>
        </w:tc>
      </w:tr>
      <w:tr>
        <w:trPr>
          <w:trHeight w:val="190"/>
        </w:trPr>
        <w:tc>
          <w:tcPr>
            <w:tcW w:w="1580" w:type="dxa"/>
            <w:vAlign w:val="bottom"/>
          </w:tcPr>
          <w:p>
            <w:pPr>
              <w:spacing w:after="0"/>
              <w:rPr>
                <w:sz w:val="20"/>
                <w:szCs w:val="20"/>
                <w:color w:val="auto"/>
              </w:rPr>
            </w:pPr>
            <w:r>
              <w:rPr>
                <w:rFonts w:ascii="Arial" w:cs="Arial" w:eastAsia="Arial" w:hAnsi="Arial"/>
                <w:sz w:val="16"/>
                <w:szCs w:val="16"/>
                <w:color w:val="auto"/>
              </w:rPr>
              <w:t>Consumer loans</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19,957,922</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(1,410,633)</w:t>
            </w:r>
          </w:p>
        </w:tc>
        <w:tc>
          <w:tcPr>
            <w:tcW w:w="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1,650,547</w:t>
            </w:r>
          </w:p>
        </w:tc>
        <w:tc>
          <w:tcPr>
            <w:tcW w:w="880" w:type="dxa"/>
            <w:vAlign w:val="bottom"/>
          </w:tcPr>
          <w:p>
            <w:pPr>
              <w:jc w:val="right"/>
              <w:spacing w:after="0"/>
              <w:rPr>
                <w:sz w:val="20"/>
                <w:szCs w:val="20"/>
                <w:color w:val="auto"/>
              </w:rPr>
            </w:pPr>
            <w:r>
              <w:rPr>
                <w:rFonts w:ascii="Arial" w:cs="Arial" w:eastAsia="Arial" w:hAnsi="Arial"/>
                <w:sz w:val="16"/>
                <w:szCs w:val="16"/>
                <w:color w:val="auto"/>
              </w:rPr>
              <w:t>(21,689)</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(77,946)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20,098,201</w:t>
            </w:r>
          </w:p>
        </w:tc>
        <w:tc>
          <w:tcPr>
            <w:tcW w:w="20" w:type="dxa"/>
            <w:vAlign w:val="bottom"/>
          </w:tcPr>
          <w:p>
            <w:pPr>
              <w:spacing w:after="0"/>
              <w:rPr>
                <w:sz w:val="16"/>
                <w:szCs w:val="16"/>
                <w:color w:val="auto"/>
              </w:rPr>
            </w:pPr>
          </w:p>
        </w:tc>
      </w:tr>
      <w:tr>
        <w:trPr>
          <w:trHeight w:val="170"/>
        </w:trPr>
        <w:tc>
          <w:tcPr>
            <w:tcW w:w="158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line="167" w:lineRule="exact"/>
              <w:rPr>
                <w:sz w:val="20"/>
                <w:szCs w:val="20"/>
                <w:color w:val="auto"/>
              </w:rPr>
            </w:pPr>
            <w:r>
              <w:rPr>
                <w:rFonts w:ascii="Arial" w:cs="Arial" w:eastAsia="Arial" w:hAnsi="Arial"/>
                <w:sz w:val="16"/>
                <w:szCs w:val="16"/>
                <w:color w:val="auto"/>
                <w:w w:val="94"/>
              </w:rPr>
              <w:t>168,818,002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5"/>
              </w:rPr>
              <w:t>(3,324,667)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32,113</w:t>
            </w: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(489,987)</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(1,088,191)</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8"/>
              </w:rPr>
              <w:t>163,947,270</w:t>
            </w:r>
          </w:p>
        </w:tc>
        <w:tc>
          <w:tcPr>
            <w:tcW w:w="20" w:type="dxa"/>
            <w:vAlign w:val="bottom"/>
          </w:tcPr>
          <w:p>
            <w:pPr>
              <w:spacing w:after="0"/>
              <w:rPr>
                <w:sz w:val="14"/>
                <w:szCs w:val="14"/>
                <w:color w:val="auto"/>
              </w:rPr>
            </w:pPr>
          </w:p>
        </w:tc>
      </w:tr>
      <w:tr>
        <w:trPr>
          <w:trHeight w:val="483"/>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color w:val="auto"/>
              </w:rPr>
              <w:t>-68-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71" w:name="page72"/>
    <w:bookmarkEnd w:id="71"/>
    <w:p>
      <w:pPr>
        <w:ind w:left="840" w:right="240" w:hanging="286"/>
        <w:spacing w:after="0" w:line="242" w:lineRule="auto"/>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As of December 31, 2024, and 2023, the allowance for loan losses for direct loans, indirect loans and due from customers on banker’s acceptances, was determined under the expected credit loss model as established in IFRS 9. The movement in the allowance for loan losses is shown below for direct loans and indirect loans and due from customers on banker’s acceptances: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40" w:type="dxa"/>
            <w:vAlign w:val="bottom"/>
          </w:tcPr>
          <w:p>
            <w:pPr>
              <w:spacing w:after="0"/>
              <w:rPr>
                <w:sz w:val="12"/>
                <w:szCs w:val="12"/>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Stage 1</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New loans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Transfers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Balance at</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Transfer</w:t>
            </w:r>
          </w:p>
        </w:tc>
        <w:tc>
          <w:tcPr>
            <w:tcW w:w="7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Transfer</w:t>
            </w:r>
          </w:p>
        </w:tc>
        <w:tc>
          <w:tcPr>
            <w:tcW w:w="88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liquidation,</w:t>
            </w:r>
          </w:p>
        </w:tc>
        <w:tc>
          <w:tcPr>
            <w:tcW w:w="13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Changes in between</w:t>
            </w:r>
          </w:p>
        </w:tc>
        <w:tc>
          <w:tcPr>
            <w:tcW w:w="76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Sale of</w:t>
            </w:r>
          </w:p>
        </w:tc>
        <w:tc>
          <w:tcPr>
            <w:tcW w:w="7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Exchange</w:t>
            </w:r>
          </w:p>
        </w:tc>
        <w:tc>
          <w:tcPr>
            <w:tcW w:w="88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Balance at</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40" w:type="dxa"/>
            <w:vAlign w:val="bottom"/>
            <w:gridSpan w:val="8"/>
          </w:tcPr>
          <w:p>
            <w:pPr>
              <w:ind w:left="40"/>
              <w:spacing w:after="0"/>
              <w:rPr>
                <w:sz w:val="20"/>
                <w:szCs w:val="20"/>
                <w:color w:val="auto"/>
              </w:rPr>
            </w:pPr>
            <w:r>
              <w:rPr>
                <w:rFonts w:ascii="Arial" w:cs="Arial" w:eastAsia="Arial" w:hAnsi="Arial"/>
                <w:sz w:val="12"/>
                <w:szCs w:val="12"/>
                <w:b w:val="1"/>
                <w:bCs w:val="1"/>
                <w:color w:val="auto"/>
              </w:rPr>
              <w:t>December 31, Transfer to Transfer to</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from</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from</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write-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PD, LGD,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classes</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loan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differences</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b w:val="1"/>
                <w:bCs w:val="1"/>
                <w:color w:val="auto"/>
              </w:rPr>
              <w:t>Loans by class</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2</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Stage 3</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2</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Stage 3</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offs, net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EAD (*)</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loans</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portfolio</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others</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82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Commercial 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552,132</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(151,847)</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(7,753)</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153,552</w:t>
            </w: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64,165</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30,593</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(147,692)</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34,272</w:t>
            </w:r>
          </w:p>
        </w:tc>
        <w:tc>
          <w:tcPr>
            <w:tcW w:w="2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(12,392)</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515,030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Residential mortgage</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54,102</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(20,949)</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(430)</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34,474</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12,065</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9,428</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(22,871)</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197</w:t>
            </w:r>
          </w:p>
        </w:tc>
        <w:tc>
          <w:tcPr>
            <w:tcW w:w="2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242</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66,258</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Micro-business 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348,124</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(356,044)</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(6,772)</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107,403</w:t>
            </w: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28,034</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464,092</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(165,734)</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(34,272)</w:t>
            </w:r>
          </w:p>
        </w:tc>
        <w:tc>
          <w:tcPr>
            <w:tcW w:w="2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(548)</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384,283</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Consumer 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285,091</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(245,783)</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(5,297)</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142,011</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74,041</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51,412</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29,377</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(197)</w:t>
            </w:r>
          </w:p>
        </w:tc>
        <w:tc>
          <w:tcPr>
            <w:tcW w:w="2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355</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331,010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500" w:type="dxa"/>
            <w:vAlign w:val="bottom"/>
          </w:tcPr>
          <w:p>
            <w:pPr>
              <w:spacing w:after="0" w:line="132"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1,239,449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(774,623)</w:t>
            </w:r>
          </w:p>
        </w:tc>
        <w:tc>
          <w:tcPr>
            <w:tcW w:w="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(20,252)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437,440</w:t>
            </w:r>
          </w:p>
        </w:tc>
        <w:tc>
          <w:tcPr>
            <w:tcW w:w="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178,305</w:t>
            </w:r>
          </w:p>
        </w:tc>
        <w:tc>
          <w:tcPr>
            <w:tcW w:w="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555,525</w:t>
            </w: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(306,920)</w:t>
            </w:r>
          </w:p>
        </w:tc>
        <w:tc>
          <w:tcPr>
            <w:tcW w:w="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(12,343)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1,296,581</w:t>
            </w:r>
          </w:p>
        </w:tc>
        <w:tc>
          <w:tcPr>
            <w:tcW w:w="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84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Stage 2</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New loans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Transfers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Balance at</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Transfer</w:t>
            </w:r>
          </w:p>
        </w:tc>
        <w:tc>
          <w:tcPr>
            <w:tcW w:w="7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Transfer</w:t>
            </w:r>
          </w:p>
        </w:tc>
        <w:tc>
          <w:tcPr>
            <w:tcW w:w="88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liquidation,</w:t>
            </w:r>
          </w:p>
        </w:tc>
        <w:tc>
          <w:tcPr>
            <w:tcW w:w="13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Changes in between</w:t>
            </w:r>
          </w:p>
        </w:tc>
        <w:tc>
          <w:tcPr>
            <w:tcW w:w="76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Sale of</w:t>
            </w:r>
          </w:p>
        </w:tc>
        <w:tc>
          <w:tcPr>
            <w:tcW w:w="7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Exchange</w:t>
            </w:r>
          </w:p>
        </w:tc>
        <w:tc>
          <w:tcPr>
            <w:tcW w:w="88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Balance at</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40" w:type="dxa"/>
            <w:vAlign w:val="bottom"/>
            <w:gridSpan w:val="8"/>
          </w:tcPr>
          <w:p>
            <w:pPr>
              <w:ind w:left="40"/>
              <w:spacing w:after="0"/>
              <w:rPr>
                <w:sz w:val="20"/>
                <w:szCs w:val="20"/>
                <w:color w:val="auto"/>
              </w:rPr>
            </w:pPr>
            <w:r>
              <w:rPr>
                <w:rFonts w:ascii="Arial" w:cs="Arial" w:eastAsia="Arial" w:hAnsi="Arial"/>
                <w:sz w:val="12"/>
                <w:szCs w:val="12"/>
                <w:b w:val="1"/>
                <w:bCs w:val="1"/>
                <w:color w:val="auto"/>
              </w:rPr>
              <w:t>December 31, Transfer to Transfer to</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from</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from</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write-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PD, LGD,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classes</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loan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differences</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b w:val="1"/>
                <w:bCs w:val="1"/>
                <w:color w:val="auto"/>
              </w:rPr>
              <w:t>Loans by class</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1</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Stage 3</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1</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Stage 3</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offs, net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EAD (*)</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loans</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portfolio</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others</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82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Commercial 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399,536</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(153,552)</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(205,233)</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151,847</w:t>
            </w: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55,861</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(114,850)</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143,678</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24,408</w:t>
            </w:r>
          </w:p>
        </w:tc>
        <w:tc>
          <w:tcPr>
            <w:tcW w:w="2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(837)</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300,858</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Residential mortgage</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121,258</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(34,474)</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(41,104)</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20,949</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29,958</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(18,325)</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90,309</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(349)</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168,222</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Micro-business 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431,282</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(107,403)</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(351,156)</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356,044</w:t>
            </w: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69,433</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(292,119)</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318,559</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(24,408)</w:t>
            </w:r>
          </w:p>
        </w:tc>
        <w:tc>
          <w:tcPr>
            <w:tcW w:w="2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(3,553)</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396,679</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Consumer 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435,150</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(142,011)</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(434,526)</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245,783</w:t>
            </w: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85,974</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(146,722)</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473,117</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(2,518)</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514,247</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500" w:type="dxa"/>
            <w:vAlign w:val="bottom"/>
          </w:tcPr>
          <w:p>
            <w:pPr>
              <w:spacing w:after="0" w:line="132"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1,387,226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(437,440)</w:t>
            </w:r>
          </w:p>
        </w:tc>
        <w:tc>
          <w:tcPr>
            <w:tcW w:w="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(1,032,019)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774,623</w:t>
            </w:r>
          </w:p>
        </w:tc>
        <w:tc>
          <w:tcPr>
            <w:tcW w:w="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241,226</w:t>
            </w:r>
          </w:p>
        </w:tc>
        <w:tc>
          <w:tcPr>
            <w:tcW w:w="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(572,016)</w:t>
            </w:r>
          </w:p>
        </w:tc>
        <w:tc>
          <w:tcPr>
            <w:tcW w:w="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1,025,663</w:t>
            </w:r>
          </w:p>
        </w:tc>
        <w:tc>
          <w:tcPr>
            <w:tcW w:w="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(7,257)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1,380,006</w:t>
            </w:r>
          </w:p>
        </w:tc>
        <w:tc>
          <w:tcPr>
            <w:tcW w:w="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84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Stage 3</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New loans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Transfers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8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Balance at</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Transfer</w:t>
            </w:r>
          </w:p>
        </w:tc>
        <w:tc>
          <w:tcPr>
            <w:tcW w:w="7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Transfer</w:t>
            </w:r>
          </w:p>
        </w:tc>
        <w:tc>
          <w:tcPr>
            <w:tcW w:w="88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liquidation,</w:t>
            </w:r>
          </w:p>
        </w:tc>
        <w:tc>
          <w:tcPr>
            <w:tcW w:w="13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Changes in between</w:t>
            </w:r>
          </w:p>
        </w:tc>
        <w:tc>
          <w:tcPr>
            <w:tcW w:w="76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Sale of</w:t>
            </w:r>
          </w:p>
        </w:tc>
        <w:tc>
          <w:tcPr>
            <w:tcW w:w="7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Exchange</w:t>
            </w:r>
          </w:p>
        </w:tc>
        <w:tc>
          <w:tcPr>
            <w:tcW w:w="88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Balance at</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40" w:type="dxa"/>
            <w:vAlign w:val="bottom"/>
            <w:gridSpan w:val="8"/>
          </w:tcPr>
          <w:p>
            <w:pPr>
              <w:ind w:left="40"/>
              <w:spacing w:after="0"/>
              <w:rPr>
                <w:sz w:val="20"/>
                <w:szCs w:val="20"/>
                <w:color w:val="auto"/>
              </w:rPr>
            </w:pPr>
            <w:r>
              <w:rPr>
                <w:rFonts w:ascii="Arial" w:cs="Arial" w:eastAsia="Arial" w:hAnsi="Arial"/>
                <w:sz w:val="12"/>
                <w:szCs w:val="12"/>
                <w:b w:val="1"/>
                <w:bCs w:val="1"/>
                <w:color w:val="auto"/>
              </w:rPr>
              <w:t>December 31, Transfer to Transfer to</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from</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from</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write-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PD, LGD,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classes</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loan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differences</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b w:val="1"/>
                <w:bCs w:val="1"/>
                <w:color w:val="auto"/>
              </w:rPr>
              <w:t>Loans by class</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1</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Stage 2</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1</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Stage 2</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offs, net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EAD (*)</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loans</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portfolio</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others</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82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Commercial 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2,631,554</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(64,165)</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(55,861)</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7,753</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205,233</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(881,988)</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837,925</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(89,886)</w:t>
            </w:r>
          </w:p>
        </w:tc>
        <w:tc>
          <w:tcPr>
            <w:tcW w:w="760" w:type="dxa"/>
            <w:vAlign w:val="bottom"/>
            <w:gridSpan w:val="3"/>
          </w:tcPr>
          <w:p>
            <w:pPr>
              <w:jc w:val="right"/>
              <w:ind w:right="60"/>
              <w:spacing w:after="0"/>
              <w:rPr>
                <w:sz w:val="20"/>
                <w:szCs w:val="20"/>
                <w:color w:val="auto"/>
              </w:rPr>
            </w:pPr>
            <w:r>
              <w:rPr>
                <w:rFonts w:ascii="Arial" w:cs="Arial" w:eastAsia="Arial" w:hAnsi="Arial"/>
                <w:sz w:val="12"/>
                <w:szCs w:val="12"/>
                <w:color w:val="auto"/>
              </w:rPr>
              <w:t>(83,143)</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4,699</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2,512,121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Residential mortgage</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785,261</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(12,065)</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(29,958)</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430</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41,104</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(155,152)</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213,306</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227</w:t>
            </w:r>
          </w:p>
        </w:tc>
        <w:tc>
          <w:tcPr>
            <w:tcW w:w="760" w:type="dxa"/>
            <w:vAlign w:val="bottom"/>
            <w:gridSpan w:val="3"/>
          </w:tcPr>
          <w:p>
            <w:pPr>
              <w:jc w:val="right"/>
              <w:ind w:right="60"/>
              <w:spacing w:after="0"/>
              <w:rPr>
                <w:sz w:val="20"/>
                <w:szCs w:val="20"/>
                <w:color w:val="auto"/>
              </w:rPr>
            </w:pPr>
            <w:r>
              <w:rPr>
                <w:rFonts w:ascii="Arial" w:cs="Arial" w:eastAsia="Arial" w:hAnsi="Arial"/>
                <w:sz w:val="12"/>
                <w:szCs w:val="12"/>
                <w:color w:val="auto"/>
              </w:rPr>
              <w:t>(25,181)</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1,675</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819,647</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Micro-business 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1,288,082</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(28,034)</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(69,433)</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6,772</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351,156</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(1,898,683)</w:t>
            </w:r>
          </w:p>
        </w:tc>
        <w:tc>
          <w:tcPr>
            <w:tcW w:w="680" w:type="dxa"/>
            <w:vAlign w:val="bottom"/>
          </w:tcPr>
          <w:p>
            <w:pPr>
              <w:jc w:val="right"/>
              <w:spacing w:after="0"/>
              <w:rPr>
                <w:sz w:val="20"/>
                <w:szCs w:val="20"/>
                <w:color w:val="auto"/>
              </w:rPr>
            </w:pPr>
            <w:r>
              <w:rPr>
                <w:rFonts w:ascii="Arial" w:cs="Arial" w:eastAsia="Arial" w:hAnsi="Arial"/>
                <w:sz w:val="12"/>
                <w:szCs w:val="12"/>
                <w:color w:val="auto"/>
              </w:rPr>
              <w:t>1,435,145</w:t>
            </w:r>
          </w:p>
        </w:tc>
        <w:tc>
          <w:tcPr>
            <w:tcW w:w="4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89,886</w:t>
            </w:r>
          </w:p>
        </w:tc>
        <w:tc>
          <w:tcPr>
            <w:tcW w:w="760" w:type="dxa"/>
            <w:vAlign w:val="bottom"/>
            <w:gridSpan w:val="3"/>
          </w:tcPr>
          <w:p>
            <w:pPr>
              <w:jc w:val="right"/>
              <w:ind w:right="60"/>
              <w:spacing w:after="0"/>
              <w:rPr>
                <w:sz w:val="20"/>
                <w:szCs w:val="20"/>
                <w:color w:val="auto"/>
              </w:rPr>
            </w:pPr>
            <w:r>
              <w:rPr>
                <w:rFonts w:ascii="Arial" w:cs="Arial" w:eastAsia="Arial" w:hAnsi="Arial"/>
                <w:sz w:val="12"/>
                <w:szCs w:val="12"/>
                <w:color w:val="auto"/>
              </w:rPr>
              <w:t>(5,540)</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(2,032)</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1,167,319</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Consumer loans</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1,314,373</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(74,041)</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(85,974)</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5,297</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434,526</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(1,656,047)</w:t>
            </w:r>
          </w:p>
        </w:tc>
        <w:tc>
          <w:tcPr>
            <w:tcW w:w="680" w:type="dxa"/>
            <w:vAlign w:val="bottom"/>
          </w:tcPr>
          <w:p>
            <w:pPr>
              <w:jc w:val="right"/>
              <w:spacing w:after="0"/>
              <w:rPr>
                <w:sz w:val="20"/>
                <w:szCs w:val="20"/>
                <w:color w:val="auto"/>
              </w:rPr>
            </w:pPr>
            <w:r>
              <w:rPr>
                <w:rFonts w:ascii="Arial" w:cs="Arial" w:eastAsia="Arial" w:hAnsi="Arial"/>
                <w:sz w:val="12"/>
                <w:szCs w:val="12"/>
                <w:color w:val="auto"/>
              </w:rPr>
              <w:t>1,275,984</w:t>
            </w:r>
          </w:p>
        </w:tc>
        <w:tc>
          <w:tcPr>
            <w:tcW w:w="4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(227)</w:t>
            </w:r>
          </w:p>
        </w:tc>
        <w:tc>
          <w:tcPr>
            <w:tcW w:w="760" w:type="dxa"/>
            <w:vAlign w:val="bottom"/>
            <w:gridSpan w:val="3"/>
          </w:tcPr>
          <w:p>
            <w:pPr>
              <w:jc w:val="right"/>
              <w:ind w:right="60"/>
              <w:spacing w:after="0"/>
              <w:rPr>
                <w:sz w:val="20"/>
                <w:szCs w:val="20"/>
                <w:color w:val="auto"/>
              </w:rPr>
            </w:pPr>
            <w:r>
              <w:rPr>
                <w:rFonts w:ascii="Arial" w:cs="Arial" w:eastAsia="Arial" w:hAnsi="Arial"/>
                <w:sz w:val="12"/>
                <w:szCs w:val="12"/>
                <w:color w:val="auto"/>
              </w:rPr>
              <w:t>(8,554)</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(2,116)</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1,203,221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500" w:type="dxa"/>
            <w:vAlign w:val="bottom"/>
          </w:tcPr>
          <w:p>
            <w:pPr>
              <w:spacing w:after="0" w:line="132"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2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6,019,270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(178,305)</w:t>
            </w:r>
          </w:p>
        </w:tc>
        <w:tc>
          <w:tcPr>
            <w:tcW w:w="4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(241,226)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20,252</w:t>
            </w:r>
          </w:p>
        </w:tc>
        <w:tc>
          <w:tcPr>
            <w:tcW w:w="4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1,032,019</w:t>
            </w:r>
          </w:p>
        </w:tc>
        <w:tc>
          <w:tcPr>
            <w:tcW w:w="40" w:type="dxa"/>
            <w:vAlign w:val="bottom"/>
          </w:tcPr>
          <w:p>
            <w:pPr>
              <w:spacing w:after="0"/>
              <w:rPr>
                <w:sz w:val="11"/>
                <w:szCs w:val="11"/>
                <w:color w:val="auto"/>
              </w:rPr>
            </w:pPr>
          </w:p>
        </w:tc>
        <w:tc>
          <w:tcPr>
            <w:tcW w:w="82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(4,591,870)</w:t>
            </w: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3,762,360</w:t>
            </w:r>
          </w:p>
        </w:tc>
        <w:tc>
          <w:tcPr>
            <w:tcW w:w="40" w:type="dxa"/>
            <w:vAlign w:val="bottom"/>
          </w:tcPr>
          <w:p>
            <w:pPr>
              <w:spacing w:after="0"/>
              <w:rPr>
                <w:sz w:val="11"/>
                <w:szCs w:val="11"/>
                <w:color w:val="auto"/>
              </w:rPr>
            </w:pPr>
          </w:p>
        </w:tc>
        <w:tc>
          <w:tcPr>
            <w:tcW w:w="5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(122,418)</w:t>
            </w:r>
          </w:p>
        </w:tc>
        <w:tc>
          <w:tcPr>
            <w:tcW w:w="6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2,226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20"/>
              <w:spacing w:after="0" w:line="132" w:lineRule="exact"/>
              <w:rPr>
                <w:sz w:val="20"/>
                <w:szCs w:val="20"/>
                <w:color w:val="auto"/>
              </w:rPr>
            </w:pPr>
            <w:r>
              <w:rPr>
                <w:rFonts w:ascii="Arial" w:cs="Arial" w:eastAsia="Arial" w:hAnsi="Arial"/>
                <w:sz w:val="12"/>
                <w:szCs w:val="12"/>
                <w:color w:val="auto"/>
              </w:rPr>
              <w:t>5,702,308</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1500" w:type="dxa"/>
            <w:vAlign w:val="bottom"/>
          </w:tcPr>
          <w:p>
            <w:pPr>
              <w:spacing w:after="0"/>
              <w:rPr>
                <w:sz w:val="20"/>
                <w:szCs w:val="20"/>
                <w:color w:val="auto"/>
              </w:rPr>
            </w:pPr>
            <w:r>
              <w:rPr>
                <w:rFonts w:ascii="Arial" w:cs="Arial" w:eastAsia="Arial" w:hAnsi="Arial"/>
                <w:sz w:val="12"/>
                <w:szCs w:val="12"/>
                <w:b w:val="1"/>
                <w:bCs w:val="1"/>
                <w:color w:val="auto"/>
              </w:rPr>
              <w:t>Consolidated 3</w:t>
            </w:r>
          </w:p>
        </w:tc>
        <w:tc>
          <w:tcPr>
            <w:tcW w:w="4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b w:val="1"/>
                <w:bCs w:val="1"/>
                <w:color w:val="auto"/>
              </w:rPr>
              <w:t>Stages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Loan</w:t>
            </w:r>
          </w:p>
        </w:tc>
        <w:tc>
          <w:tcPr>
            <w:tcW w:w="1600" w:type="dxa"/>
            <w:vAlign w:val="bottom"/>
            <w:gridSpan w:val="4"/>
          </w:tcPr>
          <w:p>
            <w:pPr>
              <w:ind w:left="20"/>
              <w:spacing w:after="0"/>
              <w:rPr>
                <w:sz w:val="20"/>
                <w:szCs w:val="20"/>
                <w:color w:val="auto"/>
              </w:rPr>
            </w:pPr>
            <w:r>
              <w:rPr>
                <w:rFonts w:ascii="Arial" w:cs="Arial" w:eastAsia="Arial" w:hAnsi="Arial"/>
                <w:sz w:val="12"/>
                <w:szCs w:val="12"/>
                <w:b w:val="1"/>
                <w:bCs w:val="1"/>
                <w:color w:val="auto"/>
              </w:rPr>
              <w:t>Credit loss of the period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0" w:type="dxa"/>
            <w:vAlign w:val="bottom"/>
          </w:tcPr>
          <w:p>
            <w:pPr>
              <w:spacing w:after="0"/>
              <w:rPr>
                <w:sz w:val="9"/>
                <w:szCs w:val="9"/>
                <w:color w:val="auto"/>
              </w:rPr>
            </w:pPr>
          </w:p>
        </w:tc>
        <w:tc>
          <w:tcPr>
            <w:tcW w:w="1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portafolio</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New loans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Transfers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at</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written off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w:t>
            </w:r>
          </w:p>
        </w:tc>
        <w:tc>
          <w:tcPr>
            <w:tcW w:w="1320" w:type="dxa"/>
            <w:vAlign w:val="bottom"/>
            <w:gridSpan w:val="4"/>
          </w:tcPr>
          <w:p>
            <w:pPr>
              <w:spacing w:after="0"/>
              <w:rPr>
                <w:sz w:val="20"/>
                <w:szCs w:val="20"/>
                <w:color w:val="auto"/>
              </w:rPr>
            </w:pPr>
            <w:r>
              <w:rPr>
                <w:rFonts w:ascii="Arial" w:cs="Arial" w:eastAsia="Arial" w:hAnsi="Arial"/>
                <w:sz w:val="12"/>
                <w:szCs w:val="12"/>
                <w:b w:val="1"/>
                <w:bCs w:val="1"/>
                <w:color w:val="auto"/>
              </w:rPr>
              <w:t>Changes in between</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Sale of</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Exchange</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at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and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liquidation,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PD, LGD,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classes</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loan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differences</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b w:val="1"/>
                <w:bCs w:val="1"/>
                <w:color w:val="auto"/>
              </w:rPr>
              <w:t>Loans by class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31, 2023</w:t>
            </w:r>
          </w:p>
        </w:tc>
        <w:tc>
          <w:tcPr>
            <w:tcW w:w="4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forgivens</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net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EAD (*)</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loans</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portfolio</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others</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82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Commercial loans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3,583,222</w:t>
            </w: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(614,686)</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(351,559)</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833,911</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(31,206)</w:t>
            </w:r>
          </w:p>
        </w:tc>
        <w:tc>
          <w:tcPr>
            <w:tcW w:w="760" w:type="dxa"/>
            <w:vAlign w:val="bottom"/>
            <w:gridSpan w:val="3"/>
          </w:tcPr>
          <w:p>
            <w:pPr>
              <w:jc w:val="right"/>
              <w:ind w:right="60"/>
              <w:spacing w:after="0"/>
              <w:rPr>
                <w:sz w:val="20"/>
                <w:szCs w:val="20"/>
                <w:color w:val="auto"/>
              </w:rPr>
            </w:pPr>
            <w:r>
              <w:rPr>
                <w:rFonts w:ascii="Arial" w:cs="Arial" w:eastAsia="Arial" w:hAnsi="Arial"/>
                <w:sz w:val="12"/>
                <w:szCs w:val="12"/>
                <w:color w:val="auto"/>
              </w:rPr>
              <w:t>(83,143)</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(8,530)</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3,328,009</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Residential mortgage</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loans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960,621</w:t>
            </w: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(23,023)</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(141,026)</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280,744</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424</w:t>
            </w:r>
          </w:p>
        </w:tc>
        <w:tc>
          <w:tcPr>
            <w:tcW w:w="760" w:type="dxa"/>
            <w:vAlign w:val="bottom"/>
            <w:gridSpan w:val="3"/>
          </w:tcPr>
          <w:p>
            <w:pPr>
              <w:jc w:val="right"/>
              <w:ind w:right="60"/>
              <w:spacing w:after="0"/>
              <w:rPr>
                <w:sz w:val="20"/>
                <w:szCs w:val="20"/>
                <w:color w:val="auto"/>
              </w:rPr>
            </w:pPr>
            <w:r>
              <w:rPr>
                <w:rFonts w:ascii="Arial" w:cs="Arial" w:eastAsia="Arial" w:hAnsi="Arial"/>
                <w:sz w:val="12"/>
                <w:szCs w:val="12"/>
                <w:color w:val="auto"/>
              </w:rPr>
              <w:t>(25,181)</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1,568</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1,054,127</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Micro-business loans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2,067,488</w:t>
            </w: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(1,813,283)</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86,573</w:t>
            </w:r>
          </w:p>
        </w:tc>
        <w:tc>
          <w:tcPr>
            <w:tcW w:w="680" w:type="dxa"/>
            <w:vAlign w:val="bottom"/>
          </w:tcPr>
          <w:p>
            <w:pPr>
              <w:jc w:val="right"/>
              <w:spacing w:after="0"/>
              <w:rPr>
                <w:sz w:val="20"/>
                <w:szCs w:val="20"/>
                <w:color w:val="auto"/>
              </w:rPr>
            </w:pPr>
            <w:r>
              <w:rPr>
                <w:rFonts w:ascii="Arial" w:cs="Arial" w:eastAsia="Arial" w:hAnsi="Arial"/>
                <w:sz w:val="12"/>
                <w:szCs w:val="12"/>
                <w:color w:val="auto"/>
              </w:rPr>
              <w:t>1,587,970</w:t>
            </w:r>
          </w:p>
        </w:tc>
        <w:tc>
          <w:tcPr>
            <w:tcW w:w="4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31,206</w:t>
            </w:r>
          </w:p>
        </w:tc>
        <w:tc>
          <w:tcPr>
            <w:tcW w:w="760" w:type="dxa"/>
            <w:vAlign w:val="bottom"/>
            <w:gridSpan w:val="3"/>
          </w:tcPr>
          <w:p>
            <w:pPr>
              <w:jc w:val="right"/>
              <w:ind w:right="60"/>
              <w:spacing w:after="0"/>
              <w:rPr>
                <w:sz w:val="20"/>
                <w:szCs w:val="20"/>
                <w:color w:val="auto"/>
              </w:rPr>
            </w:pPr>
            <w:r>
              <w:rPr>
                <w:rFonts w:ascii="Arial" w:cs="Arial" w:eastAsia="Arial" w:hAnsi="Arial"/>
                <w:sz w:val="12"/>
                <w:szCs w:val="12"/>
                <w:color w:val="auto"/>
              </w:rPr>
              <w:t>(5,540)</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(6,133)</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1,948,281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Arial" w:cs="Arial" w:eastAsia="Arial" w:hAnsi="Arial"/>
                <w:sz w:val="12"/>
                <w:szCs w:val="12"/>
                <w:color w:val="auto"/>
              </w:rPr>
              <w:t>Consumer loans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2,034,614</w:t>
            </w:r>
          </w:p>
        </w:tc>
        <w:tc>
          <w:tcPr>
            <w:tcW w:w="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(1,619,567)</w:t>
            </w: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(131,790)</w:t>
            </w:r>
          </w:p>
        </w:tc>
        <w:tc>
          <w:tcPr>
            <w:tcW w:w="680" w:type="dxa"/>
            <w:vAlign w:val="bottom"/>
          </w:tcPr>
          <w:p>
            <w:pPr>
              <w:jc w:val="right"/>
              <w:spacing w:after="0"/>
              <w:rPr>
                <w:sz w:val="20"/>
                <w:szCs w:val="20"/>
                <w:color w:val="auto"/>
              </w:rPr>
            </w:pPr>
            <w:r>
              <w:rPr>
                <w:rFonts w:ascii="Arial" w:cs="Arial" w:eastAsia="Arial" w:hAnsi="Arial"/>
                <w:sz w:val="12"/>
                <w:szCs w:val="12"/>
                <w:color w:val="auto"/>
              </w:rPr>
              <w:t>1,778,478</w:t>
            </w:r>
          </w:p>
        </w:tc>
        <w:tc>
          <w:tcPr>
            <w:tcW w:w="4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(424)</w:t>
            </w:r>
          </w:p>
        </w:tc>
        <w:tc>
          <w:tcPr>
            <w:tcW w:w="760" w:type="dxa"/>
            <w:vAlign w:val="bottom"/>
            <w:gridSpan w:val="3"/>
          </w:tcPr>
          <w:p>
            <w:pPr>
              <w:jc w:val="right"/>
              <w:ind w:right="60"/>
              <w:spacing w:after="0"/>
              <w:rPr>
                <w:sz w:val="20"/>
                <w:szCs w:val="20"/>
                <w:color w:val="auto"/>
              </w:rPr>
            </w:pPr>
            <w:r>
              <w:rPr>
                <w:rFonts w:ascii="Arial" w:cs="Arial" w:eastAsia="Arial" w:hAnsi="Arial"/>
                <w:sz w:val="12"/>
                <w:szCs w:val="12"/>
                <w:color w:val="auto"/>
              </w:rPr>
              <w:t>(8,554)</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(4,279)</w:t>
            </w: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2,048,478</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500" w:type="dxa"/>
            <w:vAlign w:val="bottom"/>
          </w:tcPr>
          <w:p>
            <w:pPr>
              <w:spacing w:after="0" w:line="132"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8,645,945</w:t>
            </w:r>
          </w:p>
        </w:tc>
        <w:tc>
          <w:tcPr>
            <w:tcW w:w="4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(4,070,559)</w:t>
            </w:r>
          </w:p>
        </w:tc>
        <w:tc>
          <w:tcPr>
            <w:tcW w:w="40" w:type="dxa"/>
            <w:vAlign w:val="bottom"/>
          </w:tcPr>
          <w:p>
            <w:pPr>
              <w:spacing w:after="0"/>
              <w:rPr>
                <w:sz w:val="11"/>
                <w:szCs w:val="11"/>
                <w:color w:val="auto"/>
              </w:rPr>
            </w:pPr>
          </w:p>
        </w:tc>
        <w:tc>
          <w:tcPr>
            <w:tcW w:w="82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(537,802)</w:t>
            </w: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4,481,103</w:t>
            </w:r>
          </w:p>
        </w:tc>
        <w:tc>
          <w:tcPr>
            <w:tcW w:w="40" w:type="dxa"/>
            <w:vAlign w:val="bottom"/>
          </w:tcPr>
          <w:p>
            <w:pPr>
              <w:spacing w:after="0"/>
              <w:rPr>
                <w:sz w:val="11"/>
                <w:szCs w:val="11"/>
                <w:color w:val="auto"/>
              </w:rPr>
            </w:pPr>
          </w:p>
        </w:tc>
        <w:tc>
          <w:tcPr>
            <w:tcW w:w="5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(122,418)</w:t>
            </w:r>
          </w:p>
        </w:tc>
        <w:tc>
          <w:tcPr>
            <w:tcW w:w="6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(17,374)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20"/>
              <w:spacing w:after="0" w:line="132" w:lineRule="exact"/>
              <w:rPr>
                <w:sz w:val="20"/>
                <w:szCs w:val="20"/>
                <w:color w:val="auto"/>
              </w:rPr>
            </w:pPr>
            <w:r>
              <w:rPr>
                <w:rFonts w:ascii="Arial" w:cs="Arial" w:eastAsia="Arial" w:hAnsi="Arial"/>
                <w:sz w:val="12"/>
                <w:szCs w:val="12"/>
                <w:color w:val="auto"/>
              </w:rPr>
              <w:t>8,378,895</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3"/>
        </w:trPr>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2"/>
                <w:szCs w:val="12"/>
                <w:color w:val="auto"/>
              </w:rPr>
              <w:t>-69-</w:t>
            </w: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40" w:type="dxa"/>
            <w:vAlign w:val="bottom"/>
          </w:tcPr>
          <w:p>
            <w:pPr>
              <w:spacing w:after="0"/>
              <w:rPr>
                <w:sz w:val="12"/>
                <w:szCs w:val="12"/>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Stage 1</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New loans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Transfers</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Balance at</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Transfer</w:t>
            </w:r>
          </w:p>
        </w:tc>
        <w:tc>
          <w:tcPr>
            <w:tcW w:w="7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Transfer</w:t>
            </w:r>
          </w:p>
        </w:tc>
        <w:tc>
          <w:tcPr>
            <w:tcW w:w="76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liquidation,</w:t>
            </w:r>
          </w:p>
        </w:tc>
        <w:tc>
          <w:tcPr>
            <w:tcW w:w="76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Changes in</w:t>
            </w:r>
          </w:p>
        </w:tc>
        <w:tc>
          <w:tcPr>
            <w:tcW w:w="6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between</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Exchange</w:t>
            </w:r>
          </w:p>
        </w:tc>
        <w:tc>
          <w:tcPr>
            <w:tcW w:w="7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Balance at</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8"/>
          </w:tcPr>
          <w:p>
            <w:pPr>
              <w:spacing w:after="0"/>
              <w:rPr>
                <w:sz w:val="20"/>
                <w:szCs w:val="20"/>
                <w:color w:val="auto"/>
              </w:rPr>
            </w:pPr>
            <w:r>
              <w:rPr>
                <w:rFonts w:ascii="Arial" w:cs="Arial" w:eastAsia="Arial" w:hAnsi="Arial"/>
                <w:sz w:val="12"/>
                <w:szCs w:val="12"/>
                <w:b w:val="1"/>
                <w:bCs w:val="1"/>
                <w:color w:val="auto"/>
              </w:rPr>
              <w:t>December 31, Transfer to Transfer to</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from</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from</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write-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PD, LGD,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classes of</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Sale of loan</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differences</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December</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b w:val="1"/>
                <w:bCs w:val="1"/>
                <w:color w:val="auto"/>
              </w:rPr>
              <w:t>Loans by class</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2022</w:t>
            </w:r>
          </w:p>
        </w:tc>
        <w:tc>
          <w:tcPr>
            <w:tcW w:w="2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2</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3</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2</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Stage 3</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offs, net</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EAD (*)</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loans</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portfolio</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and others</w:t>
            </w:r>
          </w:p>
        </w:tc>
        <w:tc>
          <w:tcPr>
            <w:tcW w:w="720" w:type="dxa"/>
            <w:vAlign w:val="bottom"/>
          </w:tcPr>
          <w:p>
            <w:pPr>
              <w:spacing w:after="0"/>
              <w:rPr>
                <w:sz w:val="20"/>
                <w:szCs w:val="20"/>
                <w:color w:val="auto"/>
              </w:rPr>
            </w:pPr>
            <w:r>
              <w:rPr>
                <w:rFonts w:ascii="Arial" w:cs="Arial" w:eastAsia="Arial" w:hAnsi="Arial"/>
                <w:sz w:val="12"/>
                <w:szCs w:val="12"/>
                <w:b w:val="1"/>
                <w:bCs w:val="1"/>
                <w:color w:val="auto"/>
              </w:rPr>
              <w:t>31, 2023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Commercial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571,899</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(139,043)</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(9,218)</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218,944</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33,333</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23,792</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(162,840)</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20,026</w:t>
            </w:r>
          </w:p>
        </w:tc>
        <w:tc>
          <w:tcPr>
            <w:tcW w:w="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(4,761)</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552,132</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83,536</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(16,389)</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(705)</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36,384</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36,223</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9,628</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(94,942)</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367</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54,102</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Micro-business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315,960</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(305,106)</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(7,484)</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137,210</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9,520</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420,469</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(205,832)</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(20,026)</w:t>
            </w:r>
          </w:p>
        </w:tc>
        <w:tc>
          <w:tcPr>
            <w:tcW w:w="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3,413</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348,124</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Consumer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300,322</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(257,482)</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(15,591)</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173,612</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61,421</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60,661</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(35,337)</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(2,515)</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285,091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520" w:type="dxa"/>
            <w:vAlign w:val="bottom"/>
          </w:tcPr>
          <w:p>
            <w:pPr>
              <w:spacing w:after="0" w:line="132"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1,271,717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(718,020)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(32,998)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566,150</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140,497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514,550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(498,951)</w:t>
            </w:r>
          </w:p>
        </w:tc>
        <w:tc>
          <w:tcPr>
            <w:tcW w:w="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(3,496)</w:t>
            </w:r>
          </w:p>
        </w:tc>
        <w:tc>
          <w:tcPr>
            <w:tcW w:w="6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1,239,449</w:t>
            </w:r>
          </w:p>
        </w:tc>
        <w:tc>
          <w:tcPr>
            <w:tcW w:w="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84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Stage 2</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New loans</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Transfers</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Balance at</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Transfer</w:t>
            </w:r>
          </w:p>
        </w:tc>
        <w:tc>
          <w:tcPr>
            <w:tcW w:w="7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Transfer</w:t>
            </w:r>
          </w:p>
        </w:tc>
        <w:tc>
          <w:tcPr>
            <w:tcW w:w="76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liquidation,</w:t>
            </w:r>
          </w:p>
        </w:tc>
        <w:tc>
          <w:tcPr>
            <w:tcW w:w="76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Changes in</w:t>
            </w:r>
          </w:p>
        </w:tc>
        <w:tc>
          <w:tcPr>
            <w:tcW w:w="6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between</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Exchange</w:t>
            </w:r>
          </w:p>
        </w:tc>
        <w:tc>
          <w:tcPr>
            <w:tcW w:w="7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Balance at</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8"/>
          </w:tcPr>
          <w:p>
            <w:pPr>
              <w:spacing w:after="0"/>
              <w:rPr>
                <w:sz w:val="20"/>
                <w:szCs w:val="20"/>
                <w:color w:val="auto"/>
              </w:rPr>
            </w:pPr>
            <w:r>
              <w:rPr>
                <w:rFonts w:ascii="Arial" w:cs="Arial" w:eastAsia="Arial" w:hAnsi="Arial"/>
                <w:sz w:val="12"/>
                <w:szCs w:val="12"/>
                <w:b w:val="1"/>
                <w:bCs w:val="1"/>
                <w:color w:val="auto"/>
              </w:rPr>
              <w:t>December 31, Transfer to Transfer to</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from</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from</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write-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PD, LGD,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classes of</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Sale of loan</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differences</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December</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b w:val="1"/>
                <w:bCs w:val="1"/>
                <w:color w:val="auto"/>
              </w:rPr>
              <w:t>Loans by class</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2022</w:t>
            </w:r>
          </w:p>
        </w:tc>
        <w:tc>
          <w:tcPr>
            <w:tcW w:w="2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1</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3</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1</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Stage 3</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offs, net</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EAD (*)</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loans</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portfolio</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and others</w:t>
            </w:r>
          </w:p>
        </w:tc>
        <w:tc>
          <w:tcPr>
            <w:tcW w:w="720" w:type="dxa"/>
            <w:vAlign w:val="bottom"/>
          </w:tcPr>
          <w:p>
            <w:pPr>
              <w:spacing w:after="0"/>
              <w:rPr>
                <w:sz w:val="20"/>
                <w:szCs w:val="20"/>
                <w:color w:val="auto"/>
              </w:rPr>
            </w:pPr>
            <w:r>
              <w:rPr>
                <w:rFonts w:ascii="Arial" w:cs="Arial" w:eastAsia="Arial" w:hAnsi="Arial"/>
                <w:sz w:val="12"/>
                <w:szCs w:val="12"/>
                <w:b w:val="1"/>
                <w:bCs w:val="1"/>
                <w:color w:val="auto"/>
              </w:rPr>
              <w:t>31, 2023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Commercial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493,257</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(218,944)</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(196,971)</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139,043</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39,898</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(119,049)</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208,014</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52,764</w:t>
            </w:r>
          </w:p>
        </w:tc>
        <w:tc>
          <w:tcPr>
            <w:tcW w:w="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1,524</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399,536</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126,832</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(36,384)</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(41,369)</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16,389</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58,782</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(11,555)</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9,120</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(557)</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121,258</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Micro-business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540,913</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(137,210)</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(354,473)</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305,106</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64,946</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(351,848)</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411,980</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(52,764)</w:t>
            </w:r>
          </w:p>
        </w:tc>
        <w:tc>
          <w:tcPr>
            <w:tcW w:w="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4,632</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431,282</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Consumer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439,574</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(173,612)</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(576,535)</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257,482</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56,985</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(144,372)</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581,442</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(5,814)</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435,150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520" w:type="dxa"/>
            <w:vAlign w:val="bottom"/>
          </w:tcPr>
          <w:p>
            <w:pPr>
              <w:spacing w:after="0" w:line="132"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1,600,576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(566,150)</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(1,169,348)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718,020</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220,611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(626,824)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1,210,556</w:t>
            </w:r>
          </w:p>
        </w:tc>
        <w:tc>
          <w:tcPr>
            <w:tcW w:w="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(215)</w:t>
            </w:r>
          </w:p>
        </w:tc>
        <w:tc>
          <w:tcPr>
            <w:tcW w:w="6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1,387,226</w:t>
            </w:r>
          </w:p>
        </w:tc>
        <w:tc>
          <w:tcPr>
            <w:tcW w:w="2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84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Stage 3</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New loans</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Transfers</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Balance at</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rPr>
              <w:t>Transfer</w:t>
            </w:r>
          </w:p>
        </w:tc>
        <w:tc>
          <w:tcPr>
            <w:tcW w:w="7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Transfer</w:t>
            </w:r>
          </w:p>
        </w:tc>
        <w:tc>
          <w:tcPr>
            <w:tcW w:w="76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liquidation,</w:t>
            </w:r>
          </w:p>
        </w:tc>
        <w:tc>
          <w:tcPr>
            <w:tcW w:w="76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Changes in</w:t>
            </w:r>
          </w:p>
        </w:tc>
        <w:tc>
          <w:tcPr>
            <w:tcW w:w="6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between</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Exchange</w:t>
            </w:r>
          </w:p>
        </w:tc>
        <w:tc>
          <w:tcPr>
            <w:tcW w:w="7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Balance at</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8"/>
          </w:tcPr>
          <w:p>
            <w:pPr>
              <w:spacing w:after="0"/>
              <w:rPr>
                <w:sz w:val="20"/>
                <w:szCs w:val="20"/>
                <w:color w:val="auto"/>
              </w:rPr>
            </w:pPr>
            <w:r>
              <w:rPr>
                <w:rFonts w:ascii="Arial" w:cs="Arial" w:eastAsia="Arial" w:hAnsi="Arial"/>
                <w:sz w:val="12"/>
                <w:szCs w:val="12"/>
                <w:b w:val="1"/>
                <w:bCs w:val="1"/>
                <w:color w:val="auto"/>
              </w:rPr>
              <w:t>December 31, Transfer to Transfer to</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from</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from</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write-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PD, LGD,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classes of</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Sale of loan</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differences</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December</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b w:val="1"/>
                <w:bCs w:val="1"/>
                <w:color w:val="auto"/>
              </w:rPr>
              <w:t>Loans by class</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2022</w:t>
            </w:r>
          </w:p>
        </w:tc>
        <w:tc>
          <w:tcPr>
            <w:tcW w:w="20" w:type="dxa"/>
            <w:vAlign w:val="bottom"/>
          </w:tcPr>
          <w:p>
            <w:pPr>
              <w:spacing w:after="0"/>
              <w:rPr>
                <w:sz w:val="12"/>
                <w:szCs w:val="12"/>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1</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2</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Stage 1</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Stage 2</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offs, net</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EAD (*)</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loans</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portfolio</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and others</w:t>
            </w:r>
          </w:p>
        </w:tc>
        <w:tc>
          <w:tcPr>
            <w:tcW w:w="720" w:type="dxa"/>
            <w:vAlign w:val="bottom"/>
          </w:tcPr>
          <w:p>
            <w:pPr>
              <w:spacing w:after="0"/>
              <w:rPr>
                <w:sz w:val="20"/>
                <w:szCs w:val="20"/>
                <w:color w:val="auto"/>
              </w:rPr>
            </w:pPr>
            <w:r>
              <w:rPr>
                <w:rFonts w:ascii="Arial" w:cs="Arial" w:eastAsia="Arial" w:hAnsi="Arial"/>
                <w:sz w:val="12"/>
                <w:szCs w:val="12"/>
                <w:b w:val="1"/>
                <w:bCs w:val="1"/>
                <w:color w:val="auto"/>
              </w:rPr>
              <w:t>31, 2023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Commercial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2,846,887</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(33,333)</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(39,898)</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9,218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196,971</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(632,292)</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630,339</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(48,356)</w:t>
            </w:r>
          </w:p>
        </w:tc>
        <w:tc>
          <w:tcPr>
            <w:tcW w:w="800" w:type="dxa"/>
            <w:vAlign w:val="bottom"/>
            <w:gridSpan w:val="3"/>
          </w:tcPr>
          <w:p>
            <w:pPr>
              <w:jc w:val="right"/>
              <w:ind w:right="40"/>
              <w:spacing w:after="0"/>
              <w:rPr>
                <w:sz w:val="20"/>
                <w:szCs w:val="20"/>
                <w:color w:val="auto"/>
              </w:rPr>
            </w:pPr>
            <w:r>
              <w:rPr>
                <w:rFonts w:ascii="Arial" w:cs="Arial" w:eastAsia="Arial" w:hAnsi="Arial"/>
                <w:sz w:val="12"/>
                <w:szCs w:val="12"/>
                <w:color w:val="auto"/>
              </w:rPr>
              <w:t>(269,312)</w:t>
            </w:r>
          </w:p>
        </w:tc>
        <w:tc>
          <w:tcPr>
            <w:tcW w:w="720" w:type="dxa"/>
            <w:vAlign w:val="bottom"/>
          </w:tcPr>
          <w:p>
            <w:pPr>
              <w:jc w:val="right"/>
              <w:spacing w:after="0"/>
              <w:rPr>
                <w:sz w:val="20"/>
                <w:szCs w:val="20"/>
                <w:color w:val="auto"/>
              </w:rPr>
            </w:pPr>
            <w:r>
              <w:rPr>
                <w:rFonts w:ascii="Arial" w:cs="Arial" w:eastAsia="Arial" w:hAnsi="Arial"/>
                <w:sz w:val="12"/>
                <w:szCs w:val="12"/>
                <w:color w:val="auto"/>
              </w:rPr>
              <w:t>(28,670)</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2,631,554</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757,780</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(36,223)</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(58,782)</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705</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41,369</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(149,583)</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276,611</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(40,223)</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(6,393)</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785,261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Micro-business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1,113,154</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(9,520)</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(64,946)</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7,484</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354,473</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(1,779,826)</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1,635,614</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48,356</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(17,486)</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779</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1,288,082</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Consumer loans</w:t>
            </w:r>
          </w:p>
        </w:tc>
        <w:tc>
          <w:tcPr>
            <w:tcW w:w="900" w:type="dxa"/>
            <w:vAlign w:val="bottom"/>
            <w:gridSpan w:val="3"/>
          </w:tcPr>
          <w:p>
            <w:pPr>
              <w:jc w:val="right"/>
              <w:ind w:right="20"/>
              <w:spacing w:after="0"/>
              <w:rPr>
                <w:sz w:val="20"/>
                <w:szCs w:val="20"/>
                <w:color w:val="auto"/>
              </w:rPr>
            </w:pPr>
            <w:r>
              <w:rPr>
                <w:rFonts w:ascii="Arial" w:cs="Arial" w:eastAsia="Arial" w:hAnsi="Arial"/>
                <w:sz w:val="12"/>
                <w:szCs w:val="12"/>
                <w:color w:val="auto"/>
              </w:rPr>
              <w:t>940,872</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(61,421)</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(56,985)</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15,591</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576,535</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(1,604,579)</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1,520,266</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(16,625)</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719</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1,314,373</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520" w:type="dxa"/>
            <w:vAlign w:val="bottom"/>
          </w:tcPr>
          <w:p>
            <w:pPr>
              <w:spacing w:after="0" w:line="132"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5,658,693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(140,497)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(220,611)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32,998</w:t>
            </w:r>
          </w:p>
        </w:tc>
        <w:tc>
          <w:tcPr>
            <w:tcW w:w="6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1,169,348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(4,166,280)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4,062,830</w:t>
            </w:r>
          </w:p>
        </w:tc>
        <w:tc>
          <w:tcPr>
            <w:tcW w:w="40" w:type="dxa"/>
            <w:vAlign w:val="bottom"/>
          </w:tcPr>
          <w:p>
            <w:pPr>
              <w:spacing w:after="0"/>
              <w:rPr>
                <w:sz w:val="11"/>
                <w:szCs w:val="11"/>
                <w:color w:val="auto"/>
              </w:rPr>
            </w:pPr>
          </w:p>
        </w:tc>
        <w:tc>
          <w:tcPr>
            <w:tcW w:w="6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(343,646)</w:t>
            </w:r>
          </w:p>
        </w:tc>
        <w:tc>
          <w:tcPr>
            <w:tcW w:w="40" w:type="dxa"/>
            <w:vAlign w:val="bottom"/>
          </w:tcPr>
          <w:p>
            <w:pPr>
              <w:spacing w:after="0"/>
              <w:rPr>
                <w:sz w:val="11"/>
                <w:szCs w:val="11"/>
                <w:color w:val="auto"/>
              </w:rPr>
            </w:pPr>
          </w:p>
        </w:tc>
        <w:tc>
          <w:tcPr>
            <w:tcW w:w="72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(33,565)</w:t>
            </w: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0"/>
              <w:spacing w:after="0" w:line="132" w:lineRule="exact"/>
              <w:rPr>
                <w:sz w:val="20"/>
                <w:szCs w:val="20"/>
                <w:color w:val="auto"/>
              </w:rPr>
            </w:pPr>
            <w:r>
              <w:rPr>
                <w:rFonts w:ascii="Arial" w:cs="Arial" w:eastAsia="Arial" w:hAnsi="Arial"/>
                <w:sz w:val="12"/>
                <w:szCs w:val="12"/>
                <w:color w:val="auto"/>
              </w:rPr>
              <w:t>6,019,270</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1520" w:type="dxa"/>
            <w:vAlign w:val="bottom"/>
          </w:tcPr>
          <w:p>
            <w:pPr>
              <w:spacing w:after="0"/>
              <w:rPr>
                <w:sz w:val="20"/>
                <w:szCs w:val="20"/>
                <w:color w:val="auto"/>
              </w:rPr>
            </w:pPr>
            <w:r>
              <w:rPr>
                <w:rFonts w:ascii="Arial" w:cs="Arial" w:eastAsia="Arial" w:hAnsi="Arial"/>
                <w:sz w:val="12"/>
                <w:szCs w:val="12"/>
                <w:b w:val="1"/>
                <w:bCs w:val="1"/>
                <w:color w:val="auto"/>
              </w:rPr>
              <w:t>Consolidated 3</w:t>
            </w:r>
          </w:p>
        </w:tc>
        <w:tc>
          <w:tcPr>
            <w:tcW w:w="4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b w:val="1"/>
                <w:bCs w:val="1"/>
                <w:color w:val="auto"/>
              </w:rPr>
              <w:t>Stages</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Loan</w:t>
            </w:r>
          </w:p>
        </w:tc>
        <w:tc>
          <w:tcPr>
            <w:tcW w:w="1520" w:type="dxa"/>
            <w:vAlign w:val="bottom"/>
            <w:gridSpan w:val="6"/>
          </w:tcPr>
          <w:p>
            <w:pPr>
              <w:ind w:left="40"/>
              <w:spacing w:after="0"/>
              <w:rPr>
                <w:sz w:val="20"/>
                <w:szCs w:val="20"/>
                <w:color w:val="auto"/>
              </w:rPr>
            </w:pPr>
            <w:r>
              <w:rPr>
                <w:rFonts w:ascii="Arial" w:cs="Arial" w:eastAsia="Arial" w:hAnsi="Arial"/>
                <w:sz w:val="12"/>
                <w:szCs w:val="12"/>
                <w:b w:val="1"/>
                <w:bCs w:val="1"/>
                <w:color w:val="auto"/>
              </w:rPr>
              <w:t>Credit loss of the period</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40" w:type="dxa"/>
            <w:vAlign w:val="bottom"/>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portafolio</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New loans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Transfers</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at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written off</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and</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Changes in</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between</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Exchange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Balance at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liquidation,</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PD, LGD,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classes of</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Sale of loan</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differences</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December</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b w:val="1"/>
                <w:bCs w:val="1"/>
                <w:color w:val="auto"/>
              </w:rPr>
              <w:t>Loans by class</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31, 2022</w:t>
            </w:r>
          </w:p>
        </w:tc>
        <w:tc>
          <w:tcPr>
            <w:tcW w:w="6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forgivens</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net</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EAD (*)</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loans</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portfolio</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and others</w:t>
            </w:r>
          </w:p>
        </w:tc>
        <w:tc>
          <w:tcPr>
            <w:tcW w:w="720" w:type="dxa"/>
            <w:vAlign w:val="bottom"/>
          </w:tcPr>
          <w:p>
            <w:pPr>
              <w:spacing w:after="0"/>
              <w:rPr>
                <w:sz w:val="20"/>
                <w:szCs w:val="20"/>
                <w:color w:val="auto"/>
              </w:rPr>
            </w:pPr>
            <w:r>
              <w:rPr>
                <w:rFonts w:ascii="Arial" w:cs="Arial" w:eastAsia="Arial" w:hAnsi="Arial"/>
                <w:sz w:val="12"/>
                <w:szCs w:val="12"/>
                <w:b w:val="1"/>
                <w:bCs w:val="1"/>
                <w:color w:val="auto"/>
              </w:rPr>
              <w:t>31, 2023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0"/>
                <w:szCs w:val="10"/>
                <w:color w:val="auto"/>
              </w:rPr>
            </w:pPr>
          </w:p>
        </w:tc>
        <w:tc>
          <w:tcPr>
            <w:tcW w:w="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S/(000)</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Commercial loans</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3,912,043</w:t>
            </w:r>
          </w:p>
        </w:tc>
        <w:tc>
          <w:tcPr>
            <w:tcW w:w="6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(384,266)</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(343,283)</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675,513</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24,434</w:t>
            </w:r>
          </w:p>
        </w:tc>
        <w:tc>
          <w:tcPr>
            <w:tcW w:w="800" w:type="dxa"/>
            <w:vAlign w:val="bottom"/>
            <w:gridSpan w:val="3"/>
          </w:tcPr>
          <w:p>
            <w:pPr>
              <w:jc w:val="right"/>
              <w:ind w:right="40"/>
              <w:spacing w:after="0"/>
              <w:rPr>
                <w:sz w:val="20"/>
                <w:szCs w:val="20"/>
                <w:color w:val="auto"/>
              </w:rPr>
            </w:pPr>
            <w:r>
              <w:rPr>
                <w:rFonts w:ascii="Arial" w:cs="Arial" w:eastAsia="Arial" w:hAnsi="Arial"/>
                <w:sz w:val="12"/>
                <w:szCs w:val="12"/>
                <w:color w:val="auto"/>
              </w:rPr>
              <w:t>(269,312)</w:t>
            </w:r>
          </w:p>
        </w:tc>
        <w:tc>
          <w:tcPr>
            <w:tcW w:w="720" w:type="dxa"/>
            <w:vAlign w:val="bottom"/>
          </w:tcPr>
          <w:p>
            <w:pPr>
              <w:jc w:val="right"/>
              <w:spacing w:after="0"/>
              <w:rPr>
                <w:sz w:val="20"/>
                <w:szCs w:val="20"/>
                <w:color w:val="auto"/>
              </w:rPr>
            </w:pPr>
            <w:r>
              <w:rPr>
                <w:rFonts w:ascii="Arial" w:cs="Arial" w:eastAsia="Arial" w:hAnsi="Arial"/>
                <w:sz w:val="12"/>
                <w:szCs w:val="12"/>
                <w:color w:val="auto"/>
              </w:rPr>
              <w:t>(31,907)</w:t>
            </w:r>
          </w:p>
        </w:tc>
        <w:tc>
          <w:tcPr>
            <w:tcW w:w="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3,583,222</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Residential mortgage loans</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968,148</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(28,178)</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(123,332)</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190,789</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(40,223)</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(6,583)</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960,621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Micro-business loans</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1,970,027</w:t>
            </w:r>
          </w:p>
        </w:tc>
        <w:tc>
          <w:tcPr>
            <w:tcW w:w="6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(1,563,052)</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(148,153)</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1,841,762</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(24,434)</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(17,486)</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8,824</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2,067,488</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520" w:type="dxa"/>
            <w:vAlign w:val="bottom"/>
          </w:tcPr>
          <w:p>
            <w:pPr>
              <w:spacing w:after="0"/>
              <w:rPr>
                <w:sz w:val="20"/>
                <w:szCs w:val="20"/>
                <w:color w:val="auto"/>
              </w:rPr>
            </w:pPr>
            <w:r>
              <w:rPr>
                <w:rFonts w:ascii="Arial" w:cs="Arial" w:eastAsia="Arial" w:hAnsi="Arial"/>
                <w:sz w:val="12"/>
                <w:szCs w:val="12"/>
                <w:color w:val="auto"/>
              </w:rPr>
              <w:t>Consumer loans</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1,680,768</w:t>
            </w:r>
          </w:p>
        </w:tc>
        <w:tc>
          <w:tcPr>
            <w:tcW w:w="6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(1,485,766)</w:t>
            </w:r>
          </w:p>
        </w:tc>
        <w:tc>
          <w:tcPr>
            <w:tcW w:w="760" w:type="dxa"/>
            <w:vAlign w:val="bottom"/>
            <w:gridSpan w:val="3"/>
          </w:tcPr>
          <w:p>
            <w:pPr>
              <w:jc w:val="right"/>
              <w:ind w:right="20"/>
              <w:spacing w:after="0"/>
              <w:rPr>
                <w:sz w:val="20"/>
                <w:szCs w:val="20"/>
                <w:color w:val="auto"/>
              </w:rPr>
            </w:pPr>
            <w:r>
              <w:rPr>
                <w:rFonts w:ascii="Arial" w:cs="Arial" w:eastAsia="Arial" w:hAnsi="Arial"/>
                <w:sz w:val="12"/>
                <w:szCs w:val="12"/>
                <w:color w:val="auto"/>
              </w:rPr>
              <w:t>(202,524)</w:t>
            </w: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2,066,371</w:t>
            </w: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(16,625)</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(7,610)</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2,034,614</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1520" w:type="dxa"/>
            <w:vAlign w:val="bottom"/>
          </w:tcPr>
          <w:p>
            <w:pPr>
              <w:spacing w:after="0" w:line="132"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8,530,986</w:t>
            </w:r>
          </w:p>
        </w:tc>
        <w:tc>
          <w:tcPr>
            <w:tcW w:w="6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(3,461,262)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(817,292)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4,774,435</w:t>
            </w:r>
          </w:p>
        </w:tc>
        <w:tc>
          <w:tcPr>
            <w:tcW w:w="40" w:type="dxa"/>
            <w:vAlign w:val="bottom"/>
          </w:tcPr>
          <w:p>
            <w:pPr>
              <w:spacing w:after="0"/>
              <w:rPr>
                <w:sz w:val="11"/>
                <w:szCs w:val="11"/>
                <w:color w:val="auto"/>
              </w:rPr>
            </w:pPr>
          </w:p>
        </w:tc>
        <w:tc>
          <w:tcPr>
            <w:tcW w:w="6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(343,646)</w:t>
            </w:r>
          </w:p>
        </w:tc>
        <w:tc>
          <w:tcPr>
            <w:tcW w:w="40" w:type="dxa"/>
            <w:vAlign w:val="bottom"/>
          </w:tcPr>
          <w:p>
            <w:pPr>
              <w:spacing w:after="0"/>
              <w:rPr>
                <w:sz w:val="11"/>
                <w:szCs w:val="11"/>
                <w:color w:val="auto"/>
              </w:rPr>
            </w:pPr>
          </w:p>
        </w:tc>
        <w:tc>
          <w:tcPr>
            <w:tcW w:w="72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auto"/>
              </w:rPr>
              <w:t>(37,276)</w:t>
            </w:r>
          </w:p>
        </w:tc>
        <w:tc>
          <w:tcPr>
            <w:tcW w:w="6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0"/>
              <w:spacing w:after="0" w:line="132" w:lineRule="exact"/>
              <w:rPr>
                <w:sz w:val="20"/>
                <w:szCs w:val="20"/>
                <w:color w:val="auto"/>
              </w:rPr>
            </w:pPr>
            <w:r>
              <w:rPr>
                <w:rFonts w:ascii="Arial" w:cs="Arial" w:eastAsia="Arial" w:hAnsi="Arial"/>
                <w:sz w:val="12"/>
                <w:szCs w:val="12"/>
                <w:color w:val="auto"/>
              </w:rPr>
              <w:t>8,645,945</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3"/>
        </w:trPr>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-70-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2" w:right="319" w:bottom="1440" w:gutter="0" w:footer="0" w:header="0"/>
        </w:sectPr>
      </w:pPr>
    </w:p>
    <w:bookmarkStart w:id="73" w:name="page74"/>
    <w:bookmarkEnd w:id="73"/>
    <w:p>
      <w:pPr>
        <w:ind w:left="1260" w:hanging="426"/>
        <w:spacing w:after="0"/>
        <w:tabs>
          <w:tab w:leader="none" w:pos="1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movement includes the following effects:</w:t>
      </w:r>
    </w:p>
    <w:p>
      <w:pPr>
        <w:spacing w:after="0" w:line="167" w:lineRule="exact"/>
        <w:rPr>
          <w:rFonts w:ascii="Arial" w:cs="Arial" w:eastAsia="Arial" w:hAnsi="Arial"/>
          <w:sz w:val="16"/>
          <w:szCs w:val="16"/>
          <w:color w:val="auto"/>
        </w:rPr>
      </w:pPr>
    </w:p>
    <w:p>
      <w:pPr>
        <w:ind w:left="1680" w:hanging="426"/>
        <w:spacing w:after="0"/>
        <w:tabs>
          <w:tab w:leader="none" w:pos="16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Calibrations to the PD, LGD and EAD models;</w:t>
      </w:r>
    </w:p>
    <w:p>
      <w:pPr>
        <w:spacing w:after="0" w:line="5" w:lineRule="exact"/>
        <w:rPr>
          <w:rFonts w:ascii="Arial" w:cs="Arial" w:eastAsia="Arial" w:hAnsi="Arial"/>
          <w:sz w:val="16"/>
          <w:szCs w:val="16"/>
          <w:color w:val="auto"/>
        </w:rPr>
      </w:pPr>
    </w:p>
    <w:p>
      <w:pPr>
        <w:ind w:left="1680" w:hanging="426"/>
        <w:spacing w:after="0" w:line="228" w:lineRule="auto"/>
        <w:tabs>
          <w:tab w:leader="none" w:pos="16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Updating of macroeconomic models and projections;</w:t>
      </w:r>
    </w:p>
    <w:p>
      <w:pPr>
        <w:ind w:left="1680" w:hanging="426"/>
        <w:spacing w:after="0" w:line="228" w:lineRule="auto"/>
        <w:tabs>
          <w:tab w:leader="none" w:pos="16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Increase or decrease in credit risk due to phase changes;</w:t>
      </w:r>
    </w:p>
    <w:p>
      <w:pPr>
        <w:ind w:left="1680" w:hanging="426"/>
        <w:spacing w:after="0"/>
        <w:tabs>
          <w:tab w:leader="none" w:pos="16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Increase or decrease in the risk inherent to credits that remain in the same phase.</w:t>
      </w:r>
    </w:p>
    <w:p>
      <w:pPr>
        <w:spacing w:after="0" w:line="152" w:lineRule="exact"/>
        <w:rPr>
          <w:sz w:val="20"/>
          <w:szCs w:val="20"/>
          <w:color w:val="auto"/>
        </w:rPr>
      </w:pPr>
    </w:p>
    <w:p>
      <w:pPr>
        <w:ind w:left="1260" w:right="40" w:hanging="426"/>
        <w:spacing w:after="0" w:line="236" w:lineRule="auto"/>
        <w:tabs>
          <w:tab w:leader="none" w:pos="12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movement of the credit loss provision for the 2024 period includes the provision for direct and indirect credits and bank acceptances for approximately S/7,994.9million and S/383.9 million, respectively (S/8,277.9 million and S/368.0 million, respectively, as of December 31, 2023). The expected loss for indirect credits is included in the “Other liabilities” caption of the consolidated statement of financial position, Note 12(a). In Management's opinion, the credit loss provision for loans recorded as of December 31, 2024, and 2023, has been determined in accordance with IFRS 9 and is sufficient to cover losses in the loan portfolio.</w:t>
      </w:r>
    </w:p>
    <w:p>
      <w:pPr>
        <w:spacing w:after="0" w:line="145" w:lineRule="exact"/>
        <w:rPr>
          <w:rFonts w:ascii="Arial" w:cs="Arial" w:eastAsia="Arial" w:hAnsi="Arial"/>
          <w:sz w:val="16"/>
          <w:szCs w:val="16"/>
          <w:color w:val="auto"/>
        </w:rPr>
      </w:pPr>
    </w:p>
    <w:p>
      <w:pPr>
        <w:ind w:left="840" w:hanging="286"/>
        <w:spacing w:after="0"/>
        <w:tabs>
          <w:tab w:leader="none" w:pos="8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Interest rates on loans are set considering the rates prevailing in the markets where the Group’s subsidiaries operate.</w:t>
      </w:r>
    </w:p>
    <w:p>
      <w:pPr>
        <w:spacing w:after="0" w:line="166" w:lineRule="exact"/>
        <w:rPr>
          <w:rFonts w:ascii="Arial" w:cs="Arial" w:eastAsia="Arial" w:hAnsi="Arial"/>
          <w:sz w:val="16"/>
          <w:szCs w:val="16"/>
          <w:color w:val="auto"/>
        </w:rPr>
      </w:pPr>
    </w:p>
    <w:p>
      <w:pPr>
        <w:ind w:left="840" w:right="640" w:hanging="286"/>
        <w:spacing w:after="0" w:line="255" w:lineRule="auto"/>
        <w:tabs>
          <w:tab w:leader="none" w:pos="8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portion of the loan portfolio is collateralized with guarantees received from customers, which mainly consist of mortgages, trust assignments, securities and industrial and mercantile pledges.</w:t>
      </w:r>
    </w:p>
    <w:p>
      <w:pPr>
        <w:spacing w:after="0" w:line="134" w:lineRule="exact"/>
        <w:rPr>
          <w:rFonts w:ascii="Arial" w:cs="Arial" w:eastAsia="Arial" w:hAnsi="Arial"/>
          <w:sz w:val="16"/>
          <w:szCs w:val="16"/>
          <w:color w:val="auto"/>
        </w:rPr>
      </w:pPr>
    </w:p>
    <w:p>
      <w:pPr>
        <w:ind w:left="840" w:right="540" w:hanging="286"/>
        <w:spacing w:after="0" w:line="255" w:lineRule="auto"/>
        <w:tabs>
          <w:tab w:leader="none" w:pos="8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following table presents the gross direct loan portfolio as of December 31, 2024, and 2023 by maturity based on the remaining period to the payment due date: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484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Outstanding loans -</w:t>
            </w:r>
          </w:p>
        </w:tc>
        <w:tc>
          <w:tcPr>
            <w:tcW w:w="380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4540" w:type="dxa"/>
            <w:vAlign w:val="bottom"/>
            <w:vMerge w:val="continue"/>
          </w:tcPr>
          <w:p>
            <w:pPr>
              <w:spacing w:after="0"/>
              <w:rPr>
                <w:sz w:val="12"/>
                <w:szCs w:val="12"/>
                <w:color w:val="auto"/>
              </w:rPr>
            </w:pPr>
          </w:p>
        </w:tc>
        <w:tc>
          <w:tcPr>
            <w:tcW w:w="3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840"/>
              <w:spacing w:after="0"/>
              <w:rPr>
                <w:sz w:val="20"/>
                <w:szCs w:val="20"/>
                <w:color w:val="auto"/>
              </w:rPr>
            </w:pPr>
            <w:r>
              <w:rPr>
                <w:rFonts w:ascii="Arial" w:cs="Arial" w:eastAsia="Arial" w:hAnsi="Arial"/>
                <w:sz w:val="16"/>
                <w:szCs w:val="16"/>
                <w:color w:val="auto"/>
              </w:rPr>
              <w:t>From 1 to 3 months</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31,363,434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30,957,809</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840"/>
              <w:spacing w:after="0"/>
              <w:rPr>
                <w:sz w:val="20"/>
                <w:szCs w:val="20"/>
                <w:color w:val="auto"/>
              </w:rPr>
            </w:pPr>
            <w:r>
              <w:rPr>
                <w:rFonts w:ascii="Arial" w:cs="Arial" w:eastAsia="Arial" w:hAnsi="Arial"/>
                <w:sz w:val="16"/>
                <w:szCs w:val="16"/>
                <w:color w:val="auto"/>
              </w:rPr>
              <w:t>From 3 months to 1 year</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37,349,571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36,107,936</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840"/>
              <w:spacing w:after="0"/>
              <w:rPr>
                <w:sz w:val="20"/>
                <w:szCs w:val="20"/>
                <w:color w:val="auto"/>
              </w:rPr>
            </w:pPr>
            <w:r>
              <w:rPr>
                <w:rFonts w:ascii="Arial" w:cs="Arial" w:eastAsia="Arial" w:hAnsi="Arial"/>
                <w:sz w:val="16"/>
                <w:szCs w:val="16"/>
                <w:color w:val="auto"/>
              </w:rPr>
              <w:t>From 1 to 3 years</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29,185,013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29,251,425</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840"/>
              <w:spacing w:after="0"/>
              <w:rPr>
                <w:sz w:val="20"/>
                <w:szCs w:val="20"/>
                <w:color w:val="auto"/>
              </w:rPr>
            </w:pPr>
            <w:r>
              <w:rPr>
                <w:rFonts w:ascii="Arial" w:cs="Arial" w:eastAsia="Arial" w:hAnsi="Arial"/>
                <w:sz w:val="16"/>
                <w:szCs w:val="16"/>
                <w:color w:val="auto"/>
              </w:rPr>
              <w:t>From 3 to 5 years</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13,319,494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10,906,617</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840"/>
              <w:spacing w:after="0"/>
              <w:rPr>
                <w:sz w:val="20"/>
                <w:szCs w:val="20"/>
                <w:color w:val="auto"/>
              </w:rPr>
            </w:pPr>
            <w:r>
              <w:rPr>
                <w:rFonts w:ascii="Arial" w:cs="Arial" w:eastAsia="Arial" w:hAnsi="Arial"/>
                <w:sz w:val="16"/>
                <w:szCs w:val="16"/>
                <w:color w:val="auto"/>
              </w:rPr>
              <w:t>From 5 to 15 years</w:t>
            </w:r>
          </w:p>
        </w:tc>
        <w:tc>
          <w:tcPr>
            <w:tcW w:w="4840" w:type="dxa"/>
            <w:vAlign w:val="bottom"/>
            <w:gridSpan w:val="2"/>
          </w:tcPr>
          <w:p>
            <w:pPr>
              <w:jc w:val="right"/>
              <w:spacing w:after="0"/>
              <w:rPr>
                <w:sz w:val="20"/>
                <w:szCs w:val="20"/>
                <w:color w:val="auto"/>
              </w:rPr>
            </w:pPr>
            <w:r>
              <w:rPr>
                <w:rFonts w:ascii="Arial" w:cs="Arial" w:eastAsia="Arial" w:hAnsi="Arial"/>
                <w:sz w:val="16"/>
                <w:szCs w:val="16"/>
                <w:color w:val="auto"/>
              </w:rPr>
              <w:t>25,578,139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27,995,370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840"/>
              <w:spacing w:after="0"/>
              <w:rPr>
                <w:sz w:val="20"/>
                <w:szCs w:val="20"/>
                <w:color w:val="auto"/>
              </w:rPr>
            </w:pPr>
            <w:r>
              <w:rPr>
                <w:rFonts w:ascii="Arial" w:cs="Arial" w:eastAsia="Arial" w:hAnsi="Arial"/>
                <w:sz w:val="16"/>
                <w:szCs w:val="16"/>
                <w:color w:val="auto"/>
              </w:rPr>
              <w:t>More than 15 years</w:t>
            </w:r>
          </w:p>
        </w:tc>
        <w:tc>
          <w:tcPr>
            <w:tcW w:w="4860" w:type="dxa"/>
            <w:vAlign w:val="bottom"/>
            <w:gridSpan w:val="3"/>
          </w:tcPr>
          <w:p>
            <w:pPr>
              <w:jc w:val="right"/>
              <w:ind w:right="20"/>
              <w:spacing w:after="0"/>
              <w:rPr>
                <w:sz w:val="20"/>
                <w:szCs w:val="20"/>
                <w:color w:val="auto"/>
              </w:rPr>
            </w:pPr>
            <w:r>
              <w:rPr>
                <w:rFonts w:ascii="Arial" w:cs="Arial" w:eastAsia="Arial" w:hAnsi="Arial"/>
                <w:sz w:val="16"/>
                <w:szCs w:val="16"/>
                <w:color w:val="auto"/>
              </w:rPr>
              <w:t>2,093,462</w:t>
            </w:r>
          </w:p>
        </w:tc>
        <w:tc>
          <w:tcPr>
            <w:tcW w:w="160" w:type="dxa"/>
            <w:vAlign w:val="bottom"/>
          </w:tcPr>
          <w:p>
            <w:pPr>
              <w:spacing w:after="0"/>
              <w:rPr>
                <w:sz w:val="17"/>
                <w:szCs w:val="17"/>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2,130,930</w:t>
            </w:r>
          </w:p>
        </w:tc>
        <w:tc>
          <w:tcPr>
            <w:tcW w:w="0" w:type="dxa"/>
            <w:vAlign w:val="bottom"/>
          </w:tcPr>
          <w:p>
            <w:pPr>
              <w:spacing w:after="0"/>
              <w:rPr>
                <w:sz w:val="1"/>
                <w:szCs w:val="1"/>
                <w:color w:val="auto"/>
              </w:rPr>
            </w:pPr>
          </w:p>
        </w:tc>
      </w:tr>
      <w:tr>
        <w:trPr>
          <w:trHeight w:val="196"/>
        </w:trPr>
        <w:tc>
          <w:tcPr>
            <w:tcW w:w="45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Internal overdue loans -</w:t>
            </w:r>
          </w:p>
        </w:tc>
        <w:tc>
          <w:tcPr>
            <w:tcW w:w="38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138,889,113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137,350,087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54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840"/>
              <w:spacing w:after="0"/>
              <w:rPr>
                <w:sz w:val="20"/>
                <w:szCs w:val="20"/>
                <w:color w:val="auto"/>
              </w:rPr>
            </w:pPr>
            <w:r>
              <w:rPr>
                <w:rFonts w:ascii="Arial" w:cs="Arial" w:eastAsia="Arial" w:hAnsi="Arial"/>
                <w:sz w:val="16"/>
                <w:szCs w:val="16"/>
                <w:color w:val="auto"/>
              </w:rPr>
              <w:t>Overdue up to 90 days</w:t>
            </w:r>
          </w:p>
        </w:tc>
        <w:tc>
          <w:tcPr>
            <w:tcW w:w="4860" w:type="dxa"/>
            <w:vAlign w:val="bottom"/>
            <w:gridSpan w:val="3"/>
          </w:tcPr>
          <w:p>
            <w:pPr>
              <w:jc w:val="right"/>
              <w:ind w:right="20"/>
              <w:spacing w:after="0"/>
              <w:rPr>
                <w:sz w:val="20"/>
                <w:szCs w:val="20"/>
                <w:color w:val="auto"/>
              </w:rPr>
            </w:pPr>
            <w:r>
              <w:rPr>
                <w:rFonts w:ascii="Arial" w:cs="Arial" w:eastAsia="Arial" w:hAnsi="Arial"/>
                <w:sz w:val="16"/>
                <w:szCs w:val="16"/>
                <w:color w:val="auto"/>
              </w:rPr>
              <w:t>1,046,337</w:t>
            </w:r>
          </w:p>
        </w:tc>
        <w:tc>
          <w:tcPr>
            <w:tcW w:w="16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1,459,603</w:t>
            </w:r>
          </w:p>
        </w:tc>
        <w:tc>
          <w:tcPr>
            <w:tcW w:w="0" w:type="dxa"/>
            <w:vAlign w:val="bottom"/>
          </w:tcPr>
          <w:p>
            <w:pPr>
              <w:spacing w:after="0"/>
              <w:rPr>
                <w:sz w:val="1"/>
                <w:szCs w:val="1"/>
                <w:color w:val="auto"/>
              </w:rPr>
            </w:pPr>
          </w:p>
        </w:tc>
      </w:tr>
      <w:tr>
        <w:trPr>
          <w:trHeight w:val="201"/>
        </w:trPr>
        <w:tc>
          <w:tcPr>
            <w:tcW w:w="4540" w:type="dxa"/>
            <w:vAlign w:val="bottom"/>
          </w:tcPr>
          <w:p>
            <w:pPr>
              <w:ind w:left="840"/>
              <w:spacing w:after="0"/>
              <w:rPr>
                <w:sz w:val="20"/>
                <w:szCs w:val="20"/>
                <w:color w:val="auto"/>
              </w:rPr>
            </w:pPr>
            <w:r>
              <w:rPr>
                <w:rFonts w:ascii="Arial" w:cs="Arial" w:eastAsia="Arial" w:hAnsi="Arial"/>
                <w:sz w:val="16"/>
                <w:szCs w:val="16"/>
                <w:color w:val="auto"/>
              </w:rPr>
              <w:t>Over 90 days</w:t>
            </w:r>
          </w:p>
        </w:tc>
        <w:tc>
          <w:tcPr>
            <w:tcW w:w="4860" w:type="dxa"/>
            <w:vAlign w:val="bottom"/>
            <w:gridSpan w:val="3"/>
          </w:tcPr>
          <w:p>
            <w:pPr>
              <w:jc w:val="right"/>
              <w:ind w:right="20"/>
              <w:spacing w:after="0"/>
              <w:rPr>
                <w:sz w:val="20"/>
                <w:szCs w:val="20"/>
                <w:color w:val="auto"/>
              </w:rPr>
            </w:pPr>
            <w:r>
              <w:rPr>
                <w:rFonts w:ascii="Arial" w:cs="Arial" w:eastAsia="Arial" w:hAnsi="Arial"/>
                <w:sz w:val="16"/>
                <w:szCs w:val="16"/>
                <w:color w:val="auto"/>
              </w:rPr>
              <w:t>4,383,795</w:t>
            </w:r>
          </w:p>
        </w:tc>
        <w:tc>
          <w:tcPr>
            <w:tcW w:w="160" w:type="dxa"/>
            <w:vAlign w:val="bottom"/>
          </w:tcPr>
          <w:p>
            <w:pPr>
              <w:spacing w:after="0"/>
              <w:rPr>
                <w:sz w:val="17"/>
                <w:szCs w:val="17"/>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4,673,564</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5,430,132</w:t>
            </w: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6,133,167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45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Total</w:t>
            </w:r>
          </w:p>
        </w:tc>
        <w:tc>
          <w:tcPr>
            <w:tcW w:w="3800" w:type="dxa"/>
            <w:vAlign w:val="bottom"/>
            <w:vMerge w:val="restart"/>
          </w:tcPr>
          <w:p>
            <w:pPr>
              <w:spacing w:after="0"/>
              <w:rPr>
                <w:sz w:val="12"/>
                <w:szCs w:val="12"/>
                <w:color w:val="auto"/>
              </w:rPr>
            </w:pPr>
          </w:p>
        </w:tc>
        <w:tc>
          <w:tcPr>
            <w:tcW w:w="1060" w:type="dxa"/>
            <w:vAlign w:val="bottom"/>
            <w:tcBorders>
              <w:bottom w:val="single" w:sz="8" w:color="auto"/>
            </w:tcBorders>
            <w:gridSpan w:val="2"/>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40" w:type="dxa"/>
            <w:vAlign w:val="bottom"/>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106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144,319,245</w:t>
            </w:r>
          </w:p>
        </w:tc>
        <w:tc>
          <w:tcPr>
            <w:tcW w:w="160" w:type="dxa"/>
            <w:vAlign w:val="bottom"/>
          </w:tcPr>
          <w:p>
            <w:pPr>
              <w:spacing w:after="0"/>
              <w:rPr>
                <w:sz w:val="14"/>
                <w:szCs w:val="14"/>
                <w:color w:val="auto"/>
              </w:rPr>
            </w:pPr>
          </w:p>
        </w:tc>
        <w:tc>
          <w:tcPr>
            <w:tcW w:w="1060" w:type="dxa"/>
            <w:vAlign w:val="bottom"/>
          </w:tcPr>
          <w:p>
            <w:pPr>
              <w:jc w:val="right"/>
              <w:spacing w:after="0" w:line="167" w:lineRule="exact"/>
              <w:rPr>
                <w:sz w:val="20"/>
                <w:szCs w:val="20"/>
                <w:color w:val="auto"/>
              </w:rPr>
            </w:pPr>
            <w:r>
              <w:rPr>
                <w:rFonts w:ascii="Arial" w:cs="Arial" w:eastAsia="Arial" w:hAnsi="Arial"/>
                <w:sz w:val="16"/>
                <w:szCs w:val="16"/>
                <w:color w:val="auto"/>
              </w:rPr>
              <w:t>143,483,254</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4540" w:type="dxa"/>
            <w:vAlign w:val="bottom"/>
          </w:tcPr>
          <w:p>
            <w:pPr>
              <w:ind w:left="840"/>
              <w:spacing w:after="0"/>
              <w:rPr>
                <w:sz w:val="20"/>
                <w:szCs w:val="20"/>
                <w:color w:val="auto"/>
              </w:rPr>
            </w:pPr>
            <w:r>
              <w:rPr>
                <w:rFonts w:ascii="Arial" w:cs="Arial" w:eastAsia="Arial" w:hAnsi="Arial"/>
                <w:sz w:val="16"/>
                <w:szCs w:val="16"/>
                <w:color w:val="auto"/>
              </w:rPr>
              <w:t>See credit risk analysis in Note 30.1.(c).</w:t>
            </w:r>
          </w:p>
        </w:tc>
        <w:tc>
          <w:tcPr>
            <w:tcW w:w="38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540" w:type="dxa"/>
            <w:vAlign w:val="bottom"/>
          </w:tcPr>
          <w:p>
            <w:pPr>
              <w:spacing w:after="0"/>
              <w:rPr>
                <w:sz w:val="24"/>
                <w:szCs w:val="24"/>
                <w:color w:val="auto"/>
              </w:rPr>
            </w:pPr>
          </w:p>
        </w:tc>
        <w:tc>
          <w:tcPr>
            <w:tcW w:w="3800" w:type="dxa"/>
            <w:vAlign w:val="bottom"/>
          </w:tcPr>
          <w:p>
            <w:pPr>
              <w:jc w:val="right"/>
              <w:ind w:right="2524"/>
              <w:spacing w:after="0"/>
              <w:rPr>
                <w:sz w:val="20"/>
                <w:szCs w:val="20"/>
                <w:color w:val="auto"/>
              </w:rPr>
            </w:pPr>
            <w:r>
              <w:rPr>
                <w:rFonts w:ascii="Arial" w:cs="Arial" w:eastAsia="Arial" w:hAnsi="Arial"/>
                <w:sz w:val="12"/>
                <w:szCs w:val="12"/>
                <w:color w:val="auto"/>
              </w:rPr>
              <w:t>-71-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5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74" w:name="page75"/>
    <w:bookmarkEnd w:id="74"/>
    <w:p>
      <w:pPr>
        <w:ind w:left="567" w:hanging="567"/>
        <w:spacing w:after="0"/>
        <w:tabs>
          <w:tab w:leader="none" w:pos="567"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INSURANCE AND REINSURANCE CONTRACTS ASSETS AND LIABILITIES</w:t>
      </w:r>
    </w:p>
    <w:p>
      <w:pPr>
        <w:spacing w:after="0" w:line="167" w:lineRule="exact"/>
        <w:rPr>
          <w:rFonts w:ascii="Arial" w:cs="Arial" w:eastAsia="Arial" w:hAnsi="Arial"/>
          <w:sz w:val="16"/>
          <w:szCs w:val="16"/>
          <w:b w:val="1"/>
          <w:bCs w:val="1"/>
          <w:color w:val="auto"/>
        </w:rPr>
      </w:pPr>
    </w:p>
    <w:p>
      <w:pPr>
        <w:ind w:left="847" w:hanging="286"/>
        <w:spacing w:after="0"/>
        <w:tabs>
          <w:tab w:leader="none" w:pos="847"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detail of the assets per reinsurance contract are:</w:t>
      </w:r>
    </w:p>
    <w:p>
      <w:pPr>
        <w:spacing w:after="0" w:line="176" w:lineRule="exact"/>
        <w:rPr>
          <w:sz w:val="20"/>
          <w:szCs w:val="20"/>
          <w:color w:val="auto"/>
        </w:rPr>
      </w:pPr>
    </w:p>
    <w:tbl>
      <w:tblPr>
        <w:tblLayout w:type="fixed"/>
        <w:tblInd w:w="847"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2024</w:t>
            </w: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Incurred claims</w:t>
            </w:r>
          </w:p>
        </w:tc>
        <w:tc>
          <w:tcPr>
            <w:tcW w:w="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40"/>
              <w:spacing w:after="0" w:line="150" w:lineRule="exact"/>
              <w:rPr>
                <w:sz w:val="20"/>
                <w:szCs w:val="20"/>
                <w:color w:val="auto"/>
              </w:rPr>
            </w:pPr>
            <w:r>
              <w:rPr>
                <w:rFonts w:ascii="Arial" w:cs="Arial" w:eastAsia="Arial" w:hAnsi="Arial"/>
                <w:sz w:val="16"/>
                <w:szCs w:val="16"/>
                <w:b w:val="1"/>
                <w:bCs w:val="1"/>
                <w:color w:val="auto"/>
              </w:rPr>
              <w:t>Incurred claims</w:t>
            </w: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Asset for</w:t>
            </w:r>
          </w:p>
        </w:tc>
        <w:tc>
          <w:tcPr>
            <w:tcW w:w="1380" w:type="dxa"/>
            <w:vAlign w:val="bottom"/>
          </w:tcPr>
          <w:p>
            <w:pPr>
              <w:spacing w:after="0" w:line="175" w:lineRule="exact"/>
              <w:rPr>
                <w:sz w:val="20"/>
                <w:szCs w:val="20"/>
                <w:color w:val="auto"/>
              </w:rPr>
            </w:pPr>
            <w:r>
              <w:rPr>
                <w:rFonts w:ascii="Arial" w:cs="Arial" w:eastAsia="Arial" w:hAnsi="Arial"/>
                <w:sz w:val="16"/>
                <w:szCs w:val="16"/>
                <w:b w:val="1"/>
                <w:bCs w:val="1"/>
                <w:color w:val="auto"/>
                <w:w w:val="99"/>
              </w:rPr>
              <w:t>assets - contracts</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Asset for</w:t>
            </w:r>
          </w:p>
        </w:tc>
        <w:tc>
          <w:tcPr>
            <w:tcW w:w="146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assets - contracts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380" w:type="dxa"/>
            <w:vAlign w:val="bottom"/>
            <w:vMerge w:val="restart"/>
          </w:tcPr>
          <w:p>
            <w:pPr>
              <w:spacing w:after="0"/>
              <w:rPr>
                <w:sz w:val="20"/>
                <w:szCs w:val="20"/>
                <w:color w:val="auto"/>
              </w:rPr>
            </w:pPr>
            <w:r>
              <w:rPr>
                <w:rFonts w:ascii="Arial" w:cs="Arial" w:eastAsia="Arial" w:hAnsi="Arial"/>
                <w:sz w:val="16"/>
                <w:szCs w:val="16"/>
                <w:b w:val="1"/>
                <w:bCs w:val="1"/>
                <w:color w:val="auto"/>
                <w:w w:val="99"/>
              </w:rPr>
              <w:t>measured by PAA</w:t>
            </w: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measured by PAA</w:t>
            </w: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line="157" w:lineRule="exact"/>
              <w:rPr>
                <w:sz w:val="20"/>
                <w:szCs w:val="20"/>
                <w:color w:val="auto"/>
              </w:rPr>
            </w:pPr>
            <w:r>
              <w:rPr>
                <w:rFonts w:ascii="Arial" w:cs="Arial" w:eastAsia="Arial" w:hAnsi="Arial"/>
                <w:sz w:val="16"/>
                <w:szCs w:val="16"/>
                <w:b w:val="1"/>
                <w:bCs w:val="1"/>
                <w:color w:val="auto"/>
              </w:rPr>
              <w:t>remaining</w:t>
            </w:r>
          </w:p>
        </w:tc>
        <w:tc>
          <w:tcPr>
            <w:tcW w:w="1380" w:type="dxa"/>
            <w:vAlign w:val="bottom"/>
            <w:vMerge w:val="continue"/>
          </w:tcPr>
          <w:p>
            <w:pPr>
              <w:spacing w:after="0"/>
              <w:rPr>
                <w:sz w:val="13"/>
                <w:szCs w:val="13"/>
                <w:color w:val="auto"/>
              </w:rPr>
            </w:pPr>
          </w:p>
        </w:tc>
        <w:tc>
          <w:tcPr>
            <w:tcW w:w="1000" w:type="dxa"/>
            <w:vAlign w:val="bottom"/>
            <w:gridSpan w:val="3"/>
          </w:tcPr>
          <w:p>
            <w:pPr>
              <w:ind w:left="60"/>
              <w:spacing w:after="0" w:line="157" w:lineRule="exact"/>
              <w:rPr>
                <w:sz w:val="20"/>
                <w:szCs w:val="20"/>
                <w:color w:val="auto"/>
              </w:rPr>
            </w:pPr>
            <w:r>
              <w:rPr>
                <w:rFonts w:ascii="Arial" w:cs="Arial" w:eastAsia="Arial" w:hAnsi="Arial"/>
                <w:sz w:val="16"/>
                <w:szCs w:val="16"/>
                <w:b w:val="1"/>
                <w:bCs w:val="1"/>
                <w:color w:val="auto"/>
              </w:rPr>
              <w:t>Total</w:t>
            </w:r>
          </w:p>
        </w:tc>
        <w:tc>
          <w:tcPr>
            <w:tcW w:w="102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rPr>
              <w:t>remaining</w:t>
            </w:r>
          </w:p>
        </w:tc>
        <w:tc>
          <w:tcPr>
            <w:tcW w:w="1460" w:type="dxa"/>
            <w:vAlign w:val="bottom"/>
            <w:gridSpan w:val="2"/>
            <w:vMerge w:val="continue"/>
          </w:tcPr>
          <w:p>
            <w:pPr>
              <w:spacing w:after="0"/>
              <w:rPr>
                <w:sz w:val="13"/>
                <w:szCs w:val="13"/>
                <w:color w:val="auto"/>
              </w:rPr>
            </w:pPr>
          </w:p>
        </w:tc>
        <w:tc>
          <w:tcPr>
            <w:tcW w:w="960" w:type="dxa"/>
            <w:vAlign w:val="bottom"/>
            <w:gridSpan w:val="2"/>
          </w:tcPr>
          <w:p>
            <w:pPr>
              <w:spacing w:after="0" w:line="157"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coverage (*)</w:t>
            </w:r>
          </w:p>
        </w:tc>
        <w:tc>
          <w:tcPr>
            <w:tcW w:w="1380" w:type="dxa"/>
            <w:vAlign w:val="bottom"/>
          </w:tcPr>
          <w:p>
            <w:pPr>
              <w:spacing w:after="0" w:line="117"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coverage (*)</w:t>
            </w:r>
          </w:p>
        </w:tc>
        <w:tc>
          <w:tcPr>
            <w:tcW w:w="1460" w:type="dxa"/>
            <w:vAlign w:val="bottom"/>
            <w:gridSpan w:val="2"/>
          </w:tcPr>
          <w:p>
            <w:pPr>
              <w:ind w:left="40"/>
              <w:spacing w:after="0" w:line="117" w:lineRule="exact"/>
              <w:rPr>
                <w:sz w:val="20"/>
                <w:szCs w:val="20"/>
                <w:color w:val="auto"/>
              </w:rPr>
            </w:pPr>
            <w:r>
              <w:rPr>
                <w:rFonts w:ascii="Arial" w:cs="Arial" w:eastAsia="Arial" w:hAnsi="Arial"/>
                <w:sz w:val="13"/>
                <w:szCs w:val="13"/>
                <w:b w:val="1"/>
                <w:bCs w:val="1"/>
                <w:color w:val="auto"/>
              </w:rPr>
              <w: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38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Present value of</w:t>
            </w:r>
          </w:p>
        </w:tc>
        <w:tc>
          <w:tcPr>
            <w:tcW w:w="60" w:type="dxa"/>
            <w:vAlign w:val="bottom"/>
            <w:tcBorders>
              <w:top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tcBorders>
              <w:top w:val="single" w:sz="8" w:color="auto"/>
            </w:tcBorders>
          </w:tcPr>
          <w:p>
            <w:pPr>
              <w:jc w:val="right"/>
              <w:ind w:right="102"/>
              <w:spacing w:after="0" w:line="150" w:lineRule="exact"/>
              <w:rPr>
                <w:sz w:val="20"/>
                <w:szCs w:val="20"/>
                <w:color w:val="auto"/>
              </w:rPr>
            </w:pPr>
            <w:r>
              <w:rPr>
                <w:rFonts w:ascii="Arial" w:cs="Arial" w:eastAsia="Arial" w:hAnsi="Arial"/>
                <w:sz w:val="16"/>
                <w:szCs w:val="16"/>
                <w:b w:val="1"/>
                <w:bCs w:val="1"/>
                <w:color w:val="auto"/>
                <w:w w:val="98"/>
              </w:rPr>
              <w:t>Present value of</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future cash flows</w:t>
            </w: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future cash flows</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vMerge w:val="restart"/>
          </w:tcPr>
          <w:p>
            <w:pPr>
              <w:spacing w:after="0"/>
              <w:rPr>
                <w:sz w:val="20"/>
                <w:szCs w:val="20"/>
                <w:color w:val="auto"/>
              </w:rPr>
            </w:pPr>
            <w:r>
              <w:rPr>
                <w:rFonts w:ascii="Arial" w:cs="Arial" w:eastAsia="Arial" w:hAnsi="Arial"/>
                <w:sz w:val="16"/>
                <w:szCs w:val="16"/>
                <w:b w:val="1"/>
                <w:bCs w:val="1"/>
                <w:color w:val="auto"/>
              </w:rPr>
              <w:t>Balance at the beginning of the period</w:t>
            </w:r>
          </w:p>
        </w:tc>
        <w:tc>
          <w:tcPr>
            <w:tcW w:w="100" w:type="dxa"/>
            <w:vAlign w:val="bottom"/>
          </w:tcPr>
          <w:p>
            <w:pPr>
              <w:spacing w:after="0"/>
              <w:rPr>
                <w:sz w:val="13"/>
                <w:szCs w:val="13"/>
                <w:color w:val="auto"/>
              </w:rPr>
            </w:pPr>
          </w:p>
        </w:tc>
        <w:tc>
          <w:tcPr>
            <w:tcW w:w="980" w:type="dxa"/>
            <w:vAlign w:val="bottom"/>
          </w:tcPr>
          <w:p>
            <w:pPr>
              <w:spacing w:after="0" w:line="152" w:lineRule="exact"/>
              <w:rPr>
                <w:sz w:val="20"/>
                <w:szCs w:val="20"/>
                <w:color w:val="auto"/>
              </w:rPr>
            </w:pPr>
            <w:r>
              <w:rPr>
                <w:rFonts w:ascii="Arial" w:cs="Arial" w:eastAsia="Arial" w:hAnsi="Arial"/>
                <w:sz w:val="16"/>
                <w:szCs w:val="16"/>
                <w:b w:val="1"/>
                <w:bCs w:val="1"/>
                <w:color w:val="auto"/>
              </w:rPr>
              <w:t>S/(000)</w:t>
            </w:r>
          </w:p>
        </w:tc>
        <w:tc>
          <w:tcPr>
            <w:tcW w:w="1380" w:type="dxa"/>
            <w:vAlign w:val="bottom"/>
          </w:tcPr>
          <w:p>
            <w:pPr>
              <w:spacing w:after="0" w:line="152" w:lineRule="exact"/>
              <w:rPr>
                <w:sz w:val="20"/>
                <w:szCs w:val="20"/>
                <w:color w:val="auto"/>
              </w:rPr>
            </w:pPr>
            <w:r>
              <w:rPr>
                <w:rFonts w:ascii="Arial" w:cs="Arial" w:eastAsia="Arial" w:hAnsi="Arial"/>
                <w:sz w:val="16"/>
                <w:szCs w:val="16"/>
                <w:b w:val="1"/>
                <w:bCs w:val="1"/>
                <w:color w:val="auto"/>
              </w:rPr>
              <w:t>S/(000)</w:t>
            </w:r>
          </w:p>
        </w:tc>
        <w:tc>
          <w:tcPr>
            <w:tcW w:w="920" w:type="dxa"/>
            <w:vAlign w:val="bottom"/>
            <w:gridSpan w:val="2"/>
          </w:tcPr>
          <w:p>
            <w:pPr>
              <w:ind w:left="60"/>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line="152" w:lineRule="exact"/>
              <w:rPr>
                <w:sz w:val="20"/>
                <w:szCs w:val="20"/>
                <w:color w:val="auto"/>
              </w:rPr>
            </w:pPr>
            <w:r>
              <w:rPr>
                <w:rFonts w:ascii="Arial" w:cs="Arial" w:eastAsia="Arial" w:hAnsi="Arial"/>
                <w:sz w:val="16"/>
                <w:szCs w:val="16"/>
                <w:b w:val="1"/>
                <w:bCs w:val="1"/>
                <w:color w:val="auto"/>
              </w:rPr>
              <w:t>S/(000)</w:t>
            </w:r>
          </w:p>
        </w:tc>
        <w:tc>
          <w:tcPr>
            <w:tcW w:w="1460" w:type="dxa"/>
            <w:vAlign w:val="bottom"/>
            <w:gridSpan w:val="2"/>
          </w:tcPr>
          <w:p>
            <w:pPr>
              <w:ind w:left="40"/>
              <w:spacing w:after="0" w:line="152" w:lineRule="exact"/>
              <w:rPr>
                <w:sz w:val="20"/>
                <w:szCs w:val="20"/>
                <w:color w:val="auto"/>
              </w:rPr>
            </w:pPr>
            <w:r>
              <w:rPr>
                <w:rFonts w:ascii="Arial" w:cs="Arial" w:eastAsia="Arial" w:hAnsi="Arial"/>
                <w:sz w:val="16"/>
                <w:szCs w:val="16"/>
                <w:b w:val="1"/>
                <w:bCs w:val="1"/>
                <w:color w:val="auto"/>
              </w:rPr>
              <w:t>S/(000)</w:t>
            </w:r>
          </w:p>
        </w:tc>
        <w:tc>
          <w:tcPr>
            <w:tcW w:w="960" w:type="dxa"/>
            <w:vAlign w:val="bottom"/>
            <w:gridSpan w:val="2"/>
          </w:tcPr>
          <w:p>
            <w:pPr>
              <w:spacing w:after="0" w:line="152" w:lineRule="exact"/>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r>
        <w:trPr>
          <w:trHeight w:val="175"/>
        </w:trPr>
        <w:tc>
          <w:tcPr>
            <w:tcW w:w="2980" w:type="dxa"/>
            <w:vAlign w:val="bottom"/>
            <w:vMerge w:val="continue"/>
          </w:tcPr>
          <w:p>
            <w:pPr>
              <w:spacing w:after="0"/>
              <w:rPr>
                <w:sz w:val="15"/>
                <w:szCs w:val="15"/>
                <w:color w:val="auto"/>
              </w:rPr>
            </w:pPr>
          </w:p>
        </w:tc>
        <w:tc>
          <w:tcPr>
            <w:tcW w:w="1080" w:type="dxa"/>
            <w:vAlign w:val="bottom"/>
            <w:gridSpan w:val="2"/>
          </w:tcPr>
          <w:p>
            <w:pPr>
              <w:jc w:val="right"/>
              <w:ind w:right="2"/>
              <w:spacing w:after="0" w:line="175" w:lineRule="exact"/>
              <w:rPr>
                <w:sz w:val="20"/>
                <w:szCs w:val="20"/>
                <w:color w:val="auto"/>
              </w:rPr>
            </w:pPr>
            <w:r>
              <w:rPr>
                <w:rFonts w:ascii="Arial" w:cs="Arial" w:eastAsia="Arial" w:hAnsi="Arial"/>
                <w:sz w:val="16"/>
                <w:szCs w:val="16"/>
                <w:color w:val="auto"/>
              </w:rPr>
              <w:t>(133,054)</w:t>
            </w:r>
          </w:p>
        </w:tc>
        <w:tc>
          <w:tcPr>
            <w:tcW w:w="1380" w:type="dxa"/>
            <w:vAlign w:val="bottom"/>
          </w:tcPr>
          <w:p>
            <w:pPr>
              <w:jc w:val="right"/>
              <w:spacing w:after="0" w:line="175" w:lineRule="exact"/>
              <w:rPr>
                <w:sz w:val="20"/>
                <w:szCs w:val="20"/>
                <w:color w:val="auto"/>
              </w:rPr>
            </w:pPr>
            <w:r>
              <w:rPr>
                <w:rFonts w:ascii="Arial" w:cs="Arial" w:eastAsia="Arial" w:hAnsi="Arial"/>
                <w:sz w:val="16"/>
                <w:szCs w:val="16"/>
                <w:color w:val="auto"/>
              </w:rPr>
              <w:t>1,005,100</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872,046</w:t>
            </w:r>
          </w:p>
        </w:tc>
        <w:tc>
          <w:tcPr>
            <w:tcW w:w="10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(96,962)</w:t>
            </w:r>
          </w:p>
        </w:tc>
        <w:tc>
          <w:tcPr>
            <w:tcW w:w="146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840,970</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744,008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rPr>
              <w:t>Directly attributable claims incurred</w:t>
            </w:r>
          </w:p>
        </w:tc>
        <w:tc>
          <w:tcPr>
            <w:tcW w:w="100" w:type="dxa"/>
            <w:vAlign w:val="bottom"/>
          </w:tcPr>
          <w:p>
            <w:pPr>
              <w:spacing w:after="0"/>
              <w:rPr>
                <w:sz w:val="15"/>
                <w:szCs w:val="15"/>
                <w:color w:val="auto"/>
              </w:rPr>
            </w:pP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5" w:lineRule="exact"/>
              <w:rPr>
                <w:sz w:val="20"/>
                <w:szCs w:val="20"/>
                <w:color w:val="auto"/>
              </w:rPr>
            </w:pPr>
            <w:r>
              <w:rPr>
                <w:rFonts w:ascii="Arial" w:cs="Arial" w:eastAsia="Arial" w:hAnsi="Arial"/>
                <w:sz w:val="16"/>
                <w:szCs w:val="16"/>
                <w:color w:val="auto"/>
              </w:rPr>
              <w:t>343,855</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343,855</w:t>
            </w:r>
          </w:p>
        </w:tc>
        <w:tc>
          <w:tcPr>
            <w:tcW w:w="60" w:type="dxa"/>
            <w:vAlign w:val="bottom"/>
          </w:tcPr>
          <w:p>
            <w:pPr>
              <w:spacing w:after="0"/>
              <w:rPr>
                <w:sz w:val="15"/>
                <w:szCs w:val="15"/>
                <w:color w:val="auto"/>
              </w:rPr>
            </w:pP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660,468</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660,468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rPr>
              <w:t>Changes that relate to past services</w:t>
            </w:r>
          </w:p>
        </w:tc>
        <w:tc>
          <w:tcPr>
            <w:tcW w:w="100" w:type="dxa"/>
            <w:vAlign w:val="bottom"/>
          </w:tcPr>
          <w:p>
            <w:pPr>
              <w:spacing w:after="0"/>
              <w:rPr>
                <w:sz w:val="15"/>
                <w:szCs w:val="15"/>
                <w:color w:val="auto"/>
              </w:rPr>
            </w:pP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5" w:lineRule="exact"/>
              <w:rPr>
                <w:sz w:val="20"/>
                <w:szCs w:val="20"/>
                <w:color w:val="auto"/>
              </w:rPr>
            </w:pPr>
            <w:r>
              <w:rPr>
                <w:rFonts w:ascii="Arial" w:cs="Arial" w:eastAsia="Arial" w:hAnsi="Arial"/>
                <w:sz w:val="16"/>
                <w:szCs w:val="16"/>
                <w:color w:val="auto"/>
              </w:rPr>
              <w:t>(158,503)</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(158,503)</w:t>
            </w:r>
          </w:p>
        </w:tc>
        <w:tc>
          <w:tcPr>
            <w:tcW w:w="60" w:type="dxa"/>
            <w:vAlign w:val="bottom"/>
          </w:tcPr>
          <w:p>
            <w:pPr>
              <w:spacing w:after="0"/>
              <w:rPr>
                <w:sz w:val="15"/>
                <w:szCs w:val="15"/>
                <w:color w:val="auto"/>
              </w:rPr>
            </w:pP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(219,215)</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(219,215)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20"/>
                <w:szCs w:val="20"/>
                <w:color w:val="auto"/>
              </w:rPr>
            </w:pPr>
            <w:r>
              <w:rPr>
                <w:rFonts w:ascii="Arial" w:cs="Arial" w:eastAsia="Arial" w:hAnsi="Arial"/>
                <w:sz w:val="16"/>
                <w:szCs w:val="16"/>
                <w:color w:val="auto"/>
              </w:rPr>
              <w:t>Future service changes</w:t>
            </w:r>
          </w:p>
        </w:tc>
        <w:tc>
          <w:tcPr>
            <w:tcW w:w="10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(5,735)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(5,735)</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7,238</w:t>
            </w:r>
          </w:p>
        </w:tc>
        <w:tc>
          <w:tcPr>
            <w:tcW w:w="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line="152" w:lineRule="exact"/>
              <w:rPr>
                <w:sz w:val="20"/>
                <w:szCs w:val="20"/>
                <w:color w:val="auto"/>
              </w:rPr>
            </w:pPr>
            <w:r>
              <w:rPr>
                <w:rFonts w:ascii="Arial" w:cs="Arial" w:eastAsia="Arial" w:hAnsi="Arial"/>
                <w:sz w:val="16"/>
                <w:szCs w:val="16"/>
                <w:b w:val="1"/>
                <w:bCs w:val="1"/>
                <w:color w:val="auto"/>
              </w:rPr>
              <w:t>Reinsurance recoveries</w:t>
            </w:r>
          </w:p>
        </w:tc>
        <w:tc>
          <w:tcPr>
            <w:tcW w:w="1080" w:type="dxa"/>
            <w:vAlign w:val="bottom"/>
            <w:gridSpan w:val="2"/>
          </w:tcPr>
          <w:p>
            <w:pPr>
              <w:jc w:val="right"/>
              <w:ind w:right="2"/>
              <w:spacing w:after="0" w:line="152" w:lineRule="exact"/>
              <w:rPr>
                <w:sz w:val="20"/>
                <w:szCs w:val="20"/>
                <w:color w:val="auto"/>
              </w:rPr>
            </w:pPr>
            <w:r>
              <w:rPr>
                <w:rFonts w:ascii="Arial" w:cs="Arial" w:eastAsia="Arial" w:hAnsi="Arial"/>
                <w:sz w:val="16"/>
                <w:szCs w:val="16"/>
                <w:color w:val="auto"/>
              </w:rPr>
              <w:t>(5,735)</w:t>
            </w:r>
          </w:p>
        </w:tc>
        <w:tc>
          <w:tcPr>
            <w:tcW w:w="1380" w:type="dxa"/>
            <w:vAlign w:val="bottom"/>
          </w:tcPr>
          <w:p>
            <w:pPr>
              <w:jc w:val="right"/>
              <w:spacing w:after="0" w:line="152" w:lineRule="exact"/>
              <w:rPr>
                <w:sz w:val="20"/>
                <w:szCs w:val="20"/>
                <w:color w:val="auto"/>
              </w:rPr>
            </w:pPr>
            <w:r>
              <w:rPr>
                <w:rFonts w:ascii="Arial" w:cs="Arial" w:eastAsia="Arial" w:hAnsi="Arial"/>
                <w:sz w:val="16"/>
                <w:szCs w:val="16"/>
                <w:color w:val="auto"/>
              </w:rPr>
              <w:t>185,352</w:t>
            </w:r>
          </w:p>
        </w:tc>
        <w:tc>
          <w:tcPr>
            <w:tcW w:w="1000" w:type="dxa"/>
            <w:vAlign w:val="bottom"/>
            <w:gridSpan w:val="3"/>
          </w:tcPr>
          <w:p>
            <w:pPr>
              <w:jc w:val="right"/>
              <w:ind w:right="80"/>
              <w:spacing w:after="0" w:line="152" w:lineRule="exact"/>
              <w:rPr>
                <w:sz w:val="20"/>
                <w:szCs w:val="20"/>
                <w:color w:val="auto"/>
              </w:rPr>
            </w:pPr>
            <w:r>
              <w:rPr>
                <w:rFonts w:ascii="Arial" w:cs="Arial" w:eastAsia="Arial" w:hAnsi="Arial"/>
                <w:sz w:val="16"/>
                <w:szCs w:val="16"/>
                <w:color w:val="auto"/>
              </w:rPr>
              <w:t>179,617</w:t>
            </w:r>
          </w:p>
        </w:tc>
        <w:tc>
          <w:tcPr>
            <w:tcW w:w="1020" w:type="dxa"/>
            <w:vAlign w:val="bottom"/>
            <w:gridSpan w:val="2"/>
          </w:tcPr>
          <w:p>
            <w:pPr>
              <w:jc w:val="right"/>
              <w:spacing w:after="0" w:line="152" w:lineRule="exact"/>
              <w:rPr>
                <w:sz w:val="20"/>
                <w:szCs w:val="20"/>
                <w:color w:val="auto"/>
              </w:rPr>
            </w:pPr>
            <w:r>
              <w:rPr>
                <w:rFonts w:ascii="Arial" w:cs="Arial" w:eastAsia="Arial" w:hAnsi="Arial"/>
                <w:sz w:val="16"/>
                <w:szCs w:val="16"/>
                <w:color w:val="auto"/>
              </w:rPr>
              <w:t>7,238</w:t>
            </w:r>
          </w:p>
        </w:tc>
        <w:tc>
          <w:tcPr>
            <w:tcW w:w="1460" w:type="dxa"/>
            <w:vAlign w:val="bottom"/>
            <w:gridSpan w:val="2"/>
          </w:tcPr>
          <w:p>
            <w:pPr>
              <w:jc w:val="right"/>
              <w:ind w:right="22"/>
              <w:spacing w:after="0" w:line="152" w:lineRule="exact"/>
              <w:rPr>
                <w:sz w:val="20"/>
                <w:szCs w:val="20"/>
                <w:color w:val="auto"/>
              </w:rPr>
            </w:pPr>
            <w:r>
              <w:rPr>
                <w:rFonts w:ascii="Arial" w:cs="Arial" w:eastAsia="Arial" w:hAnsi="Arial"/>
                <w:sz w:val="16"/>
                <w:szCs w:val="16"/>
                <w:color w:val="auto"/>
              </w:rPr>
              <w:t>441,253</w:t>
            </w:r>
          </w:p>
        </w:tc>
        <w:tc>
          <w:tcPr>
            <w:tcW w:w="880" w:type="dxa"/>
            <w:vAlign w:val="bottom"/>
          </w:tcPr>
          <w:p>
            <w:pPr>
              <w:jc w:val="right"/>
              <w:spacing w:after="0" w:line="152" w:lineRule="exact"/>
              <w:rPr>
                <w:sz w:val="20"/>
                <w:szCs w:val="20"/>
                <w:color w:val="auto"/>
              </w:rPr>
            </w:pPr>
            <w:r>
              <w:rPr>
                <w:rFonts w:ascii="Arial" w:cs="Arial" w:eastAsia="Arial" w:hAnsi="Arial"/>
                <w:sz w:val="16"/>
                <w:szCs w:val="16"/>
                <w:color w:val="auto"/>
              </w:rPr>
              <w:t>448,491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w w:val="98"/>
              </w:rPr>
              <w:t>Expenses for assigning the premiums paid</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20"/>
                <w:szCs w:val="20"/>
                <w:color w:val="auto"/>
              </w:rPr>
            </w:pPr>
            <w:r>
              <w:rPr>
                <w:rFonts w:ascii="Arial" w:cs="Arial" w:eastAsia="Arial" w:hAnsi="Arial"/>
                <w:sz w:val="16"/>
                <w:szCs w:val="16"/>
                <w:color w:val="auto"/>
              </w:rPr>
              <w:t>to the reinsurer</w:t>
            </w:r>
          </w:p>
        </w:tc>
        <w:tc>
          <w:tcPr>
            <w:tcW w:w="1080" w:type="dxa"/>
            <w:vAlign w:val="bottom"/>
            <w:gridSpan w:val="2"/>
          </w:tcPr>
          <w:p>
            <w:pPr>
              <w:jc w:val="right"/>
              <w:ind w:right="2"/>
              <w:spacing w:after="0"/>
              <w:rPr>
                <w:sz w:val="20"/>
                <w:szCs w:val="20"/>
                <w:color w:val="auto"/>
              </w:rPr>
            </w:pPr>
            <w:r>
              <w:rPr>
                <w:rFonts w:ascii="Arial" w:cs="Arial" w:eastAsia="Arial" w:hAnsi="Arial"/>
                <w:sz w:val="16"/>
                <w:szCs w:val="16"/>
                <w:color w:val="auto"/>
              </w:rPr>
              <w:t>(674,214)</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(674,214)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(837,543)</w:t>
            </w:r>
          </w:p>
        </w:tc>
        <w:tc>
          <w:tcPr>
            <w:tcW w:w="1460" w:type="dxa"/>
            <w:vAlign w:val="bottom"/>
            <w:gridSpan w:val="2"/>
          </w:tcPr>
          <w:p>
            <w:pPr>
              <w:jc w:val="right"/>
              <w:ind w:right="22"/>
              <w:spacing w:after="0"/>
              <w:rPr>
                <w:sz w:val="20"/>
                <w:szCs w:val="20"/>
                <w:color w:val="auto"/>
              </w:rPr>
            </w:pPr>
            <w:r>
              <w:rPr>
                <w:rFonts w:ascii="Arial" w:cs="Arial" w:eastAsia="Arial" w:hAnsi="Arial"/>
                <w:sz w:val="16"/>
                <w:szCs w:val="16"/>
                <w:color w:val="auto"/>
              </w:rPr>
              <w:t>(2,269)</w:t>
            </w:r>
          </w:p>
        </w:tc>
        <w:tc>
          <w:tcPr>
            <w:tcW w:w="880" w:type="dxa"/>
            <w:vAlign w:val="bottom"/>
          </w:tcPr>
          <w:p>
            <w:pPr>
              <w:jc w:val="right"/>
              <w:spacing w:after="0"/>
              <w:rPr>
                <w:sz w:val="20"/>
                <w:szCs w:val="20"/>
                <w:color w:val="auto"/>
              </w:rPr>
            </w:pPr>
            <w:r>
              <w:rPr>
                <w:rFonts w:ascii="Arial" w:cs="Arial" w:eastAsia="Arial" w:hAnsi="Arial"/>
                <w:sz w:val="16"/>
                <w:szCs w:val="16"/>
                <w:color w:val="auto"/>
              </w:rPr>
              <w:t>(839,812)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line="152" w:lineRule="exact"/>
              <w:rPr>
                <w:sz w:val="20"/>
                <w:szCs w:val="20"/>
                <w:color w:val="auto"/>
              </w:rPr>
            </w:pPr>
            <w:r>
              <w:rPr>
                <w:rFonts w:ascii="Arial" w:cs="Arial" w:eastAsia="Arial" w:hAnsi="Arial"/>
                <w:sz w:val="16"/>
                <w:szCs w:val="16"/>
                <w:b w:val="1"/>
                <w:bCs w:val="1"/>
                <w:color w:val="auto"/>
              </w:rPr>
              <w:t>Result of the reinsurance service</w:t>
            </w:r>
          </w:p>
        </w:tc>
        <w:tc>
          <w:tcPr>
            <w:tcW w:w="100" w:type="dxa"/>
            <w:vAlign w:val="bottom"/>
          </w:tcPr>
          <w:p>
            <w:pPr>
              <w:spacing w:after="0"/>
              <w:rPr>
                <w:sz w:val="13"/>
                <w:szCs w:val="13"/>
                <w:color w:val="auto"/>
              </w:rPr>
            </w:pPr>
          </w:p>
        </w:tc>
        <w:tc>
          <w:tcPr>
            <w:tcW w:w="980" w:type="dxa"/>
            <w:vAlign w:val="bottom"/>
            <w:tcBorders>
              <w:top w:val="single" w:sz="8" w:color="auto"/>
            </w:tcBorders>
          </w:tcPr>
          <w:p>
            <w:pPr>
              <w:jc w:val="right"/>
              <w:ind w:right="2"/>
              <w:spacing w:after="0" w:line="152" w:lineRule="exact"/>
              <w:rPr>
                <w:sz w:val="20"/>
                <w:szCs w:val="20"/>
                <w:color w:val="auto"/>
              </w:rPr>
            </w:pPr>
            <w:r>
              <w:rPr>
                <w:rFonts w:ascii="Arial" w:cs="Arial" w:eastAsia="Arial" w:hAnsi="Arial"/>
                <w:sz w:val="16"/>
                <w:szCs w:val="16"/>
                <w:color w:val="auto"/>
              </w:rPr>
              <w:t>(679,949)</w:t>
            </w:r>
          </w:p>
        </w:tc>
        <w:tc>
          <w:tcPr>
            <w:tcW w:w="13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185,352</w:t>
            </w:r>
          </w:p>
        </w:tc>
        <w:tc>
          <w:tcPr>
            <w:tcW w:w="920" w:type="dxa"/>
            <w:vAlign w:val="bottom"/>
            <w:tcBorders>
              <w:top w:val="single" w:sz="8" w:color="auto"/>
            </w:tcBorders>
            <w:gridSpan w:val="2"/>
          </w:tcPr>
          <w:p>
            <w:pPr>
              <w:jc w:val="right"/>
              <w:spacing w:after="0" w:line="152" w:lineRule="exact"/>
              <w:rPr>
                <w:sz w:val="20"/>
                <w:szCs w:val="20"/>
                <w:color w:val="auto"/>
              </w:rPr>
            </w:pPr>
            <w:r>
              <w:rPr>
                <w:rFonts w:ascii="Arial" w:cs="Arial" w:eastAsia="Arial" w:hAnsi="Arial"/>
                <w:sz w:val="16"/>
                <w:szCs w:val="16"/>
                <w:color w:val="auto"/>
              </w:rPr>
              <w:t>(494,597)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(830,305)</w:t>
            </w:r>
          </w:p>
        </w:tc>
        <w:tc>
          <w:tcPr>
            <w:tcW w:w="1460" w:type="dxa"/>
            <w:vAlign w:val="bottom"/>
            <w:tcBorders>
              <w:top w:val="single" w:sz="8" w:color="auto"/>
            </w:tcBorders>
            <w:gridSpan w:val="2"/>
          </w:tcPr>
          <w:p>
            <w:pPr>
              <w:jc w:val="right"/>
              <w:ind w:right="22"/>
              <w:spacing w:after="0" w:line="152" w:lineRule="exact"/>
              <w:rPr>
                <w:sz w:val="20"/>
                <w:szCs w:val="20"/>
                <w:color w:val="auto"/>
              </w:rPr>
            </w:pPr>
            <w:r>
              <w:rPr>
                <w:rFonts w:ascii="Arial" w:cs="Arial" w:eastAsia="Arial" w:hAnsi="Arial"/>
                <w:sz w:val="16"/>
                <w:szCs w:val="16"/>
                <w:color w:val="auto"/>
              </w:rPr>
              <w:t>438,984</w:t>
            </w: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(391,321)</w:t>
            </w:r>
          </w:p>
        </w:tc>
        <w:tc>
          <w:tcPr>
            <w:tcW w:w="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rPr>
              <w:t>Net financial expenses for reinsurance</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rPr>
              <w:t>contracts</w:t>
            </w:r>
          </w:p>
        </w:tc>
        <w:tc>
          <w:tcPr>
            <w:tcW w:w="100" w:type="dxa"/>
            <w:vAlign w:val="bottom"/>
          </w:tcPr>
          <w:p>
            <w:pPr>
              <w:spacing w:after="0"/>
              <w:rPr>
                <w:sz w:val="15"/>
                <w:szCs w:val="15"/>
                <w:color w:val="auto"/>
              </w:rPr>
            </w:pP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5" w:lineRule="exact"/>
              <w:rPr>
                <w:sz w:val="20"/>
                <w:szCs w:val="20"/>
                <w:color w:val="auto"/>
              </w:rPr>
            </w:pPr>
            <w:r>
              <w:rPr>
                <w:rFonts w:ascii="Arial" w:cs="Arial" w:eastAsia="Arial" w:hAnsi="Arial"/>
                <w:sz w:val="16"/>
                <w:szCs w:val="16"/>
                <w:color w:val="auto"/>
              </w:rPr>
              <w:t>30,377</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30,377</w:t>
            </w:r>
          </w:p>
        </w:tc>
        <w:tc>
          <w:tcPr>
            <w:tcW w:w="60" w:type="dxa"/>
            <w:vAlign w:val="bottom"/>
          </w:tcPr>
          <w:p>
            <w:pPr>
              <w:spacing w:after="0"/>
              <w:rPr>
                <w:sz w:val="15"/>
                <w:szCs w:val="15"/>
                <w:color w:val="auto"/>
              </w:rPr>
            </w:pP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43,419</w:t>
            </w: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43,419</w:t>
            </w: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rPr>
              <w:t>Other changes</w:t>
            </w:r>
          </w:p>
        </w:tc>
        <w:tc>
          <w:tcPr>
            <w:tcW w:w="1080" w:type="dxa"/>
            <w:vAlign w:val="bottom"/>
            <w:gridSpan w:val="2"/>
          </w:tcPr>
          <w:p>
            <w:pPr>
              <w:jc w:val="right"/>
              <w:ind w:right="2"/>
              <w:spacing w:after="0" w:line="175" w:lineRule="exact"/>
              <w:rPr>
                <w:sz w:val="20"/>
                <w:szCs w:val="20"/>
                <w:color w:val="auto"/>
              </w:rPr>
            </w:pPr>
            <w:r>
              <w:rPr>
                <w:rFonts w:ascii="Arial" w:cs="Arial" w:eastAsia="Arial" w:hAnsi="Arial"/>
                <w:sz w:val="16"/>
                <w:szCs w:val="16"/>
                <w:color w:val="auto"/>
              </w:rPr>
              <w:t>(13,237)</w:t>
            </w:r>
          </w:p>
        </w:tc>
        <w:tc>
          <w:tcPr>
            <w:tcW w:w="1380" w:type="dxa"/>
            <w:vAlign w:val="bottom"/>
          </w:tcPr>
          <w:p>
            <w:pPr>
              <w:jc w:val="right"/>
              <w:spacing w:after="0" w:line="175" w:lineRule="exact"/>
              <w:rPr>
                <w:sz w:val="20"/>
                <w:szCs w:val="20"/>
                <w:color w:val="auto"/>
              </w:rPr>
            </w:pPr>
            <w:r>
              <w:rPr>
                <w:rFonts w:ascii="Arial" w:cs="Arial" w:eastAsia="Arial" w:hAnsi="Arial"/>
                <w:sz w:val="16"/>
                <w:szCs w:val="16"/>
                <w:color w:val="auto"/>
              </w:rPr>
              <w:t>(18,679)</w:t>
            </w: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(31,916)</w:t>
            </w:r>
          </w:p>
        </w:tc>
        <w:tc>
          <w:tcPr>
            <w:tcW w:w="80" w:type="dxa"/>
            <w:vAlign w:val="bottom"/>
          </w:tcPr>
          <w:p>
            <w:pPr>
              <w:spacing w:after="0"/>
              <w:rPr>
                <w:sz w:val="15"/>
                <w:szCs w:val="15"/>
                <w:color w:val="auto"/>
              </w:rPr>
            </w:pPr>
          </w:p>
        </w:tc>
        <w:tc>
          <w:tcPr>
            <w:tcW w:w="10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91,775</w:t>
            </w:r>
          </w:p>
        </w:tc>
        <w:tc>
          <w:tcPr>
            <w:tcW w:w="146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47,232</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(44,543)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rPr>
              <w:t>Cash flow:</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w w:val="99"/>
              </w:rPr>
              <w:t>Premiums paid net of commissions ceded</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rPr>
              <w:t>and other directly attributable expenses</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line="175" w:lineRule="exact"/>
              <w:rPr>
                <w:sz w:val="20"/>
                <w:szCs w:val="20"/>
                <w:color w:val="auto"/>
              </w:rPr>
            </w:pPr>
            <w:r>
              <w:rPr>
                <w:rFonts w:ascii="Arial" w:cs="Arial" w:eastAsia="Arial" w:hAnsi="Arial"/>
                <w:sz w:val="16"/>
                <w:szCs w:val="16"/>
                <w:color w:val="auto"/>
              </w:rPr>
              <w:t>paid</w:t>
            </w:r>
          </w:p>
        </w:tc>
        <w:tc>
          <w:tcPr>
            <w:tcW w:w="1080" w:type="dxa"/>
            <w:vAlign w:val="bottom"/>
            <w:gridSpan w:val="2"/>
          </w:tcPr>
          <w:p>
            <w:pPr>
              <w:jc w:val="right"/>
              <w:ind w:right="2"/>
              <w:spacing w:after="0" w:line="175" w:lineRule="exact"/>
              <w:rPr>
                <w:sz w:val="20"/>
                <w:szCs w:val="20"/>
                <w:color w:val="auto"/>
              </w:rPr>
            </w:pPr>
            <w:r>
              <w:rPr>
                <w:rFonts w:ascii="Arial" w:cs="Arial" w:eastAsia="Arial" w:hAnsi="Arial"/>
                <w:sz w:val="16"/>
                <w:szCs w:val="16"/>
                <w:color w:val="auto"/>
              </w:rPr>
              <w:t>767,841</w:t>
            </w:r>
          </w:p>
        </w:tc>
        <w:tc>
          <w:tcPr>
            <w:tcW w:w="1380" w:type="dxa"/>
            <w:vAlign w:val="bottom"/>
          </w:tcPr>
          <w:p>
            <w:pPr>
              <w:jc w:val="right"/>
              <w:spacing w:after="0" w:line="175" w:lineRule="exact"/>
              <w:rPr>
                <w:sz w:val="20"/>
                <w:szCs w:val="20"/>
                <w:color w:val="auto"/>
              </w:rPr>
            </w:pPr>
            <w:r>
              <w:rPr>
                <w:rFonts w:ascii="Arial" w:cs="Arial" w:eastAsia="Arial" w:hAnsi="Arial"/>
                <w:sz w:val="16"/>
                <w:szCs w:val="16"/>
                <w:color w:val="auto"/>
              </w:rPr>
              <w:t>12</w:t>
            </w:r>
          </w:p>
        </w:tc>
        <w:tc>
          <w:tcPr>
            <w:tcW w:w="10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767,853</w:t>
            </w:r>
          </w:p>
        </w:tc>
        <w:tc>
          <w:tcPr>
            <w:tcW w:w="10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885,988</w:t>
            </w:r>
          </w:p>
        </w:tc>
        <w:tc>
          <w:tcPr>
            <w:tcW w:w="1460" w:type="dxa"/>
            <w:vAlign w:val="bottom"/>
            <w:gridSpan w:val="2"/>
          </w:tcPr>
          <w:p>
            <w:pPr>
              <w:jc w:val="right"/>
              <w:ind w:right="22"/>
              <w:spacing w:after="0" w:line="175" w:lineRule="exact"/>
              <w:rPr>
                <w:sz w:val="20"/>
                <w:szCs w:val="20"/>
                <w:color w:val="auto"/>
              </w:rPr>
            </w:pPr>
            <w:r>
              <w:rPr>
                <w:rFonts w:ascii="Arial" w:cs="Arial" w:eastAsia="Arial" w:hAnsi="Arial"/>
                <w:sz w:val="16"/>
                <w:szCs w:val="16"/>
                <w:color w:val="auto"/>
              </w:rPr>
              <w:t>2,270</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888,258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20"/>
                <w:szCs w:val="20"/>
                <w:color w:val="auto"/>
              </w:rPr>
            </w:pPr>
            <w:r>
              <w:rPr>
                <w:rFonts w:ascii="Arial" w:cs="Arial" w:eastAsia="Arial" w:hAnsi="Arial"/>
                <w:sz w:val="16"/>
                <w:szCs w:val="16"/>
                <w:color w:val="auto"/>
              </w:rPr>
              <w:t>Reinsurance recoveries</w:t>
            </w:r>
          </w:p>
        </w:tc>
        <w:tc>
          <w:tcPr>
            <w:tcW w:w="100" w:type="dxa"/>
            <w:vAlign w:val="bottom"/>
          </w:tcPr>
          <w:p>
            <w:pPr>
              <w:spacing w:after="0"/>
              <w:rPr>
                <w:sz w:val="16"/>
                <w:szCs w:val="16"/>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(302,593)</w:t>
            </w: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(302,593)</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
              <w:spacing w:after="0"/>
              <w:rPr>
                <w:sz w:val="20"/>
                <w:szCs w:val="20"/>
                <w:color w:val="auto"/>
              </w:rPr>
            </w:pPr>
            <w:r>
              <w:rPr>
                <w:rFonts w:ascii="Arial" w:cs="Arial" w:eastAsia="Arial" w:hAnsi="Arial"/>
                <w:sz w:val="16"/>
                <w:szCs w:val="16"/>
                <w:color w:val="auto"/>
              </w:rPr>
              <w:t>(367,775)</w:t>
            </w:r>
          </w:p>
        </w:tc>
        <w:tc>
          <w:tcPr>
            <w:tcW w:w="880" w:type="dxa"/>
            <w:vAlign w:val="bottom"/>
          </w:tcPr>
          <w:p>
            <w:pPr>
              <w:jc w:val="right"/>
              <w:spacing w:after="0"/>
              <w:rPr>
                <w:sz w:val="20"/>
                <w:szCs w:val="20"/>
                <w:color w:val="auto"/>
              </w:rPr>
            </w:pPr>
            <w:r>
              <w:rPr>
                <w:rFonts w:ascii="Arial" w:cs="Arial" w:eastAsia="Arial" w:hAnsi="Arial"/>
                <w:sz w:val="16"/>
                <w:szCs w:val="16"/>
                <w:color w:val="auto"/>
              </w:rPr>
              <w:t>(367,775)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line="161" w:lineRule="exact"/>
              <w:rPr>
                <w:sz w:val="20"/>
                <w:szCs w:val="20"/>
                <w:color w:val="auto"/>
              </w:rPr>
            </w:pPr>
            <w:r>
              <w:rPr>
                <w:rFonts w:ascii="Arial" w:cs="Arial" w:eastAsia="Arial" w:hAnsi="Arial"/>
                <w:sz w:val="16"/>
                <w:szCs w:val="16"/>
                <w:b w:val="1"/>
                <w:bCs w:val="1"/>
                <w:color w:val="auto"/>
              </w:rPr>
              <w:t>Net cash flow</w:t>
            </w:r>
          </w:p>
        </w:tc>
        <w:tc>
          <w:tcPr>
            <w:tcW w:w="100" w:type="dxa"/>
            <w:vAlign w:val="bottom"/>
            <w:tcBorders>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
              <w:spacing w:after="0" w:line="161" w:lineRule="exact"/>
              <w:rPr>
                <w:sz w:val="20"/>
                <w:szCs w:val="20"/>
                <w:color w:val="auto"/>
              </w:rPr>
            </w:pPr>
            <w:r>
              <w:rPr>
                <w:rFonts w:ascii="Arial" w:cs="Arial" w:eastAsia="Arial" w:hAnsi="Arial"/>
                <w:sz w:val="16"/>
                <w:szCs w:val="16"/>
                <w:color w:val="auto"/>
              </w:rPr>
              <w:t>767,841</w:t>
            </w:r>
          </w:p>
        </w:tc>
        <w:tc>
          <w:tcPr>
            <w:tcW w:w="13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(302,581)</w:t>
            </w:r>
          </w:p>
        </w:tc>
        <w:tc>
          <w:tcPr>
            <w:tcW w:w="920" w:type="dxa"/>
            <w:vAlign w:val="bottom"/>
            <w:tcBorders>
              <w:top w:val="single" w:sz="8" w:color="auto"/>
              <w:bottom w:val="single" w:sz="8" w:color="auto"/>
            </w:tcBorders>
            <w:gridSpan w:val="2"/>
          </w:tcPr>
          <w:p>
            <w:pPr>
              <w:jc w:val="right"/>
              <w:spacing w:after="0" w:line="161" w:lineRule="exact"/>
              <w:rPr>
                <w:sz w:val="20"/>
                <w:szCs w:val="20"/>
                <w:color w:val="auto"/>
              </w:rPr>
            </w:pPr>
            <w:r>
              <w:rPr>
                <w:rFonts w:ascii="Arial" w:cs="Arial" w:eastAsia="Arial" w:hAnsi="Arial"/>
                <w:sz w:val="16"/>
                <w:szCs w:val="16"/>
                <w:color w:val="auto"/>
              </w:rPr>
              <w:t>465,260</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885,988</w:t>
            </w:r>
          </w:p>
        </w:tc>
        <w:tc>
          <w:tcPr>
            <w:tcW w:w="1460" w:type="dxa"/>
            <w:vAlign w:val="bottom"/>
            <w:tcBorders>
              <w:top w:val="single" w:sz="8" w:color="auto"/>
              <w:bottom w:val="single" w:sz="8" w:color="auto"/>
            </w:tcBorders>
            <w:gridSpan w:val="2"/>
          </w:tcPr>
          <w:p>
            <w:pPr>
              <w:jc w:val="right"/>
              <w:ind w:right="22"/>
              <w:spacing w:after="0" w:line="161" w:lineRule="exact"/>
              <w:rPr>
                <w:sz w:val="20"/>
                <w:szCs w:val="20"/>
                <w:color w:val="auto"/>
              </w:rPr>
            </w:pPr>
            <w:r>
              <w:rPr>
                <w:rFonts w:ascii="Arial" w:cs="Arial" w:eastAsia="Arial" w:hAnsi="Arial"/>
                <w:sz w:val="16"/>
                <w:szCs w:val="16"/>
                <w:color w:val="auto"/>
              </w:rPr>
              <w:t>(365,505)</w:t>
            </w:r>
          </w:p>
        </w:tc>
        <w:tc>
          <w:tcPr>
            <w:tcW w:w="8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520,483</w:t>
            </w: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80" w:type="dxa"/>
            <w:vAlign w:val="bottom"/>
          </w:tcPr>
          <w:p>
            <w:pPr>
              <w:spacing w:after="0" w:line="175" w:lineRule="exact"/>
              <w:rPr>
                <w:sz w:val="20"/>
                <w:szCs w:val="20"/>
                <w:color w:val="auto"/>
              </w:rPr>
            </w:pPr>
            <w:r>
              <w:rPr>
                <w:rFonts w:ascii="Arial" w:cs="Arial" w:eastAsia="Arial" w:hAnsi="Arial"/>
                <w:sz w:val="16"/>
                <w:szCs w:val="16"/>
                <w:b w:val="1"/>
                <w:bCs w:val="1"/>
                <w:color w:val="auto"/>
              </w:rPr>
              <w:t>Balances at the end of the period</w:t>
            </w:r>
          </w:p>
        </w:tc>
        <w:tc>
          <w:tcPr>
            <w:tcW w:w="1080" w:type="dxa"/>
            <w:vAlign w:val="bottom"/>
            <w:tcBorders>
              <w:bottom w:val="single" w:sz="8" w:color="auto"/>
            </w:tcBorders>
            <w:gridSpan w:val="2"/>
          </w:tcPr>
          <w:p>
            <w:pPr>
              <w:jc w:val="right"/>
              <w:ind w:right="2"/>
              <w:spacing w:after="0" w:line="175" w:lineRule="exact"/>
              <w:rPr>
                <w:sz w:val="20"/>
                <w:szCs w:val="20"/>
                <w:color w:val="auto"/>
              </w:rPr>
            </w:pPr>
            <w:r>
              <w:rPr>
                <w:rFonts w:ascii="Arial" w:cs="Arial" w:eastAsia="Arial" w:hAnsi="Arial"/>
                <w:sz w:val="16"/>
                <w:szCs w:val="16"/>
                <w:color w:val="auto"/>
              </w:rPr>
              <w:t>(58,399)</w:t>
            </w:r>
          </w:p>
        </w:tc>
        <w:tc>
          <w:tcPr>
            <w:tcW w:w="13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899,569</w:t>
            </w:r>
          </w:p>
        </w:tc>
        <w:tc>
          <w:tcPr>
            <w:tcW w:w="1000" w:type="dxa"/>
            <w:vAlign w:val="bottom"/>
            <w:tcBorders>
              <w:bottom w:val="single" w:sz="8" w:color="auto"/>
            </w:tcBorders>
            <w:gridSpan w:val="3"/>
          </w:tcPr>
          <w:p>
            <w:pPr>
              <w:jc w:val="right"/>
              <w:ind w:right="80"/>
              <w:spacing w:after="0" w:line="175" w:lineRule="exact"/>
              <w:rPr>
                <w:sz w:val="20"/>
                <w:szCs w:val="20"/>
                <w:color w:val="auto"/>
              </w:rPr>
            </w:pPr>
            <w:r>
              <w:rPr>
                <w:rFonts w:ascii="Arial" w:cs="Arial" w:eastAsia="Arial" w:hAnsi="Arial"/>
                <w:sz w:val="16"/>
                <w:szCs w:val="16"/>
                <w:color w:val="auto"/>
              </w:rPr>
              <w:t>841,170</w:t>
            </w:r>
          </w:p>
        </w:tc>
        <w:tc>
          <w:tcPr>
            <w:tcW w:w="1020" w:type="dxa"/>
            <w:vAlign w:val="bottom"/>
            <w:tcBorders>
              <w:bottom w:val="single" w:sz="8" w:color="auto"/>
            </w:tcBorders>
            <w:gridSpan w:val="2"/>
          </w:tcPr>
          <w:p>
            <w:pPr>
              <w:jc w:val="right"/>
              <w:spacing w:after="0" w:line="175" w:lineRule="exact"/>
              <w:rPr>
                <w:sz w:val="20"/>
                <w:szCs w:val="20"/>
                <w:color w:val="auto"/>
              </w:rPr>
            </w:pPr>
            <w:r>
              <w:rPr>
                <w:rFonts w:ascii="Arial" w:cs="Arial" w:eastAsia="Arial" w:hAnsi="Arial"/>
                <w:sz w:val="16"/>
                <w:szCs w:val="16"/>
                <w:color w:val="auto"/>
              </w:rPr>
              <w:t>(133,054)</w:t>
            </w:r>
          </w:p>
        </w:tc>
        <w:tc>
          <w:tcPr>
            <w:tcW w:w="1460" w:type="dxa"/>
            <w:vAlign w:val="bottom"/>
            <w:tcBorders>
              <w:bottom w:val="single" w:sz="8" w:color="auto"/>
            </w:tcBorders>
            <w:gridSpan w:val="2"/>
          </w:tcPr>
          <w:p>
            <w:pPr>
              <w:jc w:val="right"/>
              <w:ind w:right="22"/>
              <w:spacing w:after="0" w:line="175" w:lineRule="exact"/>
              <w:rPr>
                <w:sz w:val="20"/>
                <w:szCs w:val="20"/>
                <w:color w:val="auto"/>
              </w:rPr>
            </w:pPr>
            <w:r>
              <w:rPr>
                <w:rFonts w:ascii="Arial" w:cs="Arial" w:eastAsia="Arial" w:hAnsi="Arial"/>
                <w:sz w:val="16"/>
                <w:szCs w:val="16"/>
                <w:color w:val="auto"/>
              </w:rPr>
              <w:t>1,005,100</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872,046</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7" w:right="3700" w:hanging="4"/>
        <w:spacing w:after="0" w:line="255" w:lineRule="auto"/>
        <w:tabs>
          <w:tab w:leader="none" w:pos="1137"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accounts payable to reinsurers and co-insurers and excess of loss contracts. (**) Includes accounts receivable from reinsurers and co-insurers.</w:t>
      </w:r>
    </w:p>
    <w:p>
      <w:pPr>
        <w:spacing w:after="0" w:line="293" w:lineRule="exact"/>
        <w:rPr>
          <w:sz w:val="20"/>
          <w:szCs w:val="20"/>
          <w:color w:val="auto"/>
        </w:rPr>
      </w:pPr>
    </w:p>
    <w:p>
      <w:pPr>
        <w:jc w:val="center"/>
        <w:ind w:right="-526"/>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27"/>
          </w:cols>
          <w:pgMar w:left="313" w:top="124" w:right="859" w:bottom="1440" w:gutter="0" w:footer="0" w:header="0"/>
        </w:sectPr>
      </w:pPr>
    </w:p>
    <w:bookmarkStart w:id="75" w:name="page76"/>
    <w:bookmarkEnd w:id="75"/>
    <w:p>
      <w:pPr>
        <w:ind w:left="286" w:hanging="286"/>
        <w:spacing w:after="0"/>
        <w:tabs>
          <w:tab w:leader="none" w:pos="28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detail of the liability for insurance contracts are:</w:t>
      </w:r>
    </w:p>
    <w:p>
      <w:pPr>
        <w:spacing w:after="0" w:line="165" w:lineRule="exact"/>
        <w:rPr>
          <w:rFonts w:ascii="Arial" w:cs="Arial" w:eastAsia="Arial" w:hAnsi="Arial"/>
          <w:sz w:val="16"/>
          <w:szCs w:val="16"/>
          <w:color w:val="auto"/>
        </w:rPr>
      </w:pPr>
    </w:p>
    <w:p>
      <w:pPr>
        <w:ind w:left="2926"/>
        <w:spacing w:after="0"/>
        <w:rPr>
          <w:rFonts w:ascii="Arial" w:cs="Arial" w:eastAsia="Arial" w:hAnsi="Arial"/>
          <w:sz w:val="16"/>
          <w:szCs w:val="16"/>
          <w:color w:val="auto"/>
        </w:rPr>
      </w:pPr>
      <w:r>
        <w:rPr>
          <w:rFonts w:ascii="Arial" w:cs="Arial" w:eastAsia="Arial" w:hAnsi="Arial"/>
          <w:sz w:val="16"/>
          <w:szCs w:val="16"/>
          <w:b w:val="1"/>
          <w:bCs w:val="1"/>
          <w:color w:val="auto"/>
        </w:rPr>
        <w:t>2024</w:t>
      </w:r>
    </w:p>
    <w:p>
      <w:pPr>
        <w:spacing w:after="0" w:line="8" w:lineRule="exact"/>
        <w:rPr>
          <w:sz w:val="20"/>
          <w:szCs w:val="20"/>
          <w:color w:val="auto"/>
        </w:rPr>
      </w:pPr>
    </w:p>
    <w:tbl>
      <w:tblPr>
        <w:tblLayout w:type="fixed"/>
        <w:tblInd w:w="2926" w:type="dxa"/>
        <w:tblCellMar>
          <w:top w:w="0" w:type="dxa"/>
          <w:left w:w="0" w:type="dxa"/>
          <w:bottom w:w="0" w:type="dxa"/>
          <w:right w:w="0" w:type="dxa"/>
        </w:tblCellMar>
      </w:tblPr>
      <w:tr>
        <w:trPr>
          <w:trHeight w:val="155"/>
        </w:trPr>
        <w:tc>
          <w:tcPr>
            <w:tcW w:w="25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Liabilities for remaining coverage</w:t>
            </w:r>
          </w:p>
        </w:tc>
        <w:tc>
          <w:tcPr>
            <w:tcW w:w="110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6"/>
                <w:szCs w:val="16"/>
                <w:b w:val="1"/>
                <w:bCs w:val="1"/>
                <w:color w:val="auto"/>
              </w:rPr>
              <w:t>Liabilities for</w:t>
            </w:r>
          </w:p>
        </w:tc>
        <w:tc>
          <w:tcPr>
            <w:tcW w:w="25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6"/>
                <w:szCs w:val="16"/>
                <w:b w:val="1"/>
                <w:bCs w:val="1"/>
                <w:color w:val="auto"/>
                <w:w w:val="98"/>
              </w:rPr>
              <w:t>Incurred loss liabilities - contracts</w:t>
            </w:r>
          </w:p>
        </w:tc>
        <w:tc>
          <w:tcPr>
            <w:tcW w:w="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gridSpan w:val="2"/>
            <w:vMerge w:val="continue"/>
          </w:tcPr>
          <w:p>
            <w:pPr>
              <w:spacing w:after="0"/>
              <w:rPr>
                <w:sz w:val="15"/>
                <w:szCs w:val="15"/>
                <w:color w:val="auto"/>
              </w:rPr>
            </w:pPr>
          </w:p>
        </w:tc>
        <w:tc>
          <w:tcPr>
            <w:tcW w:w="110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incurred</w:t>
            </w:r>
          </w:p>
        </w:tc>
        <w:tc>
          <w:tcPr>
            <w:tcW w:w="1320" w:type="dxa"/>
            <w:vAlign w:val="bottom"/>
          </w:tcPr>
          <w:p>
            <w:pPr>
              <w:spacing w:after="0" w:line="175" w:lineRule="exact"/>
              <w:rPr>
                <w:sz w:val="20"/>
                <w:szCs w:val="20"/>
                <w:color w:val="auto"/>
              </w:rPr>
            </w:pPr>
            <w:r>
              <w:rPr>
                <w:rFonts w:ascii="Arial" w:cs="Arial" w:eastAsia="Arial" w:hAnsi="Arial"/>
                <w:sz w:val="16"/>
                <w:szCs w:val="16"/>
                <w:b w:val="1"/>
                <w:bCs w:val="1"/>
                <w:color w:val="auto"/>
                <w:w w:val="94"/>
              </w:rPr>
              <w:t>measured by PAA</w:t>
            </w: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1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60" w:type="dxa"/>
            <w:vAlign w:val="bottom"/>
            <w:vMerge w:val="restart"/>
          </w:tcPr>
          <w:p>
            <w:pPr>
              <w:spacing w:after="0" w:line="170" w:lineRule="exact"/>
              <w:rPr>
                <w:sz w:val="20"/>
                <w:szCs w:val="20"/>
                <w:color w:val="auto"/>
              </w:rPr>
            </w:pPr>
            <w:r>
              <w:rPr>
                <w:rFonts w:ascii="Arial" w:cs="Arial" w:eastAsia="Arial" w:hAnsi="Arial"/>
                <w:sz w:val="16"/>
                <w:szCs w:val="16"/>
                <w:b w:val="1"/>
                <w:bCs w:val="1"/>
                <w:color w:val="auto"/>
              </w:rPr>
              <w:t>losses -</w:t>
            </w:r>
          </w:p>
        </w:tc>
        <w:tc>
          <w:tcPr>
            <w:tcW w:w="1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320" w:type="dxa"/>
            <w:vAlign w:val="bottom"/>
            <w:vMerge w:val="restart"/>
          </w:tcPr>
          <w:p>
            <w:pPr>
              <w:spacing w:after="0"/>
              <w:rPr>
                <w:sz w:val="20"/>
                <w:szCs w:val="20"/>
                <w:color w:val="auto"/>
              </w:rPr>
            </w:pPr>
            <w:r>
              <w:rPr>
                <w:rFonts w:ascii="Arial" w:cs="Arial" w:eastAsia="Arial" w:hAnsi="Arial"/>
                <w:sz w:val="16"/>
                <w:szCs w:val="16"/>
                <w:b w:val="1"/>
                <w:bCs w:val="1"/>
                <w:color w:val="auto"/>
              </w:rPr>
              <w:t>Present Value of</w:t>
            </w:r>
          </w:p>
        </w:tc>
        <w:tc>
          <w:tcPr>
            <w:tcW w:w="1260" w:type="dxa"/>
            <w:vAlign w:val="bottom"/>
          </w:tcPr>
          <w:p>
            <w:pPr>
              <w:spacing w:after="0"/>
              <w:rPr>
                <w:sz w:val="6"/>
                <w:szCs w:val="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6"/>
        </w:trPr>
        <w:tc>
          <w:tcPr>
            <w:tcW w:w="1180" w:type="dxa"/>
            <w:vAlign w:val="bottom"/>
            <w:vMerge w:val="restart"/>
          </w:tcPr>
          <w:p>
            <w:pPr>
              <w:spacing w:after="0"/>
              <w:rPr>
                <w:sz w:val="20"/>
                <w:szCs w:val="20"/>
                <w:color w:val="auto"/>
              </w:rPr>
            </w:pPr>
            <w:r>
              <w:rPr>
                <w:rFonts w:ascii="Arial" w:cs="Arial" w:eastAsia="Arial" w:hAnsi="Arial"/>
                <w:sz w:val="16"/>
                <w:szCs w:val="16"/>
                <w:b w:val="1"/>
                <w:bCs w:val="1"/>
                <w:color w:val="auto"/>
              </w:rPr>
              <w:t>Excluding loss</w:t>
            </w:r>
          </w:p>
        </w:tc>
        <w:tc>
          <w:tcPr>
            <w:tcW w:w="140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contracts not</w:t>
            </w:r>
          </w:p>
        </w:tc>
        <w:tc>
          <w:tcPr>
            <w:tcW w:w="132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18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line="175" w:lineRule="exact"/>
              <w:rPr>
                <w:sz w:val="20"/>
                <w:szCs w:val="20"/>
                <w:color w:val="auto"/>
              </w:rPr>
            </w:pPr>
            <w:r>
              <w:rPr>
                <w:rFonts w:ascii="Arial" w:cs="Arial" w:eastAsia="Arial" w:hAnsi="Arial"/>
                <w:sz w:val="16"/>
                <w:szCs w:val="16"/>
                <w:b w:val="1"/>
                <w:bCs w:val="1"/>
                <w:color w:val="auto"/>
              </w:rPr>
              <w:t>component (*)</w:t>
            </w:r>
          </w:p>
        </w:tc>
        <w:tc>
          <w:tcPr>
            <w:tcW w:w="1400" w:type="dxa"/>
            <w:vAlign w:val="bottom"/>
          </w:tcPr>
          <w:p>
            <w:pPr>
              <w:ind w:left="100"/>
              <w:spacing w:after="0" w:line="175" w:lineRule="exact"/>
              <w:rPr>
                <w:sz w:val="20"/>
                <w:szCs w:val="20"/>
                <w:color w:val="auto"/>
              </w:rPr>
            </w:pPr>
            <w:r>
              <w:rPr>
                <w:rFonts w:ascii="Arial" w:cs="Arial" w:eastAsia="Arial" w:hAnsi="Arial"/>
                <w:sz w:val="16"/>
                <w:szCs w:val="16"/>
                <w:b w:val="1"/>
                <w:bCs w:val="1"/>
                <w:color w:val="auto"/>
                <w:w w:val="99"/>
              </w:rPr>
              <w:t>Loss component</w:t>
            </w:r>
          </w:p>
        </w:tc>
        <w:tc>
          <w:tcPr>
            <w:tcW w:w="110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measured by</w:t>
            </w:r>
          </w:p>
        </w:tc>
        <w:tc>
          <w:tcPr>
            <w:tcW w:w="1320" w:type="dxa"/>
            <w:vAlign w:val="bottom"/>
          </w:tcPr>
          <w:p>
            <w:pPr>
              <w:spacing w:after="0" w:line="175" w:lineRule="exact"/>
              <w:rPr>
                <w:sz w:val="20"/>
                <w:szCs w:val="20"/>
                <w:color w:val="auto"/>
              </w:rPr>
            </w:pPr>
            <w:r>
              <w:rPr>
                <w:rFonts w:ascii="Arial" w:cs="Arial" w:eastAsia="Arial" w:hAnsi="Arial"/>
                <w:sz w:val="16"/>
                <w:szCs w:val="16"/>
                <w:b w:val="1"/>
                <w:bCs w:val="1"/>
                <w:color w:val="auto"/>
              </w:rPr>
              <w:t>Fulfillment Cash</w:t>
            </w:r>
          </w:p>
        </w:tc>
        <w:tc>
          <w:tcPr>
            <w:tcW w:w="1260" w:type="dxa"/>
            <w:vAlign w:val="bottom"/>
          </w:tcPr>
          <w:p>
            <w:pPr>
              <w:ind w:left="20"/>
              <w:spacing w:after="0" w:line="175" w:lineRule="exact"/>
              <w:rPr>
                <w:sz w:val="20"/>
                <w:szCs w:val="20"/>
                <w:color w:val="auto"/>
              </w:rPr>
            </w:pPr>
            <w:r>
              <w:rPr>
                <w:rFonts w:ascii="Arial" w:cs="Arial" w:eastAsia="Arial" w:hAnsi="Arial"/>
                <w:sz w:val="16"/>
                <w:szCs w:val="16"/>
                <w:b w:val="1"/>
                <w:bCs w:val="1"/>
                <w:color w:val="auto"/>
                <w:w w:val="98"/>
              </w:rPr>
              <w:t>Risk adjustment</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line="175" w:lineRule="exact"/>
              <w:rPr>
                <w:sz w:val="20"/>
                <w:szCs w:val="20"/>
                <w:color w:val="auto"/>
              </w:rPr>
            </w:pPr>
            <w:r>
              <w:rPr>
                <w:rFonts w:ascii="Arial" w:cs="Arial" w:eastAsia="Arial" w:hAnsi="Arial"/>
                <w:sz w:val="16"/>
                <w:szCs w:val="16"/>
                <w:b w:val="1"/>
                <w:bCs w:val="1"/>
                <w:color w:val="auto"/>
              </w:rPr>
              <w:t>PAA</w:t>
            </w:r>
          </w:p>
        </w:tc>
        <w:tc>
          <w:tcPr>
            <w:tcW w:w="132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Flows</w:t>
            </w:r>
          </w:p>
        </w:tc>
        <w:tc>
          <w:tcPr>
            <w:tcW w:w="1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line="166" w:lineRule="exact"/>
              <w:rPr>
                <w:sz w:val="20"/>
                <w:szCs w:val="20"/>
                <w:color w:val="auto"/>
              </w:rPr>
            </w:pPr>
            <w:r>
              <w:rPr>
                <w:rFonts w:ascii="Arial" w:cs="Arial" w:eastAsia="Arial" w:hAnsi="Arial"/>
                <w:sz w:val="16"/>
                <w:szCs w:val="16"/>
                <w:b w:val="1"/>
                <w:bCs w:val="1"/>
                <w:color w:val="auto"/>
              </w:rPr>
              <w:t>S/(000)</w:t>
            </w:r>
          </w:p>
        </w:tc>
        <w:tc>
          <w:tcPr>
            <w:tcW w:w="1400" w:type="dxa"/>
            <w:vAlign w:val="bottom"/>
          </w:tcPr>
          <w:p>
            <w:pPr>
              <w:ind w:left="100"/>
              <w:spacing w:after="0" w:line="166" w:lineRule="exact"/>
              <w:rPr>
                <w:sz w:val="20"/>
                <w:szCs w:val="20"/>
                <w:color w:val="auto"/>
              </w:rPr>
            </w:pPr>
            <w:r>
              <w:rPr>
                <w:rFonts w:ascii="Arial" w:cs="Arial" w:eastAsia="Arial" w:hAnsi="Arial"/>
                <w:sz w:val="16"/>
                <w:szCs w:val="16"/>
                <w:b w:val="1"/>
                <w:bCs w:val="1"/>
                <w:color w:val="auto"/>
              </w:rPr>
              <w:t>S/(000)</w:t>
            </w:r>
          </w:p>
        </w:tc>
        <w:tc>
          <w:tcPr>
            <w:tcW w:w="1100" w:type="dxa"/>
            <w:vAlign w:val="bottom"/>
            <w:gridSpan w:val="2"/>
          </w:tcPr>
          <w:p>
            <w:pPr>
              <w:ind w:left="40"/>
              <w:spacing w:after="0" w:line="166" w:lineRule="exact"/>
              <w:rPr>
                <w:sz w:val="20"/>
                <w:szCs w:val="20"/>
                <w:color w:val="auto"/>
              </w:rPr>
            </w:pPr>
            <w:r>
              <w:rPr>
                <w:rFonts w:ascii="Arial" w:cs="Arial" w:eastAsia="Arial" w:hAnsi="Arial"/>
                <w:sz w:val="16"/>
                <w:szCs w:val="16"/>
                <w:b w:val="1"/>
                <w:bCs w:val="1"/>
                <w:color w:val="auto"/>
              </w:rPr>
              <w:t>S/(000)</w:t>
            </w:r>
          </w:p>
        </w:tc>
        <w:tc>
          <w:tcPr>
            <w:tcW w:w="1320" w:type="dxa"/>
            <w:vAlign w:val="bottom"/>
          </w:tcPr>
          <w:p>
            <w:pPr>
              <w:spacing w:after="0" w:line="166" w:lineRule="exact"/>
              <w:rPr>
                <w:sz w:val="20"/>
                <w:szCs w:val="20"/>
                <w:color w:val="auto"/>
              </w:rPr>
            </w:pPr>
            <w:r>
              <w:rPr>
                <w:rFonts w:ascii="Arial" w:cs="Arial" w:eastAsia="Arial" w:hAnsi="Arial"/>
                <w:sz w:val="16"/>
                <w:szCs w:val="16"/>
                <w:b w:val="1"/>
                <w:bCs w:val="1"/>
                <w:color w:val="auto"/>
              </w:rPr>
              <w:t>S/(000)</w:t>
            </w:r>
          </w:p>
        </w:tc>
        <w:tc>
          <w:tcPr>
            <w:tcW w:w="1260" w:type="dxa"/>
            <w:vAlign w:val="bottom"/>
          </w:tcPr>
          <w:p>
            <w:pPr>
              <w:ind w:left="20"/>
              <w:spacing w:after="0" w:line="166" w:lineRule="exact"/>
              <w:rPr>
                <w:sz w:val="20"/>
                <w:szCs w:val="20"/>
                <w:color w:val="auto"/>
              </w:rPr>
            </w:pPr>
            <w:r>
              <w:rPr>
                <w:rFonts w:ascii="Arial" w:cs="Arial" w:eastAsia="Arial" w:hAnsi="Arial"/>
                <w:sz w:val="16"/>
                <w:szCs w:val="16"/>
                <w:b w:val="1"/>
                <w:bCs w:val="1"/>
                <w:color w:val="auto"/>
              </w:rPr>
              <w:t>S/(000)</w:t>
            </w:r>
          </w:p>
        </w:tc>
        <w:tc>
          <w:tcPr>
            <w:tcW w:w="980" w:type="dxa"/>
            <w:vAlign w:val="bottom"/>
            <w:gridSpan w:val="2"/>
          </w:tcPr>
          <w:p>
            <w:pPr>
              <w:ind w:left="40"/>
              <w:spacing w:after="0" w:line="166" w:lineRule="exact"/>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6" w:type="dxa"/>
        <w:tblCellMar>
          <w:top w:w="0" w:type="dxa"/>
          <w:left w:w="0" w:type="dxa"/>
          <w:bottom w:w="0" w:type="dxa"/>
          <w:right w:w="0" w:type="dxa"/>
        </w:tblCellMar>
      </w:tblPr>
      <w:tr>
        <w:trPr>
          <w:trHeight w:val="159"/>
        </w:trPr>
        <w:tc>
          <w:tcPr>
            <w:tcW w:w="2640" w:type="dxa"/>
            <w:vAlign w:val="bottom"/>
          </w:tcPr>
          <w:p>
            <w:pPr>
              <w:spacing w:after="0" w:line="159" w:lineRule="exact"/>
              <w:rPr>
                <w:sz w:val="20"/>
                <w:szCs w:val="20"/>
                <w:color w:val="auto"/>
              </w:rPr>
            </w:pPr>
            <w:r>
              <w:rPr>
                <w:rFonts w:ascii="Arial" w:cs="Arial" w:eastAsia="Arial" w:hAnsi="Arial"/>
                <w:sz w:val="16"/>
                <w:szCs w:val="16"/>
                <w:b w:val="1"/>
                <w:bCs w:val="1"/>
                <w:color w:val="auto"/>
              </w:rPr>
              <w:t>Balance at the beginning of the</w:t>
            </w: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7"/>
        </w:trPr>
        <w:tc>
          <w:tcPr>
            <w:tcW w:w="2640" w:type="dxa"/>
            <w:vAlign w:val="bottom"/>
          </w:tcPr>
          <w:p>
            <w:pPr>
              <w:spacing w:after="0" w:line="177" w:lineRule="exact"/>
              <w:rPr>
                <w:sz w:val="20"/>
                <w:szCs w:val="20"/>
                <w:color w:val="auto"/>
              </w:rPr>
            </w:pPr>
            <w:r>
              <w:rPr>
                <w:rFonts w:ascii="Arial" w:cs="Arial" w:eastAsia="Arial" w:hAnsi="Arial"/>
                <w:sz w:val="16"/>
                <w:szCs w:val="16"/>
                <w:b w:val="1"/>
                <w:bCs w:val="1"/>
                <w:color w:val="auto"/>
              </w:rPr>
              <w:t>period</w:t>
            </w:r>
          </w:p>
        </w:tc>
        <w:tc>
          <w:tcPr>
            <w:tcW w:w="1560" w:type="dxa"/>
            <w:vAlign w:val="bottom"/>
          </w:tcPr>
          <w:p>
            <w:pPr>
              <w:jc w:val="right"/>
              <w:ind w:right="322"/>
              <w:spacing w:after="0" w:line="177" w:lineRule="exact"/>
              <w:rPr>
                <w:sz w:val="20"/>
                <w:szCs w:val="20"/>
                <w:color w:val="auto"/>
              </w:rPr>
            </w:pPr>
            <w:r>
              <w:rPr>
                <w:rFonts w:ascii="Arial" w:cs="Arial" w:eastAsia="Arial" w:hAnsi="Arial"/>
                <w:sz w:val="16"/>
                <w:szCs w:val="16"/>
                <w:color w:val="auto"/>
              </w:rPr>
              <w:t>8,379,672</w:t>
            </w:r>
          </w:p>
        </w:tc>
        <w:tc>
          <w:tcPr>
            <w:tcW w:w="1120" w:type="dxa"/>
            <w:vAlign w:val="bottom"/>
          </w:tcPr>
          <w:p>
            <w:pPr>
              <w:jc w:val="right"/>
              <w:ind w:right="62"/>
              <w:spacing w:after="0" w:line="177" w:lineRule="exact"/>
              <w:rPr>
                <w:sz w:val="20"/>
                <w:szCs w:val="20"/>
                <w:color w:val="auto"/>
              </w:rPr>
            </w:pPr>
            <w:r>
              <w:rPr>
                <w:rFonts w:ascii="Arial" w:cs="Arial" w:eastAsia="Arial" w:hAnsi="Arial"/>
                <w:sz w:val="16"/>
                <w:szCs w:val="16"/>
                <w:color w:val="auto"/>
              </w:rPr>
              <w:t>207,695</w:t>
            </w:r>
          </w:p>
        </w:tc>
        <w:tc>
          <w:tcPr>
            <w:tcW w:w="1180" w:type="dxa"/>
            <w:vAlign w:val="bottom"/>
          </w:tcPr>
          <w:p>
            <w:pPr>
              <w:jc w:val="right"/>
              <w:ind w:right="182"/>
              <w:spacing w:after="0" w:line="177" w:lineRule="exact"/>
              <w:rPr>
                <w:sz w:val="20"/>
                <w:szCs w:val="20"/>
                <w:color w:val="auto"/>
              </w:rPr>
            </w:pPr>
            <w:r>
              <w:rPr>
                <w:rFonts w:ascii="Arial" w:cs="Arial" w:eastAsia="Arial" w:hAnsi="Arial"/>
                <w:sz w:val="16"/>
                <w:szCs w:val="16"/>
                <w:color w:val="auto"/>
              </w:rPr>
              <w:t>1,212,856</w:t>
            </w:r>
          </w:p>
        </w:tc>
        <w:tc>
          <w:tcPr>
            <w:tcW w:w="1460" w:type="dxa"/>
            <w:vAlign w:val="bottom"/>
          </w:tcPr>
          <w:p>
            <w:pPr>
              <w:jc w:val="right"/>
              <w:ind w:right="342"/>
              <w:spacing w:after="0" w:line="177" w:lineRule="exact"/>
              <w:rPr>
                <w:sz w:val="20"/>
                <w:szCs w:val="20"/>
                <w:color w:val="auto"/>
              </w:rPr>
            </w:pPr>
            <w:r>
              <w:rPr>
                <w:rFonts w:ascii="Arial" w:cs="Arial" w:eastAsia="Arial" w:hAnsi="Arial"/>
                <w:sz w:val="16"/>
                <w:szCs w:val="16"/>
                <w:color w:val="auto"/>
              </w:rPr>
              <w:t>2,497,439</w:t>
            </w:r>
          </w:p>
        </w:tc>
        <w:tc>
          <w:tcPr>
            <w:tcW w:w="980" w:type="dxa"/>
            <w:vAlign w:val="bottom"/>
          </w:tcPr>
          <w:p>
            <w:pPr>
              <w:jc w:val="right"/>
              <w:ind w:right="2"/>
              <w:spacing w:after="0" w:line="177" w:lineRule="exact"/>
              <w:rPr>
                <w:sz w:val="20"/>
                <w:szCs w:val="20"/>
                <w:color w:val="auto"/>
              </w:rPr>
            </w:pPr>
            <w:r>
              <w:rPr>
                <w:rFonts w:ascii="Arial" w:cs="Arial" w:eastAsia="Arial" w:hAnsi="Arial"/>
                <w:sz w:val="16"/>
                <w:szCs w:val="16"/>
                <w:color w:val="auto"/>
              </w:rPr>
              <w:t>20,471</w:t>
            </w: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12,318,133</w:t>
            </w: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Insurance income</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(3,779,710)</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316</w:t>
            </w:r>
          </w:p>
        </w:tc>
        <w:tc>
          <w:tcPr>
            <w:tcW w:w="118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(3,779,394)</w:t>
            </w: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Claims incurred and other insurance</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service expenses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8,172</w:t>
            </w:r>
          </w:p>
        </w:tc>
        <w:tc>
          <w:tcPr>
            <w:tcW w:w="118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722,763</w:t>
            </w:r>
          </w:p>
        </w:tc>
        <w:tc>
          <w:tcPr>
            <w:tcW w:w="146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1,535,912</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2,266,847</w:t>
            </w: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Adjustments relating to the past to</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liabilities for incurred claims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(4,365)</w:t>
            </w:r>
          </w:p>
        </w:tc>
        <w:tc>
          <w:tcPr>
            <w:tcW w:w="118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(550,740)</w:t>
            </w:r>
          </w:p>
        </w:tc>
        <w:tc>
          <w:tcPr>
            <w:tcW w:w="146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348,829</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2,277</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(203,999)</w:t>
            </w: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Losses and recoveries for losses in</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onerous contracts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15,801</w:t>
            </w:r>
          </w:p>
        </w:tc>
        <w:tc>
          <w:tcPr>
            <w:tcW w:w="118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15,801</w:t>
            </w: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Amortization of insurance acquisition</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2640" w:type="dxa"/>
            <w:vAlign w:val="bottom"/>
          </w:tcPr>
          <w:p>
            <w:pPr>
              <w:spacing w:after="0"/>
              <w:rPr>
                <w:sz w:val="20"/>
                <w:szCs w:val="20"/>
                <w:color w:val="auto"/>
              </w:rPr>
            </w:pPr>
            <w:r>
              <w:rPr>
                <w:rFonts w:ascii="Arial" w:cs="Arial" w:eastAsia="Arial" w:hAnsi="Arial"/>
                <w:sz w:val="16"/>
                <w:szCs w:val="16"/>
                <w:color w:val="auto"/>
              </w:rPr>
              <w:t>cash flows</w:t>
            </w:r>
          </w:p>
        </w:tc>
        <w:tc>
          <w:tcPr>
            <w:tcW w:w="15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7,128</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7,128</w:t>
            </w:r>
          </w:p>
        </w:tc>
        <w:tc>
          <w:tcPr>
            <w:tcW w:w="80" w:type="dxa"/>
            <w:vAlign w:val="bottom"/>
            <w:tcBorders>
              <w:bottom w:val="single" w:sz="8" w:color="auto"/>
            </w:tcBorders>
          </w:tcPr>
          <w:p>
            <w:pPr>
              <w:spacing w:after="0"/>
              <w:rPr>
                <w:sz w:val="16"/>
                <w:szCs w:val="16"/>
                <w:color w:val="auto"/>
              </w:rPr>
            </w:pPr>
          </w:p>
        </w:tc>
      </w:tr>
      <w:tr>
        <w:trPr>
          <w:trHeight w:val="167"/>
        </w:trPr>
        <w:tc>
          <w:tcPr>
            <w:tcW w:w="2640" w:type="dxa"/>
            <w:vAlign w:val="bottom"/>
          </w:tcPr>
          <w:p>
            <w:pPr>
              <w:spacing w:after="0" w:line="167" w:lineRule="exact"/>
              <w:rPr>
                <w:sz w:val="20"/>
                <w:szCs w:val="20"/>
                <w:color w:val="auto"/>
              </w:rPr>
            </w:pPr>
            <w:r>
              <w:rPr>
                <w:rFonts w:ascii="Arial" w:cs="Arial" w:eastAsia="Arial" w:hAnsi="Arial"/>
                <w:sz w:val="16"/>
                <w:szCs w:val="16"/>
                <w:color w:val="auto"/>
              </w:rPr>
              <w:t>Insurance service expenses</w:t>
            </w:r>
          </w:p>
        </w:tc>
        <w:tc>
          <w:tcPr>
            <w:tcW w:w="1560" w:type="dxa"/>
            <w:vAlign w:val="bottom"/>
            <w:tcBorders>
              <w:bottom w:val="single" w:sz="8" w:color="auto"/>
            </w:tcBorders>
          </w:tcPr>
          <w:p>
            <w:pPr>
              <w:jc w:val="right"/>
              <w:ind w:right="322"/>
              <w:spacing w:after="0" w:line="167" w:lineRule="exact"/>
              <w:rPr>
                <w:sz w:val="20"/>
                <w:szCs w:val="20"/>
                <w:color w:val="auto"/>
              </w:rPr>
            </w:pPr>
            <w:r>
              <w:rPr>
                <w:rFonts w:ascii="Arial" w:cs="Arial" w:eastAsia="Arial" w:hAnsi="Arial"/>
                <w:sz w:val="16"/>
                <w:szCs w:val="16"/>
                <w:color w:val="auto"/>
              </w:rPr>
              <w:t>7,128</w:t>
            </w:r>
          </w:p>
        </w:tc>
        <w:tc>
          <w:tcPr>
            <w:tcW w:w="1120" w:type="dxa"/>
            <w:vAlign w:val="bottom"/>
            <w:tcBorders>
              <w:bottom w:val="single" w:sz="8" w:color="auto"/>
            </w:tcBorders>
          </w:tcPr>
          <w:p>
            <w:pPr>
              <w:jc w:val="right"/>
              <w:ind w:right="62"/>
              <w:spacing w:after="0" w:line="167" w:lineRule="exact"/>
              <w:rPr>
                <w:sz w:val="20"/>
                <w:szCs w:val="20"/>
                <w:color w:val="auto"/>
              </w:rPr>
            </w:pPr>
            <w:r>
              <w:rPr>
                <w:rFonts w:ascii="Arial" w:cs="Arial" w:eastAsia="Arial" w:hAnsi="Arial"/>
                <w:sz w:val="16"/>
                <w:szCs w:val="16"/>
                <w:color w:val="auto"/>
              </w:rPr>
              <w:t>19,608</w:t>
            </w:r>
          </w:p>
        </w:tc>
        <w:tc>
          <w:tcPr>
            <w:tcW w:w="1180" w:type="dxa"/>
            <w:vAlign w:val="bottom"/>
            <w:tcBorders>
              <w:bottom w:val="single" w:sz="8" w:color="auto"/>
            </w:tcBorders>
          </w:tcPr>
          <w:p>
            <w:pPr>
              <w:jc w:val="right"/>
              <w:ind w:right="182"/>
              <w:spacing w:after="0" w:line="167" w:lineRule="exact"/>
              <w:rPr>
                <w:sz w:val="20"/>
                <w:szCs w:val="20"/>
                <w:color w:val="auto"/>
              </w:rPr>
            </w:pPr>
            <w:r>
              <w:rPr>
                <w:rFonts w:ascii="Arial" w:cs="Arial" w:eastAsia="Arial" w:hAnsi="Arial"/>
                <w:sz w:val="16"/>
                <w:szCs w:val="16"/>
                <w:color w:val="auto"/>
              </w:rPr>
              <w:t>172,023</w:t>
            </w:r>
          </w:p>
        </w:tc>
        <w:tc>
          <w:tcPr>
            <w:tcW w:w="1460" w:type="dxa"/>
            <w:vAlign w:val="bottom"/>
            <w:tcBorders>
              <w:bottom w:val="single" w:sz="8" w:color="auto"/>
            </w:tcBorders>
          </w:tcPr>
          <w:p>
            <w:pPr>
              <w:jc w:val="right"/>
              <w:ind w:right="342"/>
              <w:spacing w:after="0" w:line="167" w:lineRule="exact"/>
              <w:rPr>
                <w:sz w:val="20"/>
                <w:szCs w:val="20"/>
                <w:color w:val="auto"/>
              </w:rPr>
            </w:pPr>
            <w:r>
              <w:rPr>
                <w:rFonts w:ascii="Arial" w:cs="Arial" w:eastAsia="Arial" w:hAnsi="Arial"/>
                <w:sz w:val="16"/>
                <w:szCs w:val="16"/>
                <w:color w:val="auto"/>
              </w:rPr>
              <w:t>1,884,741</w:t>
            </w:r>
          </w:p>
        </w:tc>
        <w:tc>
          <w:tcPr>
            <w:tcW w:w="980" w:type="dxa"/>
            <w:vAlign w:val="bottom"/>
            <w:tcBorders>
              <w:bottom w:val="single" w:sz="8" w:color="auto"/>
            </w:tcBorders>
          </w:tcPr>
          <w:p>
            <w:pPr>
              <w:jc w:val="right"/>
              <w:ind w:right="2"/>
              <w:spacing w:after="0" w:line="167" w:lineRule="exact"/>
              <w:rPr>
                <w:sz w:val="20"/>
                <w:szCs w:val="20"/>
                <w:color w:val="auto"/>
              </w:rPr>
            </w:pPr>
            <w:r>
              <w:rPr>
                <w:rFonts w:ascii="Arial" w:cs="Arial" w:eastAsia="Arial" w:hAnsi="Arial"/>
                <w:sz w:val="16"/>
                <w:szCs w:val="16"/>
                <w:color w:val="auto"/>
              </w:rPr>
              <w:t>2,277</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2,085,777</w:t>
            </w:r>
          </w:p>
        </w:tc>
        <w:tc>
          <w:tcPr>
            <w:tcW w:w="80" w:type="dxa"/>
            <w:vAlign w:val="bottom"/>
          </w:tcPr>
          <w:p>
            <w:pPr>
              <w:spacing w:after="0"/>
              <w:rPr>
                <w:sz w:val="14"/>
                <w:szCs w:val="14"/>
                <w:color w:val="auto"/>
              </w:rPr>
            </w:pPr>
          </w:p>
        </w:tc>
      </w:tr>
      <w:tr>
        <w:trPr>
          <w:trHeight w:val="152"/>
        </w:trPr>
        <w:tc>
          <w:tcPr>
            <w:tcW w:w="2640" w:type="dxa"/>
            <w:vAlign w:val="bottom"/>
          </w:tcPr>
          <w:p>
            <w:pPr>
              <w:spacing w:after="0" w:line="152" w:lineRule="exact"/>
              <w:rPr>
                <w:sz w:val="20"/>
                <w:szCs w:val="20"/>
                <w:color w:val="auto"/>
              </w:rPr>
            </w:pPr>
            <w:r>
              <w:rPr>
                <w:rFonts w:ascii="Arial" w:cs="Arial" w:eastAsia="Arial" w:hAnsi="Arial"/>
                <w:sz w:val="16"/>
                <w:szCs w:val="16"/>
                <w:b w:val="1"/>
                <w:bCs w:val="1"/>
                <w:color w:val="auto"/>
              </w:rPr>
              <w:t>Result of the insurance service</w:t>
            </w:r>
          </w:p>
        </w:tc>
        <w:tc>
          <w:tcPr>
            <w:tcW w:w="1560" w:type="dxa"/>
            <w:vAlign w:val="bottom"/>
          </w:tcPr>
          <w:p>
            <w:pPr>
              <w:jc w:val="right"/>
              <w:ind w:right="322"/>
              <w:spacing w:after="0" w:line="152" w:lineRule="exact"/>
              <w:rPr>
                <w:sz w:val="20"/>
                <w:szCs w:val="20"/>
                <w:color w:val="auto"/>
              </w:rPr>
            </w:pPr>
            <w:r>
              <w:rPr>
                <w:rFonts w:ascii="Arial" w:cs="Arial" w:eastAsia="Arial" w:hAnsi="Arial"/>
                <w:sz w:val="16"/>
                <w:szCs w:val="16"/>
                <w:color w:val="auto"/>
              </w:rPr>
              <w:t>(3,772,582)</w:t>
            </w:r>
          </w:p>
        </w:tc>
        <w:tc>
          <w:tcPr>
            <w:tcW w:w="1120" w:type="dxa"/>
            <w:vAlign w:val="bottom"/>
          </w:tcPr>
          <w:p>
            <w:pPr>
              <w:jc w:val="right"/>
              <w:ind w:right="62"/>
              <w:spacing w:after="0" w:line="152" w:lineRule="exact"/>
              <w:rPr>
                <w:sz w:val="20"/>
                <w:szCs w:val="20"/>
                <w:color w:val="auto"/>
              </w:rPr>
            </w:pPr>
            <w:r>
              <w:rPr>
                <w:rFonts w:ascii="Arial" w:cs="Arial" w:eastAsia="Arial" w:hAnsi="Arial"/>
                <w:sz w:val="16"/>
                <w:szCs w:val="16"/>
                <w:color w:val="auto"/>
              </w:rPr>
              <w:t>19,924</w:t>
            </w:r>
          </w:p>
        </w:tc>
        <w:tc>
          <w:tcPr>
            <w:tcW w:w="1180" w:type="dxa"/>
            <w:vAlign w:val="bottom"/>
          </w:tcPr>
          <w:p>
            <w:pPr>
              <w:jc w:val="right"/>
              <w:ind w:right="182"/>
              <w:spacing w:after="0" w:line="152" w:lineRule="exact"/>
              <w:rPr>
                <w:sz w:val="20"/>
                <w:szCs w:val="20"/>
                <w:color w:val="auto"/>
              </w:rPr>
            </w:pPr>
            <w:r>
              <w:rPr>
                <w:rFonts w:ascii="Arial" w:cs="Arial" w:eastAsia="Arial" w:hAnsi="Arial"/>
                <w:sz w:val="16"/>
                <w:szCs w:val="16"/>
                <w:color w:val="auto"/>
              </w:rPr>
              <w:t>172,023</w:t>
            </w:r>
          </w:p>
        </w:tc>
        <w:tc>
          <w:tcPr>
            <w:tcW w:w="1460" w:type="dxa"/>
            <w:vAlign w:val="bottom"/>
          </w:tcPr>
          <w:p>
            <w:pPr>
              <w:jc w:val="right"/>
              <w:ind w:right="342"/>
              <w:spacing w:after="0" w:line="152" w:lineRule="exact"/>
              <w:rPr>
                <w:sz w:val="20"/>
                <w:szCs w:val="20"/>
                <w:color w:val="auto"/>
              </w:rPr>
            </w:pPr>
            <w:r>
              <w:rPr>
                <w:rFonts w:ascii="Arial" w:cs="Arial" w:eastAsia="Arial" w:hAnsi="Arial"/>
                <w:sz w:val="16"/>
                <w:szCs w:val="16"/>
                <w:color w:val="auto"/>
              </w:rPr>
              <w:t>1,884,741</w:t>
            </w:r>
          </w:p>
        </w:tc>
        <w:tc>
          <w:tcPr>
            <w:tcW w:w="980" w:type="dxa"/>
            <w:vAlign w:val="bottom"/>
          </w:tcPr>
          <w:p>
            <w:pPr>
              <w:jc w:val="right"/>
              <w:ind w:right="2"/>
              <w:spacing w:after="0" w:line="152" w:lineRule="exact"/>
              <w:rPr>
                <w:sz w:val="20"/>
                <w:szCs w:val="20"/>
                <w:color w:val="auto"/>
              </w:rPr>
            </w:pPr>
            <w:r>
              <w:rPr>
                <w:rFonts w:ascii="Arial" w:cs="Arial" w:eastAsia="Arial" w:hAnsi="Arial"/>
                <w:sz w:val="16"/>
                <w:szCs w:val="16"/>
                <w:color w:val="auto"/>
              </w:rPr>
              <w:t>2,277</w:t>
            </w:r>
          </w:p>
        </w:tc>
        <w:tc>
          <w:tcPr>
            <w:tcW w:w="860" w:type="dxa"/>
            <w:vAlign w:val="bottom"/>
          </w:tcPr>
          <w:p>
            <w:pPr>
              <w:jc w:val="right"/>
              <w:spacing w:after="0" w:line="152" w:lineRule="exact"/>
              <w:rPr>
                <w:sz w:val="20"/>
                <w:szCs w:val="20"/>
                <w:color w:val="auto"/>
              </w:rPr>
            </w:pPr>
            <w:r>
              <w:rPr>
                <w:rFonts w:ascii="Arial" w:cs="Arial" w:eastAsia="Arial" w:hAnsi="Arial"/>
                <w:sz w:val="16"/>
                <w:szCs w:val="16"/>
                <w:color w:val="auto"/>
              </w:rPr>
              <w:t>(1,693,617)</w:t>
            </w:r>
          </w:p>
        </w:tc>
        <w:tc>
          <w:tcPr>
            <w:tcW w:w="80" w:type="dxa"/>
            <w:vAlign w:val="bottom"/>
          </w:tcPr>
          <w:p>
            <w:pPr>
              <w:spacing w:after="0"/>
              <w:rPr>
                <w:sz w:val="13"/>
                <w:szCs w:val="13"/>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Net financial expenses for insurance</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2640" w:type="dxa"/>
            <w:vAlign w:val="bottom"/>
          </w:tcPr>
          <w:p>
            <w:pPr>
              <w:spacing w:after="0" w:line="173" w:lineRule="exact"/>
              <w:rPr>
                <w:sz w:val="20"/>
                <w:szCs w:val="20"/>
                <w:color w:val="auto"/>
              </w:rPr>
            </w:pPr>
            <w:r>
              <w:rPr>
                <w:rFonts w:ascii="Arial" w:cs="Arial" w:eastAsia="Arial" w:hAnsi="Arial"/>
                <w:sz w:val="16"/>
                <w:szCs w:val="16"/>
                <w:color w:val="auto"/>
              </w:rPr>
              <w:t>contracts</w:t>
            </w:r>
          </w:p>
        </w:tc>
        <w:tc>
          <w:tcPr>
            <w:tcW w:w="1560" w:type="dxa"/>
            <w:vAlign w:val="bottom"/>
            <w:tcBorders>
              <w:bottom w:val="single" w:sz="8" w:color="auto"/>
            </w:tcBorders>
          </w:tcPr>
          <w:p>
            <w:pPr>
              <w:jc w:val="right"/>
              <w:ind w:right="322"/>
              <w:spacing w:after="0" w:line="173" w:lineRule="exact"/>
              <w:rPr>
                <w:sz w:val="20"/>
                <w:szCs w:val="20"/>
                <w:color w:val="auto"/>
              </w:rPr>
            </w:pPr>
            <w:r>
              <w:rPr>
                <w:rFonts w:ascii="Arial" w:cs="Arial" w:eastAsia="Arial" w:hAnsi="Arial"/>
                <w:sz w:val="16"/>
                <w:szCs w:val="16"/>
                <w:color w:val="auto"/>
              </w:rPr>
              <w:t>553,835</w:t>
            </w:r>
          </w:p>
        </w:tc>
        <w:tc>
          <w:tcPr>
            <w:tcW w:w="1120" w:type="dxa"/>
            <w:vAlign w:val="bottom"/>
            <w:tcBorders>
              <w:bottom w:val="single" w:sz="8" w:color="auto"/>
            </w:tcBorders>
          </w:tcPr>
          <w:p>
            <w:pPr>
              <w:jc w:val="right"/>
              <w:ind w:right="62"/>
              <w:spacing w:after="0" w:line="173" w:lineRule="exact"/>
              <w:rPr>
                <w:sz w:val="20"/>
                <w:szCs w:val="20"/>
                <w:color w:val="auto"/>
              </w:rPr>
            </w:pPr>
            <w:r>
              <w:rPr>
                <w:rFonts w:ascii="Arial" w:cs="Arial" w:eastAsia="Arial" w:hAnsi="Arial"/>
                <w:sz w:val="16"/>
                <w:szCs w:val="16"/>
                <w:color w:val="auto"/>
              </w:rPr>
              <w:t>(5,376)</w:t>
            </w:r>
          </w:p>
        </w:tc>
        <w:tc>
          <w:tcPr>
            <w:tcW w:w="1180" w:type="dxa"/>
            <w:vAlign w:val="bottom"/>
            <w:tcBorders>
              <w:bottom w:val="single" w:sz="8" w:color="auto"/>
            </w:tcBorders>
          </w:tcPr>
          <w:p>
            <w:pPr>
              <w:jc w:val="right"/>
              <w:ind w:right="182"/>
              <w:spacing w:after="0" w:line="173" w:lineRule="exact"/>
              <w:rPr>
                <w:sz w:val="20"/>
                <w:szCs w:val="20"/>
                <w:color w:val="auto"/>
              </w:rPr>
            </w:pPr>
            <w:r>
              <w:rPr>
                <w:rFonts w:ascii="Arial" w:cs="Arial" w:eastAsia="Arial" w:hAnsi="Arial"/>
                <w:sz w:val="16"/>
                <w:szCs w:val="16"/>
                <w:color w:val="auto"/>
              </w:rPr>
              <w:t>64,928</w:t>
            </w:r>
          </w:p>
        </w:tc>
        <w:tc>
          <w:tcPr>
            <w:tcW w:w="1460" w:type="dxa"/>
            <w:vAlign w:val="bottom"/>
            <w:tcBorders>
              <w:bottom w:val="single" w:sz="8" w:color="auto"/>
            </w:tcBorders>
          </w:tcPr>
          <w:p>
            <w:pPr>
              <w:jc w:val="right"/>
              <w:ind w:right="342"/>
              <w:spacing w:after="0" w:line="173" w:lineRule="exact"/>
              <w:rPr>
                <w:sz w:val="20"/>
                <w:szCs w:val="20"/>
                <w:color w:val="auto"/>
              </w:rPr>
            </w:pPr>
            <w:r>
              <w:rPr>
                <w:rFonts w:ascii="Arial" w:cs="Arial" w:eastAsia="Arial" w:hAnsi="Arial"/>
                <w:sz w:val="16"/>
                <w:szCs w:val="16"/>
                <w:color w:val="auto"/>
              </w:rPr>
              <w:t>126,019</w:t>
            </w:r>
          </w:p>
        </w:tc>
        <w:tc>
          <w:tcPr>
            <w:tcW w:w="980" w:type="dxa"/>
            <w:vAlign w:val="bottom"/>
            <w:tcBorders>
              <w:bottom w:val="single" w:sz="8" w:color="auto"/>
            </w:tcBorders>
          </w:tcPr>
          <w:p>
            <w:pPr>
              <w:jc w:val="right"/>
              <w:ind w:right="2"/>
              <w:spacing w:after="0" w:line="173" w:lineRule="exact"/>
              <w:rPr>
                <w:sz w:val="20"/>
                <w:szCs w:val="20"/>
                <w:color w:val="auto"/>
              </w:rPr>
            </w:pPr>
            <w:r>
              <w:rPr>
                <w:rFonts w:ascii="Arial" w:cs="Arial" w:eastAsia="Arial" w:hAnsi="Arial"/>
                <w:sz w:val="16"/>
                <w:szCs w:val="16"/>
                <w:color w:val="auto"/>
              </w:rPr>
              <w:t>1,044</w:t>
            </w: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740,450</w:t>
            </w:r>
          </w:p>
        </w:tc>
        <w:tc>
          <w:tcPr>
            <w:tcW w:w="80" w:type="dxa"/>
            <w:vAlign w:val="bottom"/>
            <w:tcBorders>
              <w:bottom w:val="single" w:sz="8" w:color="auto"/>
            </w:tcBorders>
          </w:tcPr>
          <w:p>
            <w:pPr>
              <w:spacing w:after="0"/>
              <w:rPr>
                <w:sz w:val="15"/>
                <w:szCs w:val="15"/>
                <w:color w:val="auto"/>
              </w:rPr>
            </w:pPr>
          </w:p>
        </w:tc>
      </w:tr>
      <w:tr>
        <w:trPr>
          <w:trHeight w:val="147"/>
        </w:trPr>
        <w:tc>
          <w:tcPr>
            <w:tcW w:w="2640" w:type="dxa"/>
            <w:vAlign w:val="bottom"/>
          </w:tcPr>
          <w:p>
            <w:pPr>
              <w:spacing w:after="0" w:line="147" w:lineRule="exact"/>
              <w:rPr>
                <w:sz w:val="20"/>
                <w:szCs w:val="20"/>
                <w:color w:val="auto"/>
              </w:rPr>
            </w:pPr>
            <w:r>
              <w:rPr>
                <w:rFonts w:ascii="Arial" w:cs="Arial" w:eastAsia="Arial" w:hAnsi="Arial"/>
                <w:sz w:val="16"/>
                <w:szCs w:val="16"/>
                <w:b w:val="1"/>
                <w:bCs w:val="1"/>
                <w:color w:val="auto"/>
              </w:rPr>
              <w:t>Total changes in the consolidated</w:t>
            </w: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7"/>
        </w:trPr>
        <w:tc>
          <w:tcPr>
            <w:tcW w:w="2640" w:type="dxa"/>
            <w:vAlign w:val="bottom"/>
          </w:tcPr>
          <w:p>
            <w:pPr>
              <w:spacing w:after="0" w:line="177" w:lineRule="exact"/>
              <w:rPr>
                <w:sz w:val="20"/>
                <w:szCs w:val="20"/>
                <w:color w:val="auto"/>
              </w:rPr>
            </w:pPr>
            <w:r>
              <w:rPr>
                <w:rFonts w:ascii="Arial" w:cs="Arial" w:eastAsia="Arial" w:hAnsi="Arial"/>
                <w:sz w:val="16"/>
                <w:szCs w:val="16"/>
                <w:b w:val="1"/>
                <w:bCs w:val="1"/>
                <w:color w:val="auto"/>
              </w:rPr>
              <w:t>income statement</w:t>
            </w:r>
          </w:p>
        </w:tc>
        <w:tc>
          <w:tcPr>
            <w:tcW w:w="1560" w:type="dxa"/>
            <w:vAlign w:val="bottom"/>
          </w:tcPr>
          <w:p>
            <w:pPr>
              <w:jc w:val="right"/>
              <w:ind w:right="322"/>
              <w:spacing w:after="0" w:line="177" w:lineRule="exact"/>
              <w:rPr>
                <w:sz w:val="20"/>
                <w:szCs w:val="20"/>
                <w:color w:val="auto"/>
              </w:rPr>
            </w:pPr>
            <w:r>
              <w:rPr>
                <w:rFonts w:ascii="Arial" w:cs="Arial" w:eastAsia="Arial" w:hAnsi="Arial"/>
                <w:sz w:val="16"/>
                <w:szCs w:val="16"/>
                <w:color w:val="auto"/>
              </w:rPr>
              <w:t>(3,218,747)</w:t>
            </w:r>
          </w:p>
        </w:tc>
        <w:tc>
          <w:tcPr>
            <w:tcW w:w="1120" w:type="dxa"/>
            <w:vAlign w:val="bottom"/>
          </w:tcPr>
          <w:p>
            <w:pPr>
              <w:jc w:val="right"/>
              <w:ind w:right="62"/>
              <w:spacing w:after="0" w:line="177" w:lineRule="exact"/>
              <w:rPr>
                <w:sz w:val="20"/>
                <w:szCs w:val="20"/>
                <w:color w:val="auto"/>
              </w:rPr>
            </w:pPr>
            <w:r>
              <w:rPr>
                <w:rFonts w:ascii="Arial" w:cs="Arial" w:eastAsia="Arial" w:hAnsi="Arial"/>
                <w:sz w:val="16"/>
                <w:szCs w:val="16"/>
                <w:color w:val="auto"/>
              </w:rPr>
              <w:t>14,548</w:t>
            </w:r>
          </w:p>
        </w:tc>
        <w:tc>
          <w:tcPr>
            <w:tcW w:w="1180" w:type="dxa"/>
            <w:vAlign w:val="bottom"/>
          </w:tcPr>
          <w:p>
            <w:pPr>
              <w:jc w:val="right"/>
              <w:ind w:right="182"/>
              <w:spacing w:after="0" w:line="177" w:lineRule="exact"/>
              <w:rPr>
                <w:sz w:val="20"/>
                <w:szCs w:val="20"/>
                <w:color w:val="auto"/>
              </w:rPr>
            </w:pPr>
            <w:r>
              <w:rPr>
                <w:rFonts w:ascii="Arial" w:cs="Arial" w:eastAsia="Arial" w:hAnsi="Arial"/>
                <w:sz w:val="16"/>
                <w:szCs w:val="16"/>
                <w:color w:val="auto"/>
              </w:rPr>
              <w:t>236,951</w:t>
            </w:r>
          </w:p>
        </w:tc>
        <w:tc>
          <w:tcPr>
            <w:tcW w:w="1460" w:type="dxa"/>
            <w:vAlign w:val="bottom"/>
          </w:tcPr>
          <w:p>
            <w:pPr>
              <w:jc w:val="right"/>
              <w:ind w:right="342"/>
              <w:spacing w:after="0" w:line="177" w:lineRule="exact"/>
              <w:rPr>
                <w:sz w:val="20"/>
                <w:szCs w:val="20"/>
                <w:color w:val="auto"/>
              </w:rPr>
            </w:pPr>
            <w:r>
              <w:rPr>
                <w:rFonts w:ascii="Arial" w:cs="Arial" w:eastAsia="Arial" w:hAnsi="Arial"/>
                <w:sz w:val="16"/>
                <w:szCs w:val="16"/>
                <w:color w:val="auto"/>
              </w:rPr>
              <w:t>2,010,760</w:t>
            </w:r>
          </w:p>
        </w:tc>
        <w:tc>
          <w:tcPr>
            <w:tcW w:w="980" w:type="dxa"/>
            <w:vAlign w:val="bottom"/>
          </w:tcPr>
          <w:p>
            <w:pPr>
              <w:jc w:val="right"/>
              <w:ind w:right="2"/>
              <w:spacing w:after="0" w:line="177" w:lineRule="exact"/>
              <w:rPr>
                <w:sz w:val="20"/>
                <w:szCs w:val="20"/>
                <w:color w:val="auto"/>
              </w:rPr>
            </w:pPr>
            <w:r>
              <w:rPr>
                <w:rFonts w:ascii="Arial" w:cs="Arial" w:eastAsia="Arial" w:hAnsi="Arial"/>
                <w:sz w:val="16"/>
                <w:szCs w:val="16"/>
                <w:color w:val="auto"/>
              </w:rPr>
              <w:t>3,321</w:t>
            </w: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(953,167)</w:t>
            </w: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Investment components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(914,866)</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914,866</w:t>
            </w:r>
          </w:p>
        </w:tc>
        <w:tc>
          <w:tcPr>
            <w:tcW w:w="146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ind w:left="780"/>
              <w:spacing w:after="0" w:line="175" w:lineRule="exact"/>
              <w:rPr>
                <w:sz w:val="20"/>
                <w:szCs w:val="20"/>
                <w:color w:val="auto"/>
              </w:rPr>
            </w:pPr>
            <w:r>
              <w:rPr>
                <w:rFonts w:ascii="Arial" w:cs="Arial" w:eastAsia="Arial" w:hAnsi="Arial"/>
                <w:sz w:val="16"/>
                <w:szCs w:val="16"/>
                <w:color w:val="auto"/>
              </w:rPr>
              <w:t>−</w:t>
            </w: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Other changes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(4,620)</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25,556</w:t>
            </w:r>
          </w:p>
        </w:tc>
        <w:tc>
          <w:tcPr>
            <w:tcW w:w="118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1,171</w:t>
            </w:r>
          </w:p>
        </w:tc>
        <w:tc>
          <w:tcPr>
            <w:tcW w:w="146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9,884</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56</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32,047</w:t>
            </w: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Cash flow:</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Premiums received</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5,180,689</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5,180,689</w:t>
            </w: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Claims and other service expenses</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paid</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82"/>
              <w:spacing w:after="0" w:line="175" w:lineRule="exact"/>
              <w:rPr>
                <w:sz w:val="20"/>
                <w:szCs w:val="20"/>
                <w:color w:val="auto"/>
              </w:rPr>
            </w:pPr>
            <w:r>
              <w:rPr>
                <w:rFonts w:ascii="Arial" w:cs="Arial" w:eastAsia="Arial" w:hAnsi="Arial"/>
                <w:sz w:val="16"/>
                <w:szCs w:val="16"/>
                <w:color w:val="auto"/>
              </w:rPr>
              <w:t>(1,077,214)</w:t>
            </w:r>
          </w:p>
        </w:tc>
        <w:tc>
          <w:tcPr>
            <w:tcW w:w="146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(1,973,141)</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(3,050,355)</w:t>
            </w:r>
          </w:p>
        </w:tc>
        <w:tc>
          <w:tcPr>
            <w:tcW w:w="80" w:type="dxa"/>
            <w:vAlign w:val="bottom"/>
          </w:tcPr>
          <w:p>
            <w:pPr>
              <w:spacing w:after="0"/>
              <w:rPr>
                <w:sz w:val="15"/>
                <w:szCs w:val="15"/>
                <w:color w:val="auto"/>
              </w:rPr>
            </w:pPr>
          </w:p>
        </w:tc>
      </w:tr>
      <w:tr>
        <w:trPr>
          <w:trHeight w:val="190"/>
        </w:trPr>
        <w:tc>
          <w:tcPr>
            <w:tcW w:w="2640" w:type="dxa"/>
            <w:vAlign w:val="bottom"/>
          </w:tcPr>
          <w:p>
            <w:pPr>
              <w:spacing w:after="0"/>
              <w:rPr>
                <w:sz w:val="20"/>
                <w:szCs w:val="20"/>
                <w:color w:val="auto"/>
              </w:rPr>
            </w:pPr>
            <w:r>
              <w:rPr>
                <w:rFonts w:ascii="Arial" w:cs="Arial" w:eastAsia="Arial" w:hAnsi="Arial"/>
                <w:sz w:val="16"/>
                <w:szCs w:val="16"/>
                <w:color w:val="auto"/>
              </w:rPr>
              <w:t>Insurance acquisition cash flows</w:t>
            </w:r>
          </w:p>
        </w:tc>
        <w:tc>
          <w:tcPr>
            <w:tcW w:w="15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(105,062)</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(105,062)</w:t>
            </w:r>
          </w:p>
        </w:tc>
        <w:tc>
          <w:tcPr>
            <w:tcW w:w="80" w:type="dxa"/>
            <w:vAlign w:val="bottom"/>
            <w:tcBorders>
              <w:bottom w:val="single" w:sz="8" w:color="auto"/>
            </w:tcBorders>
          </w:tcPr>
          <w:p>
            <w:pPr>
              <w:spacing w:after="0"/>
              <w:rPr>
                <w:sz w:val="16"/>
                <w:szCs w:val="16"/>
                <w:color w:val="auto"/>
              </w:rPr>
            </w:pPr>
          </w:p>
        </w:tc>
      </w:tr>
      <w:tr>
        <w:trPr>
          <w:trHeight w:val="178"/>
        </w:trPr>
        <w:tc>
          <w:tcPr>
            <w:tcW w:w="2640" w:type="dxa"/>
            <w:vAlign w:val="bottom"/>
          </w:tcPr>
          <w:p>
            <w:pPr>
              <w:spacing w:after="0" w:line="178" w:lineRule="exact"/>
              <w:rPr>
                <w:sz w:val="20"/>
                <w:szCs w:val="20"/>
                <w:color w:val="auto"/>
              </w:rPr>
            </w:pPr>
            <w:r>
              <w:rPr>
                <w:rFonts w:ascii="Arial" w:cs="Arial" w:eastAsia="Arial" w:hAnsi="Arial"/>
                <w:sz w:val="16"/>
                <w:szCs w:val="16"/>
                <w:b w:val="1"/>
                <w:bCs w:val="1"/>
                <w:color w:val="auto"/>
              </w:rPr>
              <w:t>Net cash flow</w:t>
            </w:r>
          </w:p>
        </w:tc>
        <w:tc>
          <w:tcPr>
            <w:tcW w:w="1560" w:type="dxa"/>
            <w:vAlign w:val="bottom"/>
            <w:tcBorders>
              <w:bottom w:val="single" w:sz="8" w:color="auto"/>
            </w:tcBorders>
          </w:tcPr>
          <w:p>
            <w:pPr>
              <w:jc w:val="right"/>
              <w:ind w:right="322"/>
              <w:spacing w:after="0" w:line="178" w:lineRule="exact"/>
              <w:rPr>
                <w:sz w:val="20"/>
                <w:szCs w:val="20"/>
                <w:color w:val="auto"/>
              </w:rPr>
            </w:pPr>
            <w:r>
              <w:rPr>
                <w:rFonts w:ascii="Arial" w:cs="Arial" w:eastAsia="Arial" w:hAnsi="Arial"/>
                <w:sz w:val="16"/>
                <w:szCs w:val="16"/>
                <w:color w:val="auto"/>
              </w:rPr>
              <w:t>5,075,627</w:t>
            </w:r>
          </w:p>
        </w:tc>
        <w:tc>
          <w:tcPr>
            <w:tcW w:w="1120" w:type="dxa"/>
            <w:vAlign w:val="bottom"/>
            <w:tcBorders>
              <w:bottom w:val="single" w:sz="8" w:color="auto"/>
            </w:tcBorders>
          </w:tcPr>
          <w:p>
            <w:pPr>
              <w:jc w:val="right"/>
              <w:ind w:right="62"/>
              <w:spacing w:after="0" w:line="178"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82"/>
              <w:spacing w:after="0" w:line="178" w:lineRule="exact"/>
              <w:rPr>
                <w:sz w:val="20"/>
                <w:szCs w:val="20"/>
                <w:color w:val="auto"/>
              </w:rPr>
            </w:pPr>
            <w:r>
              <w:rPr>
                <w:rFonts w:ascii="Arial" w:cs="Arial" w:eastAsia="Arial" w:hAnsi="Arial"/>
                <w:sz w:val="16"/>
                <w:szCs w:val="16"/>
                <w:color w:val="auto"/>
              </w:rPr>
              <w:t>(1,077,214)</w:t>
            </w:r>
          </w:p>
        </w:tc>
        <w:tc>
          <w:tcPr>
            <w:tcW w:w="146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color w:val="auto"/>
              </w:rPr>
              <w:t>(1,973,141)</w:t>
            </w:r>
          </w:p>
        </w:tc>
        <w:tc>
          <w:tcPr>
            <w:tcW w:w="98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2,025,272</w:t>
            </w:r>
          </w:p>
        </w:tc>
        <w:tc>
          <w:tcPr>
            <w:tcW w:w="80" w:type="dxa"/>
            <w:vAlign w:val="bottom"/>
          </w:tcPr>
          <w:p>
            <w:pPr>
              <w:spacing w:after="0"/>
              <w:rPr>
                <w:sz w:val="15"/>
                <w:szCs w:val="15"/>
                <w:color w:val="auto"/>
              </w:rPr>
            </w:pPr>
          </w:p>
        </w:tc>
      </w:tr>
      <w:tr>
        <w:trPr>
          <w:trHeight w:val="170"/>
        </w:trPr>
        <w:tc>
          <w:tcPr>
            <w:tcW w:w="2640" w:type="dxa"/>
            <w:vAlign w:val="bottom"/>
          </w:tcPr>
          <w:p>
            <w:pPr>
              <w:spacing w:after="0" w:line="167" w:lineRule="exact"/>
              <w:rPr>
                <w:sz w:val="20"/>
                <w:szCs w:val="20"/>
                <w:color w:val="auto"/>
              </w:rPr>
            </w:pPr>
            <w:r>
              <w:rPr>
                <w:rFonts w:ascii="Arial" w:cs="Arial" w:eastAsia="Arial" w:hAnsi="Arial"/>
                <w:sz w:val="16"/>
                <w:szCs w:val="16"/>
                <w:b w:val="1"/>
                <w:bCs w:val="1"/>
                <w:color w:val="auto"/>
              </w:rPr>
              <w:t>Balances at the end of the period</w:t>
            </w:r>
          </w:p>
        </w:tc>
        <w:tc>
          <w:tcPr>
            <w:tcW w:w="1560" w:type="dxa"/>
            <w:vAlign w:val="bottom"/>
            <w:tcBorders>
              <w:bottom w:val="single" w:sz="8" w:color="auto"/>
            </w:tcBorders>
          </w:tcPr>
          <w:p>
            <w:pPr>
              <w:jc w:val="right"/>
              <w:ind w:right="322"/>
              <w:spacing w:after="0" w:line="167" w:lineRule="exact"/>
              <w:rPr>
                <w:sz w:val="20"/>
                <w:szCs w:val="20"/>
                <w:color w:val="auto"/>
              </w:rPr>
            </w:pPr>
            <w:r>
              <w:rPr>
                <w:rFonts w:ascii="Arial" w:cs="Arial" w:eastAsia="Arial" w:hAnsi="Arial"/>
                <w:sz w:val="16"/>
                <w:szCs w:val="16"/>
                <w:color w:val="auto"/>
              </w:rPr>
              <w:t>9,317,066</w:t>
            </w:r>
          </w:p>
        </w:tc>
        <w:tc>
          <w:tcPr>
            <w:tcW w:w="1120" w:type="dxa"/>
            <w:vAlign w:val="bottom"/>
            <w:tcBorders>
              <w:bottom w:val="single" w:sz="8" w:color="auto"/>
            </w:tcBorders>
          </w:tcPr>
          <w:p>
            <w:pPr>
              <w:jc w:val="right"/>
              <w:ind w:right="62"/>
              <w:spacing w:after="0" w:line="167" w:lineRule="exact"/>
              <w:rPr>
                <w:sz w:val="20"/>
                <w:szCs w:val="20"/>
                <w:color w:val="auto"/>
              </w:rPr>
            </w:pPr>
            <w:r>
              <w:rPr>
                <w:rFonts w:ascii="Arial" w:cs="Arial" w:eastAsia="Arial" w:hAnsi="Arial"/>
                <w:sz w:val="16"/>
                <w:szCs w:val="16"/>
                <w:color w:val="auto"/>
              </w:rPr>
              <w:t>247,799</w:t>
            </w:r>
          </w:p>
        </w:tc>
        <w:tc>
          <w:tcPr>
            <w:tcW w:w="1180" w:type="dxa"/>
            <w:vAlign w:val="bottom"/>
            <w:tcBorders>
              <w:bottom w:val="single" w:sz="8" w:color="auto"/>
            </w:tcBorders>
          </w:tcPr>
          <w:p>
            <w:pPr>
              <w:jc w:val="right"/>
              <w:ind w:right="182"/>
              <w:spacing w:after="0" w:line="167" w:lineRule="exact"/>
              <w:rPr>
                <w:sz w:val="20"/>
                <w:szCs w:val="20"/>
                <w:color w:val="auto"/>
              </w:rPr>
            </w:pPr>
            <w:r>
              <w:rPr>
                <w:rFonts w:ascii="Arial" w:cs="Arial" w:eastAsia="Arial" w:hAnsi="Arial"/>
                <w:sz w:val="16"/>
                <w:szCs w:val="16"/>
                <w:color w:val="auto"/>
              </w:rPr>
              <w:t>1,288,630</w:t>
            </w:r>
          </w:p>
        </w:tc>
        <w:tc>
          <w:tcPr>
            <w:tcW w:w="1460" w:type="dxa"/>
            <w:vAlign w:val="bottom"/>
            <w:tcBorders>
              <w:bottom w:val="single" w:sz="8" w:color="auto"/>
            </w:tcBorders>
          </w:tcPr>
          <w:p>
            <w:pPr>
              <w:jc w:val="right"/>
              <w:ind w:right="342"/>
              <w:spacing w:after="0" w:line="167" w:lineRule="exact"/>
              <w:rPr>
                <w:sz w:val="20"/>
                <w:szCs w:val="20"/>
                <w:color w:val="auto"/>
              </w:rPr>
            </w:pPr>
            <w:r>
              <w:rPr>
                <w:rFonts w:ascii="Arial" w:cs="Arial" w:eastAsia="Arial" w:hAnsi="Arial"/>
                <w:sz w:val="16"/>
                <w:szCs w:val="16"/>
                <w:color w:val="auto"/>
              </w:rPr>
              <w:t>2,544,942</w:t>
            </w:r>
          </w:p>
        </w:tc>
        <w:tc>
          <w:tcPr>
            <w:tcW w:w="980" w:type="dxa"/>
            <w:vAlign w:val="bottom"/>
            <w:tcBorders>
              <w:bottom w:val="single" w:sz="8" w:color="auto"/>
            </w:tcBorders>
          </w:tcPr>
          <w:p>
            <w:pPr>
              <w:jc w:val="right"/>
              <w:ind w:right="2"/>
              <w:spacing w:after="0" w:line="167" w:lineRule="exact"/>
              <w:rPr>
                <w:sz w:val="20"/>
                <w:szCs w:val="20"/>
                <w:color w:val="auto"/>
              </w:rPr>
            </w:pPr>
            <w:r>
              <w:rPr>
                <w:rFonts w:ascii="Arial" w:cs="Arial" w:eastAsia="Arial" w:hAnsi="Arial"/>
                <w:sz w:val="16"/>
                <w:szCs w:val="16"/>
                <w:color w:val="auto"/>
              </w:rPr>
              <w:t>23,848</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13,422,285</w:t>
            </w:r>
          </w:p>
        </w:tc>
        <w:tc>
          <w:tcPr>
            <w:tcW w:w="80" w:type="dxa"/>
            <w:vAlign w:val="bottom"/>
            <w:tcBorders>
              <w:bottom w:val="single" w:sz="8" w:color="auto"/>
            </w:tcBorders>
          </w:tcPr>
          <w:p>
            <w:pPr>
              <w:spacing w:after="0"/>
              <w:rPr>
                <w:sz w:val="14"/>
                <w:szCs w:val="14"/>
                <w:color w:val="auto"/>
              </w:rPr>
            </w:pPr>
          </w:p>
        </w:tc>
      </w:tr>
    </w:tbl>
    <w:p>
      <w:pPr>
        <w:spacing w:after="0" w:line="160" w:lineRule="exact"/>
        <w:rPr>
          <w:sz w:val="20"/>
          <w:szCs w:val="20"/>
          <w:color w:val="auto"/>
        </w:rPr>
      </w:pPr>
    </w:p>
    <w:p>
      <w:pPr>
        <w:ind w:left="326"/>
        <w:spacing w:after="0"/>
        <w:rPr>
          <w:sz w:val="20"/>
          <w:szCs w:val="20"/>
          <w:color w:val="auto"/>
        </w:rPr>
      </w:pPr>
      <w:r>
        <w:rPr>
          <w:rFonts w:ascii="Arial" w:cs="Arial" w:eastAsia="Arial" w:hAnsi="Arial"/>
          <w:sz w:val="16"/>
          <w:szCs w:val="16"/>
          <w:color w:val="auto"/>
        </w:rPr>
        <w:t>(*) Includes accounts receivable of contracts measured under the PAA and debts to intermediaries, marketers and auxiliaries.</w:t>
      </w:r>
    </w:p>
    <w:p>
      <w:pPr>
        <w:spacing w:after="0" w:line="325" w:lineRule="exact"/>
        <w:rPr>
          <w:sz w:val="20"/>
          <w:szCs w:val="20"/>
          <w:color w:val="auto"/>
        </w:rPr>
      </w:pPr>
    </w:p>
    <w:p>
      <w:pPr>
        <w:jc w:val="center"/>
        <w:ind w:right="14"/>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66"/>
          </w:cols>
          <w:pgMar w:left="874" w:top="124" w:right="859" w:bottom="1440" w:gutter="0" w:footer="0" w:header="0"/>
        </w:sectPr>
      </w:pPr>
    </w:p>
    <w:bookmarkStart w:id="76" w:name="page77"/>
    <w:bookmarkEnd w:id="76"/>
    <w:tbl>
      <w:tblPr>
        <w:tblLayout w:type="fixed"/>
        <w:tblInd w:w="2660" w:type="dxa"/>
        <w:tblCellMar>
          <w:top w:w="0" w:type="dxa"/>
          <w:left w:w="0" w:type="dxa"/>
          <w:bottom w:w="0" w:type="dxa"/>
          <w:right w:w="0" w:type="dxa"/>
        </w:tblCellMar>
      </w:tblPr>
      <w:tr>
        <w:trPr>
          <w:trHeight w:val="191"/>
        </w:trPr>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2023</w:t>
            </w:r>
          </w:p>
        </w:tc>
        <w:tc>
          <w:tcPr>
            <w:tcW w:w="1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Liabilities for remaining coverage</w:t>
            </w:r>
          </w:p>
        </w:tc>
        <w:tc>
          <w:tcPr>
            <w:tcW w:w="1080" w:type="dxa"/>
            <w:vAlign w:val="bottom"/>
          </w:tcPr>
          <w:p>
            <w:pPr>
              <w:spacing w:after="0" w:line="155" w:lineRule="exact"/>
              <w:rPr>
                <w:sz w:val="20"/>
                <w:szCs w:val="20"/>
                <w:color w:val="auto"/>
              </w:rPr>
            </w:pPr>
            <w:r>
              <w:rPr>
                <w:rFonts w:ascii="Arial" w:cs="Arial" w:eastAsia="Arial" w:hAnsi="Arial"/>
                <w:sz w:val="16"/>
                <w:szCs w:val="16"/>
                <w:b w:val="1"/>
                <w:bCs w:val="1"/>
                <w:color w:val="auto"/>
              </w:rPr>
              <w:t>Liabilities for</w:t>
            </w:r>
          </w:p>
        </w:tc>
        <w:tc>
          <w:tcPr>
            <w:tcW w:w="256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w w:val="97"/>
              </w:rPr>
              <w:t>Incurred loss liabilities - contracts</w:t>
            </w: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gridSpan w:val="3"/>
            <w:vMerge w:val="continue"/>
          </w:tcPr>
          <w:p>
            <w:pPr>
              <w:spacing w:after="0"/>
              <w:rPr>
                <w:sz w:val="15"/>
                <w:szCs w:val="15"/>
                <w:color w:val="auto"/>
              </w:rPr>
            </w:pPr>
          </w:p>
        </w:tc>
        <w:tc>
          <w:tcPr>
            <w:tcW w:w="1080" w:type="dxa"/>
            <w:vAlign w:val="bottom"/>
          </w:tcPr>
          <w:p>
            <w:pPr>
              <w:spacing w:after="0" w:line="175" w:lineRule="exact"/>
              <w:rPr>
                <w:sz w:val="20"/>
                <w:szCs w:val="20"/>
                <w:color w:val="auto"/>
              </w:rPr>
            </w:pPr>
            <w:r>
              <w:rPr>
                <w:rFonts w:ascii="Arial" w:cs="Arial" w:eastAsia="Arial" w:hAnsi="Arial"/>
                <w:sz w:val="16"/>
                <w:szCs w:val="16"/>
                <w:b w:val="1"/>
                <w:bCs w:val="1"/>
                <w:color w:val="auto"/>
              </w:rPr>
              <w:t>incurred</w:t>
            </w:r>
          </w:p>
        </w:tc>
        <w:tc>
          <w:tcPr>
            <w:tcW w:w="1320" w:type="dxa"/>
            <w:vAlign w:val="bottom"/>
          </w:tcPr>
          <w:p>
            <w:pPr>
              <w:spacing w:after="0" w:line="175" w:lineRule="exact"/>
              <w:rPr>
                <w:sz w:val="20"/>
                <w:szCs w:val="20"/>
                <w:color w:val="auto"/>
              </w:rPr>
            </w:pPr>
            <w:r>
              <w:rPr>
                <w:rFonts w:ascii="Arial" w:cs="Arial" w:eastAsia="Arial" w:hAnsi="Arial"/>
                <w:sz w:val="16"/>
                <w:szCs w:val="16"/>
                <w:b w:val="1"/>
                <w:bCs w:val="1"/>
                <w:color w:val="auto"/>
                <w:w w:val="94"/>
              </w:rPr>
              <w:t>measured by PAA</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80" w:type="dxa"/>
            <w:vAlign w:val="bottom"/>
            <w:vMerge w:val="restart"/>
          </w:tcPr>
          <w:p>
            <w:pPr>
              <w:spacing w:after="0" w:line="170" w:lineRule="exact"/>
              <w:rPr>
                <w:sz w:val="20"/>
                <w:szCs w:val="20"/>
                <w:color w:val="auto"/>
              </w:rPr>
            </w:pPr>
            <w:r>
              <w:rPr>
                <w:rFonts w:ascii="Arial" w:cs="Arial" w:eastAsia="Arial" w:hAnsi="Arial"/>
                <w:sz w:val="16"/>
                <w:szCs w:val="16"/>
                <w:b w:val="1"/>
                <w:bCs w:val="1"/>
                <w:color w:val="auto"/>
              </w:rPr>
              <w:t>losses -</w:t>
            </w:r>
          </w:p>
        </w:tc>
        <w:tc>
          <w:tcPr>
            <w:tcW w:w="1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320" w:type="dxa"/>
            <w:vAlign w:val="bottom"/>
            <w:vMerge w:val="restart"/>
          </w:tcPr>
          <w:p>
            <w:pPr>
              <w:spacing w:after="0"/>
              <w:rPr>
                <w:sz w:val="20"/>
                <w:szCs w:val="20"/>
                <w:color w:val="auto"/>
              </w:rPr>
            </w:pPr>
            <w:r>
              <w:rPr>
                <w:rFonts w:ascii="Arial" w:cs="Arial" w:eastAsia="Arial" w:hAnsi="Arial"/>
                <w:sz w:val="16"/>
                <w:szCs w:val="16"/>
                <w:b w:val="1"/>
                <w:bCs w:val="1"/>
                <w:color w:val="auto"/>
              </w:rPr>
              <w:t>Present Value</w:t>
            </w:r>
          </w:p>
        </w:tc>
        <w:tc>
          <w:tcPr>
            <w:tcW w:w="124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6"/>
        </w:trPr>
        <w:tc>
          <w:tcPr>
            <w:tcW w:w="1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Excluding loss</w:t>
            </w:r>
          </w:p>
        </w:tc>
        <w:tc>
          <w:tcPr>
            <w:tcW w:w="142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6"/>
                <w:szCs w:val="16"/>
                <w:b w:val="1"/>
                <w:bCs w:val="1"/>
                <w:color w:val="auto"/>
              </w:rPr>
              <w:t>contracts not</w:t>
            </w:r>
          </w:p>
        </w:tc>
        <w:tc>
          <w:tcPr>
            <w:tcW w:w="1320" w:type="dxa"/>
            <w:vAlign w:val="bottom"/>
            <w:vMerge w:val="continue"/>
          </w:tcPr>
          <w:p>
            <w:pPr>
              <w:spacing w:after="0"/>
              <w:rPr>
                <w:sz w:val="11"/>
                <w:szCs w:val="11"/>
                <w:color w:val="auto"/>
              </w:rPr>
            </w:pPr>
          </w:p>
        </w:tc>
        <w:tc>
          <w:tcPr>
            <w:tcW w:w="1240" w:type="dxa"/>
            <w:vAlign w:val="bottom"/>
            <w:vMerge w:val="restart"/>
          </w:tcPr>
          <w:p>
            <w:pPr>
              <w:spacing w:after="0"/>
              <w:rPr>
                <w:sz w:val="20"/>
                <w:szCs w:val="20"/>
                <w:color w:val="auto"/>
              </w:rPr>
            </w:pPr>
            <w:r>
              <w:rPr>
                <w:rFonts w:ascii="Arial" w:cs="Arial" w:eastAsia="Arial" w:hAnsi="Arial"/>
                <w:sz w:val="16"/>
                <w:szCs w:val="16"/>
                <w:b w:val="1"/>
                <w:bCs w:val="1"/>
                <w:color w:val="auto"/>
              </w:rPr>
              <w:t>Risk</w:t>
            </w: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20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2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component (*)</w:t>
            </w:r>
          </w:p>
        </w:tc>
        <w:tc>
          <w:tcPr>
            <w:tcW w:w="142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Loss component</w:t>
            </w:r>
          </w:p>
        </w:tc>
        <w:tc>
          <w:tcPr>
            <w:tcW w:w="1080" w:type="dxa"/>
            <w:vAlign w:val="bottom"/>
          </w:tcPr>
          <w:p>
            <w:pPr>
              <w:spacing w:after="0" w:line="175" w:lineRule="exact"/>
              <w:rPr>
                <w:sz w:val="20"/>
                <w:szCs w:val="20"/>
                <w:color w:val="auto"/>
              </w:rPr>
            </w:pPr>
            <w:r>
              <w:rPr>
                <w:rFonts w:ascii="Arial" w:cs="Arial" w:eastAsia="Arial" w:hAnsi="Arial"/>
                <w:sz w:val="16"/>
                <w:szCs w:val="16"/>
                <w:b w:val="1"/>
                <w:bCs w:val="1"/>
                <w:color w:val="auto"/>
              </w:rPr>
              <w:t>measured by</w:t>
            </w:r>
          </w:p>
        </w:tc>
        <w:tc>
          <w:tcPr>
            <w:tcW w:w="1320" w:type="dxa"/>
            <w:vAlign w:val="bottom"/>
          </w:tcPr>
          <w:p>
            <w:pPr>
              <w:spacing w:after="0" w:line="175" w:lineRule="exact"/>
              <w:rPr>
                <w:sz w:val="20"/>
                <w:szCs w:val="20"/>
                <w:color w:val="auto"/>
              </w:rPr>
            </w:pPr>
            <w:r>
              <w:rPr>
                <w:rFonts w:ascii="Arial" w:cs="Arial" w:eastAsia="Arial" w:hAnsi="Arial"/>
                <w:sz w:val="16"/>
                <w:szCs w:val="16"/>
                <w:b w:val="1"/>
                <w:bCs w:val="1"/>
                <w:color w:val="auto"/>
              </w:rPr>
              <w:t>of Fulfillment</w:t>
            </w:r>
          </w:p>
        </w:tc>
        <w:tc>
          <w:tcPr>
            <w:tcW w:w="1240" w:type="dxa"/>
            <w:vAlign w:val="bottom"/>
          </w:tcPr>
          <w:p>
            <w:pPr>
              <w:spacing w:after="0" w:line="175" w:lineRule="exact"/>
              <w:rPr>
                <w:sz w:val="20"/>
                <w:szCs w:val="20"/>
                <w:color w:val="auto"/>
              </w:rPr>
            </w:pPr>
            <w:r>
              <w:rPr>
                <w:rFonts w:ascii="Arial" w:cs="Arial" w:eastAsia="Arial" w:hAnsi="Arial"/>
                <w:sz w:val="16"/>
                <w:szCs w:val="16"/>
                <w:b w:val="1"/>
                <w:bCs w:val="1"/>
                <w:color w:val="auto"/>
              </w:rPr>
              <w:t>adjustment</w:t>
            </w: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PAA</w:t>
            </w:r>
          </w:p>
        </w:tc>
        <w:tc>
          <w:tcPr>
            <w:tcW w:w="132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Cash Flows</w:t>
            </w: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80" w:type="dxa"/>
            <w:vAlign w:val="bottom"/>
          </w:tcPr>
          <w:p>
            <w:pPr>
              <w:spacing w:after="0" w:line="166" w:lineRule="exact"/>
              <w:rPr>
                <w:sz w:val="20"/>
                <w:szCs w:val="20"/>
                <w:color w:val="auto"/>
              </w:rPr>
            </w:pPr>
            <w:r>
              <w:rPr>
                <w:rFonts w:ascii="Arial" w:cs="Arial" w:eastAsia="Arial" w:hAnsi="Arial"/>
                <w:sz w:val="16"/>
                <w:szCs w:val="16"/>
                <w:b w:val="1"/>
                <w:bCs w:val="1"/>
                <w:color w:val="auto"/>
              </w:rPr>
              <w:t>S/(000)</w:t>
            </w:r>
          </w:p>
        </w:tc>
        <w:tc>
          <w:tcPr>
            <w:tcW w:w="1420" w:type="dxa"/>
            <w:vAlign w:val="bottom"/>
          </w:tcPr>
          <w:p>
            <w:pPr>
              <w:ind w:left="80"/>
              <w:spacing w:after="0" w:line="166" w:lineRule="exact"/>
              <w:rPr>
                <w:sz w:val="20"/>
                <w:szCs w:val="20"/>
                <w:color w:val="auto"/>
              </w:rPr>
            </w:pPr>
            <w:r>
              <w:rPr>
                <w:rFonts w:ascii="Arial" w:cs="Arial" w:eastAsia="Arial" w:hAnsi="Arial"/>
                <w:sz w:val="16"/>
                <w:szCs w:val="16"/>
                <w:b w:val="1"/>
                <w:bCs w:val="1"/>
                <w:color w:val="auto"/>
              </w:rPr>
              <w:t>S/(000)</w:t>
            </w:r>
          </w:p>
        </w:tc>
        <w:tc>
          <w:tcPr>
            <w:tcW w:w="1080" w:type="dxa"/>
            <w:vAlign w:val="bottom"/>
          </w:tcPr>
          <w:p>
            <w:pPr>
              <w:spacing w:after="0" w:line="166" w:lineRule="exact"/>
              <w:rPr>
                <w:sz w:val="20"/>
                <w:szCs w:val="20"/>
                <w:color w:val="auto"/>
              </w:rPr>
            </w:pPr>
            <w:r>
              <w:rPr>
                <w:rFonts w:ascii="Arial" w:cs="Arial" w:eastAsia="Arial" w:hAnsi="Arial"/>
                <w:sz w:val="16"/>
                <w:szCs w:val="16"/>
                <w:b w:val="1"/>
                <w:bCs w:val="1"/>
                <w:color w:val="auto"/>
              </w:rPr>
              <w:t>S/(000)</w:t>
            </w:r>
          </w:p>
        </w:tc>
        <w:tc>
          <w:tcPr>
            <w:tcW w:w="1320" w:type="dxa"/>
            <w:vAlign w:val="bottom"/>
          </w:tcPr>
          <w:p>
            <w:pPr>
              <w:spacing w:after="0" w:line="166" w:lineRule="exact"/>
              <w:rPr>
                <w:sz w:val="20"/>
                <w:szCs w:val="20"/>
                <w:color w:val="auto"/>
              </w:rPr>
            </w:pPr>
            <w:r>
              <w:rPr>
                <w:rFonts w:ascii="Arial" w:cs="Arial" w:eastAsia="Arial" w:hAnsi="Arial"/>
                <w:sz w:val="16"/>
                <w:szCs w:val="16"/>
                <w:b w:val="1"/>
                <w:bCs w:val="1"/>
                <w:color w:val="auto"/>
              </w:rPr>
              <w:t>S/(000)</w:t>
            </w:r>
          </w:p>
        </w:tc>
        <w:tc>
          <w:tcPr>
            <w:tcW w:w="1240" w:type="dxa"/>
            <w:vAlign w:val="bottom"/>
          </w:tcPr>
          <w:p>
            <w:pPr>
              <w:spacing w:after="0" w:line="166" w:lineRule="exact"/>
              <w:rPr>
                <w:sz w:val="20"/>
                <w:szCs w:val="20"/>
                <w:color w:val="auto"/>
              </w:rPr>
            </w:pPr>
            <w:r>
              <w:rPr>
                <w:rFonts w:ascii="Arial" w:cs="Arial" w:eastAsia="Arial" w:hAnsi="Arial"/>
                <w:sz w:val="16"/>
                <w:szCs w:val="16"/>
                <w:b w:val="1"/>
                <w:bCs w:val="1"/>
                <w:color w:val="auto"/>
              </w:rPr>
              <w:t>S/(000)</w:t>
            </w:r>
          </w:p>
        </w:tc>
        <w:tc>
          <w:tcPr>
            <w:tcW w:w="960" w:type="dxa"/>
            <w:vAlign w:val="bottom"/>
            <w:gridSpan w:val="2"/>
          </w:tcPr>
          <w:p>
            <w:pPr>
              <w:ind w:left="20"/>
              <w:spacing w:after="0" w:line="166" w:lineRule="exact"/>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60" w:type="dxa"/>
            <w:vAlign w:val="bottom"/>
          </w:tcPr>
          <w:p>
            <w:pPr>
              <w:spacing w:after="0" w:line="159" w:lineRule="exact"/>
              <w:rPr>
                <w:sz w:val="20"/>
                <w:szCs w:val="20"/>
                <w:color w:val="auto"/>
              </w:rPr>
            </w:pPr>
            <w:r>
              <w:rPr>
                <w:rFonts w:ascii="Arial" w:cs="Arial" w:eastAsia="Arial" w:hAnsi="Arial"/>
                <w:sz w:val="16"/>
                <w:szCs w:val="16"/>
                <w:b w:val="1"/>
                <w:bCs w:val="1"/>
                <w:color w:val="auto"/>
              </w:rPr>
              <w:t>Balance at the beginning of the</w:t>
            </w: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7"/>
        </w:trPr>
        <w:tc>
          <w:tcPr>
            <w:tcW w:w="2660" w:type="dxa"/>
            <w:vAlign w:val="bottom"/>
          </w:tcPr>
          <w:p>
            <w:pPr>
              <w:spacing w:after="0" w:line="177" w:lineRule="exact"/>
              <w:rPr>
                <w:sz w:val="20"/>
                <w:szCs w:val="20"/>
                <w:color w:val="auto"/>
              </w:rPr>
            </w:pPr>
            <w:r>
              <w:rPr>
                <w:rFonts w:ascii="Arial" w:cs="Arial" w:eastAsia="Arial" w:hAnsi="Arial"/>
                <w:sz w:val="16"/>
                <w:szCs w:val="16"/>
                <w:b w:val="1"/>
                <w:bCs w:val="1"/>
                <w:color w:val="auto"/>
              </w:rPr>
              <w:t>period</w:t>
            </w:r>
          </w:p>
        </w:tc>
        <w:tc>
          <w:tcPr>
            <w:tcW w:w="1560" w:type="dxa"/>
            <w:vAlign w:val="bottom"/>
          </w:tcPr>
          <w:p>
            <w:pPr>
              <w:jc w:val="right"/>
              <w:ind w:right="322"/>
              <w:spacing w:after="0" w:line="177" w:lineRule="exact"/>
              <w:rPr>
                <w:sz w:val="20"/>
                <w:szCs w:val="20"/>
                <w:color w:val="auto"/>
              </w:rPr>
            </w:pPr>
            <w:r>
              <w:rPr>
                <w:rFonts w:ascii="Arial" w:cs="Arial" w:eastAsia="Arial" w:hAnsi="Arial"/>
                <w:sz w:val="16"/>
                <w:szCs w:val="16"/>
                <w:color w:val="auto"/>
              </w:rPr>
              <w:t>7,628,056</w:t>
            </w:r>
          </w:p>
        </w:tc>
        <w:tc>
          <w:tcPr>
            <w:tcW w:w="1120" w:type="dxa"/>
            <w:vAlign w:val="bottom"/>
          </w:tcPr>
          <w:p>
            <w:pPr>
              <w:jc w:val="right"/>
              <w:ind w:right="62"/>
              <w:spacing w:after="0" w:line="177" w:lineRule="exact"/>
              <w:rPr>
                <w:sz w:val="20"/>
                <w:szCs w:val="20"/>
                <w:color w:val="auto"/>
              </w:rPr>
            </w:pPr>
            <w:r>
              <w:rPr>
                <w:rFonts w:ascii="Arial" w:cs="Arial" w:eastAsia="Arial" w:hAnsi="Arial"/>
                <w:sz w:val="16"/>
                <w:szCs w:val="16"/>
                <w:color w:val="auto"/>
              </w:rPr>
              <w:t>163,555</w:t>
            </w:r>
          </w:p>
        </w:tc>
        <w:tc>
          <w:tcPr>
            <w:tcW w:w="1180" w:type="dxa"/>
            <w:vAlign w:val="bottom"/>
          </w:tcPr>
          <w:p>
            <w:pPr>
              <w:jc w:val="right"/>
              <w:ind w:right="162"/>
              <w:spacing w:after="0" w:line="177" w:lineRule="exact"/>
              <w:rPr>
                <w:sz w:val="20"/>
                <w:szCs w:val="20"/>
                <w:color w:val="auto"/>
              </w:rPr>
            </w:pPr>
            <w:r>
              <w:rPr>
                <w:rFonts w:ascii="Arial" w:cs="Arial" w:eastAsia="Arial" w:hAnsi="Arial"/>
                <w:sz w:val="16"/>
                <w:szCs w:val="16"/>
                <w:color w:val="auto"/>
              </w:rPr>
              <w:t>1,073,412</w:t>
            </w:r>
          </w:p>
        </w:tc>
        <w:tc>
          <w:tcPr>
            <w:tcW w:w="1440" w:type="dxa"/>
            <w:vAlign w:val="bottom"/>
          </w:tcPr>
          <w:p>
            <w:pPr>
              <w:jc w:val="right"/>
              <w:ind w:right="342"/>
              <w:spacing w:after="0" w:line="177" w:lineRule="exact"/>
              <w:rPr>
                <w:sz w:val="20"/>
                <w:szCs w:val="20"/>
                <w:color w:val="auto"/>
              </w:rPr>
            </w:pPr>
            <w:r>
              <w:rPr>
                <w:rFonts w:ascii="Arial" w:cs="Arial" w:eastAsia="Arial" w:hAnsi="Arial"/>
                <w:sz w:val="16"/>
                <w:szCs w:val="16"/>
                <w:color w:val="auto"/>
              </w:rPr>
              <w:t>2,274,827</w:t>
            </w:r>
          </w:p>
        </w:tc>
        <w:tc>
          <w:tcPr>
            <w:tcW w:w="980" w:type="dxa"/>
            <w:vAlign w:val="bottom"/>
          </w:tcPr>
          <w:p>
            <w:pPr>
              <w:jc w:val="right"/>
              <w:ind w:right="2"/>
              <w:spacing w:after="0" w:line="177" w:lineRule="exact"/>
              <w:rPr>
                <w:sz w:val="20"/>
                <w:szCs w:val="20"/>
                <w:color w:val="auto"/>
              </w:rPr>
            </w:pPr>
            <w:r>
              <w:rPr>
                <w:rFonts w:ascii="Arial" w:cs="Arial" w:eastAsia="Arial" w:hAnsi="Arial"/>
                <w:sz w:val="16"/>
                <w:szCs w:val="16"/>
                <w:color w:val="auto"/>
              </w:rPr>
              <w:t>14,158</w:t>
            </w: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11,154,008</w:t>
            </w: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Insurance income</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(3,855,739)</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331</w:t>
            </w:r>
          </w:p>
        </w:tc>
        <w:tc>
          <w:tcPr>
            <w:tcW w:w="118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(3,855,408)</w:t>
            </w: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Claims incurred and other insurance</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service expenses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11,544</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772,038</w:t>
            </w:r>
          </w:p>
        </w:tc>
        <w:tc>
          <w:tcPr>
            <w:tcW w:w="144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2,104,635</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2,888,217</w:t>
            </w: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Adjustments relating to the past to</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liabilities for incurred claims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(592)</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(588,726)</w:t>
            </w:r>
          </w:p>
        </w:tc>
        <w:tc>
          <w:tcPr>
            <w:tcW w:w="144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(71,098)</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4,871</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(655,545)</w:t>
            </w: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Losses and recoveries for losses in</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onerous contracts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(8,812)</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25,993</w:t>
            </w:r>
          </w:p>
        </w:tc>
        <w:tc>
          <w:tcPr>
            <w:tcW w:w="118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17,181</w:t>
            </w: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Amortization of insurance acquisition</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2660" w:type="dxa"/>
            <w:vAlign w:val="bottom"/>
          </w:tcPr>
          <w:p>
            <w:pPr>
              <w:spacing w:after="0"/>
              <w:rPr>
                <w:sz w:val="20"/>
                <w:szCs w:val="20"/>
                <w:color w:val="auto"/>
              </w:rPr>
            </w:pPr>
            <w:r>
              <w:rPr>
                <w:rFonts w:ascii="Arial" w:cs="Arial" w:eastAsia="Arial" w:hAnsi="Arial"/>
                <w:sz w:val="16"/>
                <w:szCs w:val="16"/>
                <w:color w:val="auto"/>
              </w:rPr>
              <w:t>cash flows</w:t>
            </w:r>
          </w:p>
        </w:tc>
        <w:tc>
          <w:tcPr>
            <w:tcW w:w="15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3,134</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3,134</w:t>
            </w:r>
          </w:p>
        </w:tc>
        <w:tc>
          <w:tcPr>
            <w:tcW w:w="80" w:type="dxa"/>
            <w:vAlign w:val="bottom"/>
            <w:tcBorders>
              <w:bottom w:val="single" w:sz="8" w:color="auto"/>
            </w:tcBorders>
          </w:tcPr>
          <w:p>
            <w:pPr>
              <w:spacing w:after="0"/>
              <w:rPr>
                <w:sz w:val="16"/>
                <w:szCs w:val="16"/>
                <w:color w:val="auto"/>
              </w:rPr>
            </w:pPr>
          </w:p>
        </w:tc>
      </w:tr>
      <w:tr>
        <w:trPr>
          <w:trHeight w:val="167"/>
        </w:trPr>
        <w:tc>
          <w:tcPr>
            <w:tcW w:w="2660" w:type="dxa"/>
            <w:vAlign w:val="bottom"/>
          </w:tcPr>
          <w:p>
            <w:pPr>
              <w:spacing w:after="0" w:line="167" w:lineRule="exact"/>
              <w:rPr>
                <w:sz w:val="20"/>
                <w:szCs w:val="20"/>
                <w:color w:val="auto"/>
              </w:rPr>
            </w:pPr>
            <w:r>
              <w:rPr>
                <w:rFonts w:ascii="Arial" w:cs="Arial" w:eastAsia="Arial" w:hAnsi="Arial"/>
                <w:sz w:val="16"/>
                <w:szCs w:val="16"/>
                <w:color w:val="auto"/>
              </w:rPr>
              <w:t>Insurance service expenses</w:t>
            </w:r>
          </w:p>
        </w:tc>
        <w:tc>
          <w:tcPr>
            <w:tcW w:w="1560" w:type="dxa"/>
            <w:vAlign w:val="bottom"/>
            <w:tcBorders>
              <w:bottom w:val="single" w:sz="8" w:color="auto"/>
            </w:tcBorders>
          </w:tcPr>
          <w:p>
            <w:pPr>
              <w:jc w:val="right"/>
              <w:ind w:right="322"/>
              <w:spacing w:after="0" w:line="167" w:lineRule="exact"/>
              <w:rPr>
                <w:sz w:val="20"/>
                <w:szCs w:val="20"/>
                <w:color w:val="auto"/>
              </w:rPr>
            </w:pPr>
            <w:r>
              <w:rPr>
                <w:rFonts w:ascii="Arial" w:cs="Arial" w:eastAsia="Arial" w:hAnsi="Arial"/>
                <w:sz w:val="16"/>
                <w:szCs w:val="16"/>
                <w:color w:val="auto"/>
              </w:rPr>
              <w:t>5,274</w:t>
            </w:r>
          </w:p>
        </w:tc>
        <w:tc>
          <w:tcPr>
            <w:tcW w:w="1120" w:type="dxa"/>
            <w:vAlign w:val="bottom"/>
            <w:tcBorders>
              <w:bottom w:val="single" w:sz="8" w:color="auto"/>
            </w:tcBorders>
          </w:tcPr>
          <w:p>
            <w:pPr>
              <w:jc w:val="right"/>
              <w:ind w:right="62"/>
              <w:spacing w:after="0" w:line="167" w:lineRule="exact"/>
              <w:rPr>
                <w:sz w:val="20"/>
                <w:szCs w:val="20"/>
                <w:color w:val="auto"/>
              </w:rPr>
            </w:pPr>
            <w:r>
              <w:rPr>
                <w:rFonts w:ascii="Arial" w:cs="Arial" w:eastAsia="Arial" w:hAnsi="Arial"/>
                <w:sz w:val="16"/>
                <w:szCs w:val="16"/>
                <w:color w:val="auto"/>
              </w:rPr>
              <w:t>25,993</w:t>
            </w:r>
          </w:p>
        </w:tc>
        <w:tc>
          <w:tcPr>
            <w:tcW w:w="1180" w:type="dxa"/>
            <w:vAlign w:val="bottom"/>
            <w:tcBorders>
              <w:bottom w:val="single" w:sz="8" w:color="auto"/>
            </w:tcBorders>
          </w:tcPr>
          <w:p>
            <w:pPr>
              <w:jc w:val="right"/>
              <w:ind w:right="162"/>
              <w:spacing w:after="0" w:line="167" w:lineRule="exact"/>
              <w:rPr>
                <w:sz w:val="20"/>
                <w:szCs w:val="20"/>
                <w:color w:val="auto"/>
              </w:rPr>
            </w:pPr>
            <w:r>
              <w:rPr>
                <w:rFonts w:ascii="Arial" w:cs="Arial" w:eastAsia="Arial" w:hAnsi="Arial"/>
                <w:sz w:val="16"/>
                <w:szCs w:val="16"/>
                <w:color w:val="auto"/>
              </w:rPr>
              <w:t>183,312</w:t>
            </w:r>
          </w:p>
        </w:tc>
        <w:tc>
          <w:tcPr>
            <w:tcW w:w="1440" w:type="dxa"/>
            <w:vAlign w:val="bottom"/>
            <w:tcBorders>
              <w:bottom w:val="single" w:sz="8" w:color="auto"/>
            </w:tcBorders>
          </w:tcPr>
          <w:p>
            <w:pPr>
              <w:jc w:val="right"/>
              <w:ind w:right="342"/>
              <w:spacing w:after="0" w:line="167" w:lineRule="exact"/>
              <w:rPr>
                <w:sz w:val="20"/>
                <w:szCs w:val="20"/>
                <w:color w:val="auto"/>
              </w:rPr>
            </w:pPr>
            <w:r>
              <w:rPr>
                <w:rFonts w:ascii="Arial" w:cs="Arial" w:eastAsia="Arial" w:hAnsi="Arial"/>
                <w:sz w:val="16"/>
                <w:szCs w:val="16"/>
                <w:color w:val="auto"/>
              </w:rPr>
              <w:t>2,033,537</w:t>
            </w:r>
          </w:p>
        </w:tc>
        <w:tc>
          <w:tcPr>
            <w:tcW w:w="980" w:type="dxa"/>
            <w:vAlign w:val="bottom"/>
            <w:tcBorders>
              <w:bottom w:val="single" w:sz="8" w:color="auto"/>
            </w:tcBorders>
          </w:tcPr>
          <w:p>
            <w:pPr>
              <w:jc w:val="right"/>
              <w:ind w:right="2"/>
              <w:spacing w:after="0" w:line="167" w:lineRule="exact"/>
              <w:rPr>
                <w:sz w:val="20"/>
                <w:szCs w:val="20"/>
                <w:color w:val="auto"/>
              </w:rPr>
            </w:pPr>
            <w:r>
              <w:rPr>
                <w:rFonts w:ascii="Arial" w:cs="Arial" w:eastAsia="Arial" w:hAnsi="Arial"/>
                <w:sz w:val="16"/>
                <w:szCs w:val="16"/>
                <w:color w:val="auto"/>
              </w:rPr>
              <w:t>4,871</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2,252,987</w:t>
            </w:r>
          </w:p>
        </w:tc>
        <w:tc>
          <w:tcPr>
            <w:tcW w:w="80" w:type="dxa"/>
            <w:vAlign w:val="bottom"/>
          </w:tcPr>
          <w:p>
            <w:pPr>
              <w:spacing w:after="0"/>
              <w:rPr>
                <w:sz w:val="14"/>
                <w:szCs w:val="14"/>
                <w:color w:val="auto"/>
              </w:rPr>
            </w:pPr>
          </w:p>
        </w:tc>
      </w:tr>
      <w:tr>
        <w:trPr>
          <w:trHeight w:val="152"/>
        </w:trPr>
        <w:tc>
          <w:tcPr>
            <w:tcW w:w="2660" w:type="dxa"/>
            <w:vAlign w:val="bottom"/>
          </w:tcPr>
          <w:p>
            <w:pPr>
              <w:spacing w:after="0" w:line="152" w:lineRule="exact"/>
              <w:rPr>
                <w:sz w:val="20"/>
                <w:szCs w:val="20"/>
                <w:color w:val="auto"/>
              </w:rPr>
            </w:pPr>
            <w:r>
              <w:rPr>
                <w:rFonts w:ascii="Arial" w:cs="Arial" w:eastAsia="Arial" w:hAnsi="Arial"/>
                <w:sz w:val="16"/>
                <w:szCs w:val="16"/>
                <w:b w:val="1"/>
                <w:bCs w:val="1"/>
                <w:color w:val="auto"/>
              </w:rPr>
              <w:t>Result of the insurance service</w:t>
            </w:r>
          </w:p>
        </w:tc>
        <w:tc>
          <w:tcPr>
            <w:tcW w:w="1560" w:type="dxa"/>
            <w:vAlign w:val="bottom"/>
          </w:tcPr>
          <w:p>
            <w:pPr>
              <w:jc w:val="right"/>
              <w:ind w:right="322"/>
              <w:spacing w:after="0" w:line="152" w:lineRule="exact"/>
              <w:rPr>
                <w:sz w:val="20"/>
                <w:szCs w:val="20"/>
                <w:color w:val="auto"/>
              </w:rPr>
            </w:pPr>
            <w:r>
              <w:rPr>
                <w:rFonts w:ascii="Arial" w:cs="Arial" w:eastAsia="Arial" w:hAnsi="Arial"/>
                <w:sz w:val="16"/>
                <w:szCs w:val="16"/>
                <w:color w:val="auto"/>
              </w:rPr>
              <w:t>(3,850,465)</w:t>
            </w:r>
          </w:p>
        </w:tc>
        <w:tc>
          <w:tcPr>
            <w:tcW w:w="1120" w:type="dxa"/>
            <w:vAlign w:val="bottom"/>
          </w:tcPr>
          <w:p>
            <w:pPr>
              <w:jc w:val="right"/>
              <w:ind w:right="62"/>
              <w:spacing w:after="0" w:line="152" w:lineRule="exact"/>
              <w:rPr>
                <w:sz w:val="20"/>
                <w:szCs w:val="20"/>
                <w:color w:val="auto"/>
              </w:rPr>
            </w:pPr>
            <w:r>
              <w:rPr>
                <w:rFonts w:ascii="Arial" w:cs="Arial" w:eastAsia="Arial" w:hAnsi="Arial"/>
                <w:sz w:val="16"/>
                <w:szCs w:val="16"/>
                <w:color w:val="auto"/>
              </w:rPr>
              <w:t>26,324</w:t>
            </w:r>
          </w:p>
        </w:tc>
        <w:tc>
          <w:tcPr>
            <w:tcW w:w="1180" w:type="dxa"/>
            <w:vAlign w:val="bottom"/>
          </w:tcPr>
          <w:p>
            <w:pPr>
              <w:jc w:val="right"/>
              <w:ind w:right="162"/>
              <w:spacing w:after="0" w:line="152" w:lineRule="exact"/>
              <w:rPr>
                <w:sz w:val="20"/>
                <w:szCs w:val="20"/>
                <w:color w:val="auto"/>
              </w:rPr>
            </w:pPr>
            <w:r>
              <w:rPr>
                <w:rFonts w:ascii="Arial" w:cs="Arial" w:eastAsia="Arial" w:hAnsi="Arial"/>
                <w:sz w:val="16"/>
                <w:szCs w:val="16"/>
                <w:color w:val="auto"/>
              </w:rPr>
              <w:t>183,312</w:t>
            </w:r>
          </w:p>
        </w:tc>
        <w:tc>
          <w:tcPr>
            <w:tcW w:w="1440" w:type="dxa"/>
            <w:vAlign w:val="bottom"/>
          </w:tcPr>
          <w:p>
            <w:pPr>
              <w:jc w:val="right"/>
              <w:ind w:right="342"/>
              <w:spacing w:after="0" w:line="152" w:lineRule="exact"/>
              <w:rPr>
                <w:sz w:val="20"/>
                <w:szCs w:val="20"/>
                <w:color w:val="auto"/>
              </w:rPr>
            </w:pPr>
            <w:r>
              <w:rPr>
                <w:rFonts w:ascii="Arial" w:cs="Arial" w:eastAsia="Arial" w:hAnsi="Arial"/>
                <w:sz w:val="16"/>
                <w:szCs w:val="16"/>
                <w:color w:val="auto"/>
              </w:rPr>
              <w:t>2,033,537</w:t>
            </w:r>
          </w:p>
        </w:tc>
        <w:tc>
          <w:tcPr>
            <w:tcW w:w="980" w:type="dxa"/>
            <w:vAlign w:val="bottom"/>
          </w:tcPr>
          <w:p>
            <w:pPr>
              <w:jc w:val="right"/>
              <w:ind w:right="2"/>
              <w:spacing w:after="0" w:line="152" w:lineRule="exact"/>
              <w:rPr>
                <w:sz w:val="20"/>
                <w:szCs w:val="20"/>
                <w:color w:val="auto"/>
              </w:rPr>
            </w:pPr>
            <w:r>
              <w:rPr>
                <w:rFonts w:ascii="Arial" w:cs="Arial" w:eastAsia="Arial" w:hAnsi="Arial"/>
                <w:sz w:val="16"/>
                <w:szCs w:val="16"/>
                <w:color w:val="auto"/>
              </w:rPr>
              <w:t>4,871</w:t>
            </w:r>
          </w:p>
        </w:tc>
        <w:tc>
          <w:tcPr>
            <w:tcW w:w="860" w:type="dxa"/>
            <w:vAlign w:val="bottom"/>
          </w:tcPr>
          <w:p>
            <w:pPr>
              <w:jc w:val="right"/>
              <w:spacing w:after="0" w:line="152" w:lineRule="exact"/>
              <w:rPr>
                <w:sz w:val="20"/>
                <w:szCs w:val="20"/>
                <w:color w:val="auto"/>
              </w:rPr>
            </w:pPr>
            <w:r>
              <w:rPr>
                <w:rFonts w:ascii="Arial" w:cs="Arial" w:eastAsia="Arial" w:hAnsi="Arial"/>
                <w:sz w:val="16"/>
                <w:szCs w:val="16"/>
                <w:color w:val="auto"/>
              </w:rPr>
              <w:t>(1,602,421)</w:t>
            </w:r>
          </w:p>
        </w:tc>
        <w:tc>
          <w:tcPr>
            <w:tcW w:w="80" w:type="dxa"/>
            <w:vAlign w:val="bottom"/>
          </w:tcPr>
          <w:p>
            <w:pPr>
              <w:spacing w:after="0"/>
              <w:rPr>
                <w:sz w:val="13"/>
                <w:szCs w:val="13"/>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Net financial expenses for insurance</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2660" w:type="dxa"/>
            <w:vAlign w:val="bottom"/>
          </w:tcPr>
          <w:p>
            <w:pPr>
              <w:spacing w:after="0" w:line="173" w:lineRule="exact"/>
              <w:rPr>
                <w:sz w:val="20"/>
                <w:szCs w:val="20"/>
                <w:color w:val="auto"/>
              </w:rPr>
            </w:pPr>
            <w:r>
              <w:rPr>
                <w:rFonts w:ascii="Arial" w:cs="Arial" w:eastAsia="Arial" w:hAnsi="Arial"/>
                <w:sz w:val="16"/>
                <w:szCs w:val="16"/>
                <w:color w:val="auto"/>
              </w:rPr>
              <w:t>contracts</w:t>
            </w:r>
          </w:p>
        </w:tc>
        <w:tc>
          <w:tcPr>
            <w:tcW w:w="1560" w:type="dxa"/>
            <w:vAlign w:val="bottom"/>
            <w:tcBorders>
              <w:bottom w:val="single" w:sz="8" w:color="auto"/>
            </w:tcBorders>
          </w:tcPr>
          <w:p>
            <w:pPr>
              <w:jc w:val="right"/>
              <w:ind w:right="322"/>
              <w:spacing w:after="0" w:line="173" w:lineRule="exact"/>
              <w:rPr>
                <w:sz w:val="20"/>
                <w:szCs w:val="20"/>
                <w:color w:val="auto"/>
              </w:rPr>
            </w:pPr>
            <w:r>
              <w:rPr>
                <w:rFonts w:ascii="Arial" w:cs="Arial" w:eastAsia="Arial" w:hAnsi="Arial"/>
                <w:sz w:val="16"/>
                <w:szCs w:val="16"/>
                <w:color w:val="auto"/>
              </w:rPr>
              <w:t>1,051,939</w:t>
            </w:r>
          </w:p>
        </w:tc>
        <w:tc>
          <w:tcPr>
            <w:tcW w:w="1120" w:type="dxa"/>
            <w:vAlign w:val="bottom"/>
            <w:tcBorders>
              <w:bottom w:val="single" w:sz="8" w:color="auto"/>
            </w:tcBorders>
          </w:tcPr>
          <w:p>
            <w:pPr>
              <w:jc w:val="right"/>
              <w:ind w:right="62"/>
              <w:spacing w:after="0" w:line="173" w:lineRule="exact"/>
              <w:rPr>
                <w:sz w:val="20"/>
                <w:szCs w:val="20"/>
                <w:color w:val="auto"/>
              </w:rPr>
            </w:pPr>
            <w:r>
              <w:rPr>
                <w:rFonts w:ascii="Arial" w:cs="Arial" w:eastAsia="Arial" w:hAnsi="Arial"/>
                <w:sz w:val="16"/>
                <w:szCs w:val="16"/>
                <w:color w:val="auto"/>
              </w:rPr>
              <w:t>(4,492)</w:t>
            </w:r>
          </w:p>
        </w:tc>
        <w:tc>
          <w:tcPr>
            <w:tcW w:w="1180" w:type="dxa"/>
            <w:vAlign w:val="bottom"/>
            <w:tcBorders>
              <w:bottom w:val="single" w:sz="8" w:color="auto"/>
            </w:tcBorders>
          </w:tcPr>
          <w:p>
            <w:pPr>
              <w:jc w:val="right"/>
              <w:ind w:right="162"/>
              <w:spacing w:after="0" w:line="173" w:lineRule="exact"/>
              <w:rPr>
                <w:sz w:val="20"/>
                <w:szCs w:val="20"/>
                <w:color w:val="auto"/>
              </w:rPr>
            </w:pPr>
            <w:r>
              <w:rPr>
                <w:rFonts w:ascii="Arial" w:cs="Arial" w:eastAsia="Arial" w:hAnsi="Arial"/>
                <w:sz w:val="16"/>
                <w:szCs w:val="16"/>
                <w:color w:val="auto"/>
              </w:rPr>
              <w:t>140,934</w:t>
            </w:r>
          </w:p>
        </w:tc>
        <w:tc>
          <w:tcPr>
            <w:tcW w:w="1440" w:type="dxa"/>
            <w:vAlign w:val="bottom"/>
            <w:tcBorders>
              <w:bottom w:val="single" w:sz="8" w:color="auto"/>
            </w:tcBorders>
          </w:tcPr>
          <w:p>
            <w:pPr>
              <w:jc w:val="right"/>
              <w:ind w:right="342"/>
              <w:spacing w:after="0" w:line="173" w:lineRule="exact"/>
              <w:rPr>
                <w:sz w:val="20"/>
                <w:szCs w:val="20"/>
                <w:color w:val="auto"/>
              </w:rPr>
            </w:pPr>
            <w:r>
              <w:rPr>
                <w:rFonts w:ascii="Arial" w:cs="Arial" w:eastAsia="Arial" w:hAnsi="Arial"/>
                <w:sz w:val="16"/>
                <w:szCs w:val="16"/>
                <w:color w:val="auto"/>
              </w:rPr>
              <w:t>146,732</w:t>
            </w:r>
          </w:p>
        </w:tc>
        <w:tc>
          <w:tcPr>
            <w:tcW w:w="980" w:type="dxa"/>
            <w:vAlign w:val="bottom"/>
            <w:tcBorders>
              <w:bottom w:val="single" w:sz="8" w:color="auto"/>
            </w:tcBorders>
          </w:tcPr>
          <w:p>
            <w:pPr>
              <w:jc w:val="right"/>
              <w:ind w:right="2"/>
              <w:spacing w:after="0" w:line="173" w:lineRule="exact"/>
              <w:rPr>
                <w:sz w:val="20"/>
                <w:szCs w:val="20"/>
                <w:color w:val="auto"/>
              </w:rPr>
            </w:pPr>
            <w:r>
              <w:rPr>
                <w:rFonts w:ascii="Arial" w:cs="Arial" w:eastAsia="Arial" w:hAnsi="Arial"/>
                <w:sz w:val="16"/>
                <w:szCs w:val="16"/>
                <w:color w:val="auto"/>
              </w:rPr>
              <w:t>1,759</w:t>
            </w:r>
          </w:p>
        </w:tc>
        <w:tc>
          <w:tcPr>
            <w:tcW w:w="86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1,336,872</w:t>
            </w:r>
          </w:p>
        </w:tc>
        <w:tc>
          <w:tcPr>
            <w:tcW w:w="80" w:type="dxa"/>
            <w:vAlign w:val="bottom"/>
            <w:tcBorders>
              <w:bottom w:val="single" w:sz="8" w:color="auto"/>
            </w:tcBorders>
          </w:tcPr>
          <w:p>
            <w:pPr>
              <w:spacing w:after="0"/>
              <w:rPr>
                <w:sz w:val="15"/>
                <w:szCs w:val="15"/>
                <w:color w:val="auto"/>
              </w:rPr>
            </w:pPr>
          </w:p>
        </w:tc>
      </w:tr>
      <w:tr>
        <w:trPr>
          <w:trHeight w:val="147"/>
        </w:trPr>
        <w:tc>
          <w:tcPr>
            <w:tcW w:w="2660" w:type="dxa"/>
            <w:vAlign w:val="bottom"/>
          </w:tcPr>
          <w:p>
            <w:pPr>
              <w:spacing w:after="0" w:line="147" w:lineRule="exact"/>
              <w:rPr>
                <w:sz w:val="20"/>
                <w:szCs w:val="20"/>
                <w:color w:val="auto"/>
              </w:rPr>
            </w:pPr>
            <w:r>
              <w:rPr>
                <w:rFonts w:ascii="Arial" w:cs="Arial" w:eastAsia="Arial" w:hAnsi="Arial"/>
                <w:sz w:val="16"/>
                <w:szCs w:val="16"/>
                <w:b w:val="1"/>
                <w:bCs w:val="1"/>
                <w:color w:val="auto"/>
              </w:rPr>
              <w:t>Total changes in the consolidated</w:t>
            </w:r>
          </w:p>
        </w:tc>
        <w:tc>
          <w:tcPr>
            <w:tcW w:w="1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7"/>
        </w:trPr>
        <w:tc>
          <w:tcPr>
            <w:tcW w:w="2660" w:type="dxa"/>
            <w:vAlign w:val="bottom"/>
          </w:tcPr>
          <w:p>
            <w:pPr>
              <w:spacing w:after="0" w:line="177" w:lineRule="exact"/>
              <w:rPr>
                <w:sz w:val="20"/>
                <w:szCs w:val="20"/>
                <w:color w:val="auto"/>
              </w:rPr>
            </w:pPr>
            <w:r>
              <w:rPr>
                <w:rFonts w:ascii="Arial" w:cs="Arial" w:eastAsia="Arial" w:hAnsi="Arial"/>
                <w:sz w:val="16"/>
                <w:szCs w:val="16"/>
                <w:b w:val="1"/>
                <w:bCs w:val="1"/>
                <w:color w:val="auto"/>
              </w:rPr>
              <w:t>income statement</w:t>
            </w:r>
          </w:p>
        </w:tc>
        <w:tc>
          <w:tcPr>
            <w:tcW w:w="1560" w:type="dxa"/>
            <w:vAlign w:val="bottom"/>
          </w:tcPr>
          <w:p>
            <w:pPr>
              <w:jc w:val="right"/>
              <w:ind w:right="322"/>
              <w:spacing w:after="0" w:line="177" w:lineRule="exact"/>
              <w:rPr>
                <w:sz w:val="20"/>
                <w:szCs w:val="20"/>
                <w:color w:val="auto"/>
              </w:rPr>
            </w:pPr>
            <w:r>
              <w:rPr>
                <w:rFonts w:ascii="Arial" w:cs="Arial" w:eastAsia="Arial" w:hAnsi="Arial"/>
                <w:sz w:val="16"/>
                <w:szCs w:val="16"/>
                <w:color w:val="auto"/>
              </w:rPr>
              <w:t>(2,798,526)</w:t>
            </w:r>
          </w:p>
        </w:tc>
        <w:tc>
          <w:tcPr>
            <w:tcW w:w="1120" w:type="dxa"/>
            <w:vAlign w:val="bottom"/>
          </w:tcPr>
          <w:p>
            <w:pPr>
              <w:jc w:val="right"/>
              <w:ind w:right="62"/>
              <w:spacing w:after="0" w:line="177" w:lineRule="exact"/>
              <w:rPr>
                <w:sz w:val="20"/>
                <w:szCs w:val="20"/>
                <w:color w:val="auto"/>
              </w:rPr>
            </w:pPr>
            <w:r>
              <w:rPr>
                <w:rFonts w:ascii="Arial" w:cs="Arial" w:eastAsia="Arial" w:hAnsi="Arial"/>
                <w:sz w:val="16"/>
                <w:szCs w:val="16"/>
                <w:color w:val="auto"/>
              </w:rPr>
              <w:t>21,832</w:t>
            </w:r>
          </w:p>
        </w:tc>
        <w:tc>
          <w:tcPr>
            <w:tcW w:w="1180" w:type="dxa"/>
            <w:vAlign w:val="bottom"/>
          </w:tcPr>
          <w:p>
            <w:pPr>
              <w:jc w:val="right"/>
              <w:ind w:right="162"/>
              <w:spacing w:after="0" w:line="177" w:lineRule="exact"/>
              <w:rPr>
                <w:sz w:val="20"/>
                <w:szCs w:val="20"/>
                <w:color w:val="auto"/>
              </w:rPr>
            </w:pPr>
            <w:r>
              <w:rPr>
                <w:rFonts w:ascii="Arial" w:cs="Arial" w:eastAsia="Arial" w:hAnsi="Arial"/>
                <w:sz w:val="16"/>
                <w:szCs w:val="16"/>
                <w:color w:val="auto"/>
              </w:rPr>
              <w:t>324,246</w:t>
            </w:r>
          </w:p>
        </w:tc>
        <w:tc>
          <w:tcPr>
            <w:tcW w:w="1440" w:type="dxa"/>
            <w:vAlign w:val="bottom"/>
          </w:tcPr>
          <w:p>
            <w:pPr>
              <w:jc w:val="right"/>
              <w:ind w:right="342"/>
              <w:spacing w:after="0" w:line="177" w:lineRule="exact"/>
              <w:rPr>
                <w:sz w:val="20"/>
                <w:szCs w:val="20"/>
                <w:color w:val="auto"/>
              </w:rPr>
            </w:pPr>
            <w:r>
              <w:rPr>
                <w:rFonts w:ascii="Arial" w:cs="Arial" w:eastAsia="Arial" w:hAnsi="Arial"/>
                <w:sz w:val="16"/>
                <w:szCs w:val="16"/>
                <w:color w:val="auto"/>
              </w:rPr>
              <w:t>2,180,269</w:t>
            </w:r>
          </w:p>
        </w:tc>
        <w:tc>
          <w:tcPr>
            <w:tcW w:w="980" w:type="dxa"/>
            <w:vAlign w:val="bottom"/>
          </w:tcPr>
          <w:p>
            <w:pPr>
              <w:jc w:val="right"/>
              <w:ind w:right="2"/>
              <w:spacing w:after="0" w:line="177" w:lineRule="exact"/>
              <w:rPr>
                <w:sz w:val="20"/>
                <w:szCs w:val="20"/>
                <w:color w:val="auto"/>
              </w:rPr>
            </w:pPr>
            <w:r>
              <w:rPr>
                <w:rFonts w:ascii="Arial" w:cs="Arial" w:eastAsia="Arial" w:hAnsi="Arial"/>
                <w:sz w:val="16"/>
                <w:szCs w:val="16"/>
                <w:color w:val="auto"/>
              </w:rPr>
              <w:t>6,630</w:t>
            </w: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(265,549)</w:t>
            </w: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Investment components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(901,136)</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(10)</w:t>
            </w:r>
          </w:p>
        </w:tc>
        <w:tc>
          <w:tcPr>
            <w:tcW w:w="118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901,131</w:t>
            </w:r>
          </w:p>
        </w:tc>
        <w:tc>
          <w:tcPr>
            <w:tcW w:w="144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Other changes</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(241,725)</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22,700</w:t>
            </w:r>
          </w:p>
        </w:tc>
        <w:tc>
          <w:tcPr>
            <w:tcW w:w="118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(1,609)</w:t>
            </w:r>
          </w:p>
        </w:tc>
        <w:tc>
          <w:tcPr>
            <w:tcW w:w="144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33,651</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(317)</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(187,300)</w:t>
            </w: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Cash flow:</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Premiums received</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4,773,477</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(382)</w:t>
            </w:r>
          </w:p>
        </w:tc>
        <w:tc>
          <w:tcPr>
            <w:tcW w:w="118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4,773,095</w:t>
            </w: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Claims and other service expenses</w:t>
            </w: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paid</w:t>
            </w:r>
          </w:p>
        </w:tc>
        <w:tc>
          <w:tcPr>
            <w:tcW w:w="1560" w:type="dxa"/>
            <w:vAlign w:val="bottom"/>
          </w:tcPr>
          <w:p>
            <w:pPr>
              <w:jc w:val="right"/>
              <w:ind w:right="322"/>
              <w:spacing w:after="0" w:line="175"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line="175"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(1,084,324)</w:t>
            </w:r>
          </w:p>
        </w:tc>
        <w:tc>
          <w:tcPr>
            <w:tcW w:w="1440" w:type="dxa"/>
            <w:vAlign w:val="bottom"/>
          </w:tcPr>
          <w:p>
            <w:pPr>
              <w:jc w:val="right"/>
              <w:ind w:right="342"/>
              <w:spacing w:after="0" w:line="175" w:lineRule="exact"/>
              <w:rPr>
                <w:sz w:val="20"/>
                <w:szCs w:val="20"/>
                <w:color w:val="auto"/>
              </w:rPr>
            </w:pPr>
            <w:r>
              <w:rPr>
                <w:rFonts w:ascii="Arial" w:cs="Arial" w:eastAsia="Arial" w:hAnsi="Arial"/>
                <w:sz w:val="16"/>
                <w:szCs w:val="16"/>
                <w:color w:val="auto"/>
              </w:rPr>
              <w:t>(1,991,308)</w:t>
            </w:r>
          </w:p>
        </w:tc>
        <w:tc>
          <w:tcPr>
            <w:tcW w:w="980" w:type="dxa"/>
            <w:vAlign w:val="bottom"/>
          </w:tcPr>
          <w:p>
            <w:pPr>
              <w:jc w:val="right"/>
              <w:ind w:right="2"/>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(3,075,632)</w:t>
            </w:r>
          </w:p>
        </w:tc>
        <w:tc>
          <w:tcPr>
            <w:tcW w:w="80" w:type="dxa"/>
            <w:vAlign w:val="bottom"/>
          </w:tcPr>
          <w:p>
            <w:pPr>
              <w:spacing w:after="0"/>
              <w:rPr>
                <w:sz w:val="15"/>
                <w:szCs w:val="15"/>
                <w:color w:val="auto"/>
              </w:rPr>
            </w:pPr>
          </w:p>
        </w:tc>
      </w:tr>
      <w:tr>
        <w:trPr>
          <w:trHeight w:val="190"/>
        </w:trPr>
        <w:tc>
          <w:tcPr>
            <w:tcW w:w="2660" w:type="dxa"/>
            <w:vAlign w:val="bottom"/>
          </w:tcPr>
          <w:p>
            <w:pPr>
              <w:spacing w:after="0"/>
              <w:rPr>
                <w:sz w:val="20"/>
                <w:szCs w:val="20"/>
                <w:color w:val="auto"/>
              </w:rPr>
            </w:pPr>
            <w:r>
              <w:rPr>
                <w:rFonts w:ascii="Arial" w:cs="Arial" w:eastAsia="Arial" w:hAnsi="Arial"/>
                <w:sz w:val="16"/>
                <w:szCs w:val="16"/>
                <w:color w:val="auto"/>
              </w:rPr>
              <w:t>Insurance acquisition cash flows</w:t>
            </w:r>
          </w:p>
        </w:tc>
        <w:tc>
          <w:tcPr>
            <w:tcW w:w="15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(80,474)</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(80,474)</w:t>
            </w:r>
          </w:p>
        </w:tc>
        <w:tc>
          <w:tcPr>
            <w:tcW w:w="80" w:type="dxa"/>
            <w:vAlign w:val="bottom"/>
            <w:tcBorders>
              <w:bottom w:val="single" w:sz="8" w:color="auto"/>
            </w:tcBorders>
          </w:tcPr>
          <w:p>
            <w:pPr>
              <w:spacing w:after="0"/>
              <w:rPr>
                <w:sz w:val="16"/>
                <w:szCs w:val="16"/>
                <w:color w:val="auto"/>
              </w:rPr>
            </w:pPr>
          </w:p>
        </w:tc>
      </w:tr>
      <w:tr>
        <w:trPr>
          <w:trHeight w:val="178"/>
        </w:trPr>
        <w:tc>
          <w:tcPr>
            <w:tcW w:w="2660" w:type="dxa"/>
            <w:vAlign w:val="bottom"/>
          </w:tcPr>
          <w:p>
            <w:pPr>
              <w:spacing w:after="0" w:line="178" w:lineRule="exact"/>
              <w:rPr>
                <w:sz w:val="20"/>
                <w:szCs w:val="20"/>
                <w:color w:val="auto"/>
              </w:rPr>
            </w:pPr>
            <w:r>
              <w:rPr>
                <w:rFonts w:ascii="Arial" w:cs="Arial" w:eastAsia="Arial" w:hAnsi="Arial"/>
                <w:sz w:val="16"/>
                <w:szCs w:val="16"/>
                <w:b w:val="1"/>
                <w:bCs w:val="1"/>
                <w:color w:val="auto"/>
              </w:rPr>
              <w:t>Net cash flow</w:t>
            </w:r>
          </w:p>
        </w:tc>
        <w:tc>
          <w:tcPr>
            <w:tcW w:w="1560" w:type="dxa"/>
            <w:vAlign w:val="bottom"/>
            <w:tcBorders>
              <w:bottom w:val="single" w:sz="8" w:color="auto"/>
            </w:tcBorders>
          </w:tcPr>
          <w:p>
            <w:pPr>
              <w:jc w:val="right"/>
              <w:ind w:right="322"/>
              <w:spacing w:after="0" w:line="178" w:lineRule="exact"/>
              <w:rPr>
                <w:sz w:val="20"/>
                <w:szCs w:val="20"/>
                <w:color w:val="auto"/>
              </w:rPr>
            </w:pPr>
            <w:r>
              <w:rPr>
                <w:rFonts w:ascii="Arial" w:cs="Arial" w:eastAsia="Arial" w:hAnsi="Arial"/>
                <w:sz w:val="16"/>
                <w:szCs w:val="16"/>
                <w:color w:val="auto"/>
              </w:rPr>
              <w:t>4,693,003</w:t>
            </w:r>
          </w:p>
        </w:tc>
        <w:tc>
          <w:tcPr>
            <w:tcW w:w="1120" w:type="dxa"/>
            <w:vAlign w:val="bottom"/>
            <w:tcBorders>
              <w:bottom w:val="single" w:sz="8" w:color="auto"/>
            </w:tcBorders>
          </w:tcPr>
          <w:p>
            <w:pPr>
              <w:jc w:val="right"/>
              <w:ind w:right="62"/>
              <w:spacing w:after="0" w:line="178" w:lineRule="exact"/>
              <w:rPr>
                <w:sz w:val="20"/>
                <w:szCs w:val="20"/>
                <w:color w:val="auto"/>
              </w:rPr>
            </w:pPr>
            <w:r>
              <w:rPr>
                <w:rFonts w:ascii="Arial" w:cs="Arial" w:eastAsia="Arial" w:hAnsi="Arial"/>
                <w:sz w:val="16"/>
                <w:szCs w:val="16"/>
                <w:color w:val="auto"/>
              </w:rPr>
              <w:t>(382)</w:t>
            </w:r>
          </w:p>
        </w:tc>
        <w:tc>
          <w:tcPr>
            <w:tcW w:w="1180" w:type="dxa"/>
            <w:vAlign w:val="bottom"/>
            <w:tcBorders>
              <w:bottom w:val="single" w:sz="8" w:color="auto"/>
            </w:tcBorders>
          </w:tcPr>
          <w:p>
            <w:pPr>
              <w:jc w:val="right"/>
              <w:ind w:right="162"/>
              <w:spacing w:after="0" w:line="178" w:lineRule="exact"/>
              <w:rPr>
                <w:sz w:val="20"/>
                <w:szCs w:val="20"/>
                <w:color w:val="auto"/>
              </w:rPr>
            </w:pPr>
            <w:r>
              <w:rPr>
                <w:rFonts w:ascii="Arial" w:cs="Arial" w:eastAsia="Arial" w:hAnsi="Arial"/>
                <w:sz w:val="16"/>
                <w:szCs w:val="16"/>
                <w:color w:val="auto"/>
              </w:rPr>
              <w:t>(1,084,324)</w:t>
            </w:r>
          </w:p>
        </w:tc>
        <w:tc>
          <w:tcPr>
            <w:tcW w:w="1440" w:type="dxa"/>
            <w:vAlign w:val="bottom"/>
            <w:tcBorders>
              <w:bottom w:val="single" w:sz="8" w:color="auto"/>
            </w:tcBorders>
          </w:tcPr>
          <w:p>
            <w:pPr>
              <w:jc w:val="right"/>
              <w:ind w:right="342"/>
              <w:spacing w:after="0" w:line="178" w:lineRule="exact"/>
              <w:rPr>
                <w:sz w:val="20"/>
                <w:szCs w:val="20"/>
                <w:color w:val="auto"/>
              </w:rPr>
            </w:pPr>
            <w:r>
              <w:rPr>
                <w:rFonts w:ascii="Arial" w:cs="Arial" w:eastAsia="Arial" w:hAnsi="Arial"/>
                <w:sz w:val="16"/>
                <w:szCs w:val="16"/>
                <w:color w:val="auto"/>
              </w:rPr>
              <w:t>(1,991,308)</w:t>
            </w:r>
          </w:p>
        </w:tc>
        <w:tc>
          <w:tcPr>
            <w:tcW w:w="98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1,616,989</w:t>
            </w:r>
          </w:p>
        </w:tc>
        <w:tc>
          <w:tcPr>
            <w:tcW w:w="80" w:type="dxa"/>
            <w:vAlign w:val="bottom"/>
          </w:tcPr>
          <w:p>
            <w:pPr>
              <w:spacing w:after="0"/>
              <w:rPr>
                <w:sz w:val="15"/>
                <w:szCs w:val="15"/>
                <w:color w:val="auto"/>
              </w:rPr>
            </w:pPr>
          </w:p>
        </w:tc>
      </w:tr>
      <w:tr>
        <w:trPr>
          <w:trHeight w:val="170"/>
        </w:trPr>
        <w:tc>
          <w:tcPr>
            <w:tcW w:w="2660" w:type="dxa"/>
            <w:vAlign w:val="bottom"/>
          </w:tcPr>
          <w:p>
            <w:pPr>
              <w:spacing w:after="0" w:line="167" w:lineRule="exact"/>
              <w:rPr>
                <w:sz w:val="20"/>
                <w:szCs w:val="20"/>
                <w:color w:val="auto"/>
              </w:rPr>
            </w:pPr>
            <w:r>
              <w:rPr>
                <w:rFonts w:ascii="Arial" w:cs="Arial" w:eastAsia="Arial" w:hAnsi="Arial"/>
                <w:sz w:val="16"/>
                <w:szCs w:val="16"/>
                <w:b w:val="1"/>
                <w:bCs w:val="1"/>
                <w:color w:val="auto"/>
              </w:rPr>
              <w:t>Balances at the end of the period</w:t>
            </w:r>
          </w:p>
        </w:tc>
        <w:tc>
          <w:tcPr>
            <w:tcW w:w="1560" w:type="dxa"/>
            <w:vAlign w:val="bottom"/>
            <w:tcBorders>
              <w:bottom w:val="single" w:sz="8" w:color="auto"/>
            </w:tcBorders>
          </w:tcPr>
          <w:p>
            <w:pPr>
              <w:jc w:val="right"/>
              <w:ind w:right="322"/>
              <w:spacing w:after="0" w:line="167" w:lineRule="exact"/>
              <w:rPr>
                <w:sz w:val="20"/>
                <w:szCs w:val="20"/>
                <w:color w:val="auto"/>
              </w:rPr>
            </w:pPr>
            <w:r>
              <w:rPr>
                <w:rFonts w:ascii="Arial" w:cs="Arial" w:eastAsia="Arial" w:hAnsi="Arial"/>
                <w:sz w:val="16"/>
                <w:szCs w:val="16"/>
                <w:color w:val="auto"/>
              </w:rPr>
              <w:t>8,379,672</w:t>
            </w:r>
          </w:p>
        </w:tc>
        <w:tc>
          <w:tcPr>
            <w:tcW w:w="1120" w:type="dxa"/>
            <w:vAlign w:val="bottom"/>
            <w:tcBorders>
              <w:bottom w:val="single" w:sz="8" w:color="auto"/>
            </w:tcBorders>
          </w:tcPr>
          <w:p>
            <w:pPr>
              <w:jc w:val="right"/>
              <w:ind w:right="62"/>
              <w:spacing w:after="0" w:line="167" w:lineRule="exact"/>
              <w:rPr>
                <w:sz w:val="20"/>
                <w:szCs w:val="20"/>
                <w:color w:val="auto"/>
              </w:rPr>
            </w:pPr>
            <w:r>
              <w:rPr>
                <w:rFonts w:ascii="Arial" w:cs="Arial" w:eastAsia="Arial" w:hAnsi="Arial"/>
                <w:sz w:val="16"/>
                <w:szCs w:val="16"/>
                <w:color w:val="auto"/>
              </w:rPr>
              <w:t>207,695</w:t>
            </w:r>
          </w:p>
        </w:tc>
        <w:tc>
          <w:tcPr>
            <w:tcW w:w="1180" w:type="dxa"/>
            <w:vAlign w:val="bottom"/>
            <w:tcBorders>
              <w:bottom w:val="single" w:sz="8" w:color="auto"/>
            </w:tcBorders>
          </w:tcPr>
          <w:p>
            <w:pPr>
              <w:jc w:val="right"/>
              <w:ind w:right="162"/>
              <w:spacing w:after="0" w:line="167" w:lineRule="exact"/>
              <w:rPr>
                <w:sz w:val="20"/>
                <w:szCs w:val="20"/>
                <w:color w:val="auto"/>
              </w:rPr>
            </w:pPr>
            <w:r>
              <w:rPr>
                <w:rFonts w:ascii="Arial" w:cs="Arial" w:eastAsia="Arial" w:hAnsi="Arial"/>
                <w:sz w:val="16"/>
                <w:szCs w:val="16"/>
                <w:color w:val="auto"/>
              </w:rPr>
              <w:t>1,212,856</w:t>
            </w:r>
          </w:p>
        </w:tc>
        <w:tc>
          <w:tcPr>
            <w:tcW w:w="1440" w:type="dxa"/>
            <w:vAlign w:val="bottom"/>
            <w:tcBorders>
              <w:bottom w:val="single" w:sz="8" w:color="auto"/>
            </w:tcBorders>
          </w:tcPr>
          <w:p>
            <w:pPr>
              <w:jc w:val="right"/>
              <w:ind w:right="342"/>
              <w:spacing w:after="0" w:line="167" w:lineRule="exact"/>
              <w:rPr>
                <w:sz w:val="20"/>
                <w:szCs w:val="20"/>
                <w:color w:val="auto"/>
              </w:rPr>
            </w:pPr>
            <w:r>
              <w:rPr>
                <w:rFonts w:ascii="Arial" w:cs="Arial" w:eastAsia="Arial" w:hAnsi="Arial"/>
                <w:sz w:val="16"/>
                <w:szCs w:val="16"/>
                <w:color w:val="auto"/>
              </w:rPr>
              <w:t>2,497,439</w:t>
            </w:r>
          </w:p>
        </w:tc>
        <w:tc>
          <w:tcPr>
            <w:tcW w:w="980" w:type="dxa"/>
            <w:vAlign w:val="bottom"/>
            <w:tcBorders>
              <w:bottom w:val="single" w:sz="8" w:color="auto"/>
            </w:tcBorders>
          </w:tcPr>
          <w:p>
            <w:pPr>
              <w:jc w:val="right"/>
              <w:ind w:right="2"/>
              <w:spacing w:after="0" w:line="167" w:lineRule="exact"/>
              <w:rPr>
                <w:sz w:val="20"/>
                <w:szCs w:val="20"/>
                <w:color w:val="auto"/>
              </w:rPr>
            </w:pPr>
            <w:r>
              <w:rPr>
                <w:rFonts w:ascii="Arial" w:cs="Arial" w:eastAsia="Arial" w:hAnsi="Arial"/>
                <w:sz w:val="16"/>
                <w:szCs w:val="16"/>
                <w:color w:val="auto"/>
              </w:rPr>
              <w:t>20,471</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12,318,133</w:t>
            </w:r>
          </w:p>
        </w:tc>
        <w:tc>
          <w:tcPr>
            <w:tcW w:w="80" w:type="dxa"/>
            <w:vAlign w:val="bottom"/>
            <w:tcBorders>
              <w:bottom w:val="single" w:sz="8" w:color="auto"/>
            </w:tcBorders>
          </w:tcPr>
          <w:p>
            <w:pPr>
              <w:spacing w:after="0"/>
              <w:rPr>
                <w:sz w:val="14"/>
                <w:szCs w:val="14"/>
                <w:color w:val="auto"/>
              </w:rPr>
            </w:pPr>
          </w:p>
        </w:tc>
      </w:tr>
    </w:tbl>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Includes accounts receivable of contracts measured under the PAA and debts to intermediaries, marketers and auxiliaries.</w:t>
      </w:r>
    </w:p>
    <w:p>
      <w:pPr>
        <w:spacing w:after="0" w:line="325"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36195</wp:posOffset>
            </wp:positionV>
            <wp:extent cx="715073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9880"/>
          </w:cols>
          <w:pgMar w:left="1160" w:top="124" w:right="859" w:bottom="1440" w:gutter="0" w:footer="0" w:header="0"/>
        </w:sectPr>
      </w:pPr>
    </w:p>
    <w:bookmarkStart w:id="77" w:name="page78"/>
    <w:bookmarkEnd w:id="77"/>
    <w:p>
      <w:pPr>
        <w:spacing w:after="0"/>
        <w:tabs>
          <w:tab w:leader="none" w:pos="2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The components of the movement are presented below:</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2024</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0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8"/>
              </w:rPr>
              <w:t>Present Value</w:t>
            </w:r>
          </w:p>
        </w:tc>
        <w:tc>
          <w:tcPr>
            <w:tcW w:w="920" w:type="dxa"/>
            <w:vAlign w:val="bottom"/>
          </w:tcPr>
          <w:p>
            <w:pPr>
              <w:spacing w:after="0"/>
              <w:rPr>
                <w:sz w:val="13"/>
                <w:szCs w:val="13"/>
                <w:color w:val="auto"/>
              </w:rPr>
            </w:pPr>
          </w:p>
        </w:tc>
        <w:tc>
          <w:tcPr>
            <w:tcW w:w="960" w:type="dxa"/>
            <w:vAlign w:val="bottom"/>
          </w:tcPr>
          <w:p>
            <w:pPr>
              <w:ind w:left="40"/>
              <w:spacing w:after="0" w:line="150" w:lineRule="exact"/>
              <w:rPr>
                <w:sz w:val="20"/>
                <w:szCs w:val="20"/>
                <w:color w:val="auto"/>
              </w:rPr>
            </w:pPr>
            <w:r>
              <w:rPr>
                <w:rFonts w:ascii="Arial" w:cs="Arial" w:eastAsia="Arial" w:hAnsi="Arial"/>
                <w:sz w:val="16"/>
                <w:szCs w:val="16"/>
                <w:b w:val="1"/>
                <w:bCs w:val="1"/>
                <w:color w:val="auto"/>
              </w:rPr>
              <w:t>Contractual</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restart"/>
          </w:tcPr>
          <w:p>
            <w:pPr>
              <w:spacing w:after="0"/>
              <w:rPr>
                <w:sz w:val="20"/>
                <w:szCs w:val="20"/>
                <w:color w:val="auto"/>
              </w:rPr>
            </w:pPr>
            <w:r>
              <w:rPr>
                <w:rFonts w:ascii="Arial" w:cs="Arial" w:eastAsia="Arial" w:hAnsi="Arial"/>
                <w:sz w:val="16"/>
                <w:szCs w:val="16"/>
                <w:b w:val="1"/>
                <w:bCs w:val="1"/>
                <w:color w:val="auto"/>
                <w:w w:val="98"/>
              </w:rPr>
              <w:t>Present Value</w:t>
            </w:r>
          </w:p>
        </w:tc>
        <w:tc>
          <w:tcPr>
            <w:tcW w:w="920" w:type="dxa"/>
            <w:vAlign w:val="bottom"/>
          </w:tcPr>
          <w:p>
            <w:pPr>
              <w:spacing w:after="0"/>
              <w:rPr>
                <w:sz w:val="13"/>
                <w:szCs w:val="13"/>
                <w:color w:val="auto"/>
              </w:rPr>
            </w:pPr>
          </w:p>
        </w:tc>
        <w:tc>
          <w:tcPr>
            <w:tcW w:w="960" w:type="dxa"/>
            <w:vAlign w:val="bottom"/>
          </w:tcPr>
          <w:p>
            <w:pPr>
              <w:ind w:left="40"/>
              <w:spacing w:after="0" w:line="150" w:lineRule="exact"/>
              <w:rPr>
                <w:sz w:val="20"/>
                <w:szCs w:val="20"/>
                <w:color w:val="auto"/>
              </w:rPr>
            </w:pPr>
            <w:r>
              <w:rPr>
                <w:rFonts w:ascii="Arial" w:cs="Arial" w:eastAsia="Arial" w:hAnsi="Arial"/>
                <w:sz w:val="16"/>
                <w:szCs w:val="16"/>
                <w:b w:val="1"/>
                <w:bCs w:val="1"/>
                <w:color w:val="auto"/>
              </w:rPr>
              <w:t>Contractual</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Risk</w:t>
            </w:r>
          </w:p>
        </w:tc>
        <w:tc>
          <w:tcPr>
            <w:tcW w:w="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Service</w:t>
            </w: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9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Risk</w:t>
            </w:r>
          </w:p>
        </w:tc>
        <w:tc>
          <w:tcPr>
            <w:tcW w:w="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Service</w:t>
            </w: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100" w:type="dxa"/>
            <w:vAlign w:val="bottom"/>
          </w:tcPr>
          <w:p>
            <w:pPr>
              <w:spacing w:after="0"/>
              <w:rPr>
                <w:sz w:val="13"/>
                <w:szCs w:val="13"/>
                <w:color w:val="auto"/>
              </w:rPr>
            </w:pPr>
          </w:p>
        </w:tc>
        <w:tc>
          <w:tcPr>
            <w:tcW w:w="112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rPr>
              <w:t>of Fulfillment</w:t>
            </w:r>
          </w:p>
        </w:tc>
        <w:tc>
          <w:tcPr>
            <w:tcW w:w="9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920" w:type="dxa"/>
            <w:vAlign w:val="bottom"/>
            <w:gridSpan w:val="2"/>
          </w:tcPr>
          <w:p>
            <w:pPr>
              <w:ind w:left="40"/>
              <w:spacing w:after="0" w:line="157" w:lineRule="exact"/>
              <w:rPr>
                <w:sz w:val="20"/>
                <w:szCs w:val="20"/>
                <w:color w:val="auto"/>
              </w:rPr>
            </w:pPr>
            <w:r>
              <w:rPr>
                <w:rFonts w:ascii="Arial" w:cs="Arial" w:eastAsia="Arial" w:hAnsi="Arial"/>
                <w:sz w:val="16"/>
                <w:szCs w:val="16"/>
                <w:b w:val="1"/>
                <w:bCs w:val="1"/>
                <w:color w:val="auto"/>
              </w:rPr>
              <w:t>Total</w:t>
            </w:r>
          </w:p>
        </w:tc>
        <w:tc>
          <w:tcPr>
            <w:tcW w:w="1060" w:type="dxa"/>
            <w:vAlign w:val="bottom"/>
          </w:tcPr>
          <w:p>
            <w:pPr>
              <w:spacing w:after="0" w:line="157" w:lineRule="exact"/>
              <w:rPr>
                <w:sz w:val="20"/>
                <w:szCs w:val="20"/>
                <w:color w:val="auto"/>
              </w:rPr>
            </w:pPr>
            <w:r>
              <w:rPr>
                <w:rFonts w:ascii="Arial" w:cs="Arial" w:eastAsia="Arial" w:hAnsi="Arial"/>
                <w:sz w:val="16"/>
                <w:szCs w:val="16"/>
                <w:b w:val="1"/>
                <w:bCs w:val="1"/>
                <w:color w:val="auto"/>
              </w:rPr>
              <w:t>of Fulfillment</w:t>
            </w:r>
          </w:p>
        </w:tc>
        <w:tc>
          <w:tcPr>
            <w:tcW w:w="9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920" w:type="dxa"/>
            <w:vAlign w:val="bottom"/>
            <w:gridSpan w:val="2"/>
          </w:tcPr>
          <w:p>
            <w:pPr>
              <w:ind w:left="40"/>
              <w:spacing w:after="0" w:line="157"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12"/>
        </w:trPr>
        <w:tc>
          <w:tcPr>
            <w:tcW w:w="210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Cash Flows</w:t>
            </w:r>
          </w:p>
        </w:tc>
        <w:tc>
          <w:tcPr>
            <w:tcW w:w="920" w:type="dxa"/>
            <w:vAlign w:val="bottom"/>
          </w:tcPr>
          <w:p>
            <w:pPr>
              <w:ind w:left="40"/>
              <w:spacing w:after="0" w:line="112" w:lineRule="exact"/>
              <w:rPr>
                <w:sz w:val="20"/>
                <w:szCs w:val="20"/>
                <w:color w:val="auto"/>
              </w:rPr>
            </w:pPr>
            <w:r>
              <w:rPr>
                <w:rFonts w:ascii="Arial" w:cs="Arial" w:eastAsia="Arial" w:hAnsi="Arial"/>
                <w:sz w:val="12"/>
                <w:szCs w:val="12"/>
                <w:b w:val="1"/>
                <w:bCs w:val="1"/>
                <w:color w:val="auto"/>
              </w:rPr>
              <w:t>adjustment</w:t>
            </w:r>
          </w:p>
        </w:tc>
        <w:tc>
          <w:tcPr>
            <w:tcW w:w="960" w:type="dxa"/>
            <w:vAlign w:val="bottom"/>
          </w:tcPr>
          <w:p>
            <w:pPr>
              <w:ind w:left="40"/>
              <w:spacing w:after="0" w:line="112" w:lineRule="exact"/>
              <w:rPr>
                <w:sz w:val="20"/>
                <w:szCs w:val="20"/>
                <w:color w:val="auto"/>
              </w:rPr>
            </w:pPr>
            <w:r>
              <w:rPr>
                <w:rFonts w:ascii="Arial" w:cs="Arial" w:eastAsia="Arial" w:hAnsi="Arial"/>
                <w:sz w:val="12"/>
                <w:szCs w:val="12"/>
                <w:b w:val="1"/>
                <w:bCs w:val="1"/>
                <w:color w:val="auto"/>
              </w:rPr>
              <w:t>Margin</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6"/>
                <w:szCs w:val="16"/>
                <w:b w:val="1"/>
                <w:bCs w:val="1"/>
                <w:color w:val="auto"/>
              </w:rPr>
              <w:t>Cash Flows</w:t>
            </w:r>
          </w:p>
        </w:tc>
        <w:tc>
          <w:tcPr>
            <w:tcW w:w="920" w:type="dxa"/>
            <w:vAlign w:val="bottom"/>
          </w:tcPr>
          <w:p>
            <w:pPr>
              <w:ind w:left="40"/>
              <w:spacing w:after="0" w:line="112" w:lineRule="exact"/>
              <w:rPr>
                <w:sz w:val="20"/>
                <w:szCs w:val="20"/>
                <w:color w:val="auto"/>
              </w:rPr>
            </w:pPr>
            <w:r>
              <w:rPr>
                <w:rFonts w:ascii="Arial" w:cs="Arial" w:eastAsia="Arial" w:hAnsi="Arial"/>
                <w:sz w:val="12"/>
                <w:szCs w:val="12"/>
                <w:b w:val="1"/>
                <w:bCs w:val="1"/>
                <w:color w:val="auto"/>
              </w:rPr>
              <w:t>adjustment</w:t>
            </w:r>
          </w:p>
        </w:tc>
        <w:tc>
          <w:tcPr>
            <w:tcW w:w="960" w:type="dxa"/>
            <w:vAlign w:val="bottom"/>
          </w:tcPr>
          <w:p>
            <w:pPr>
              <w:ind w:left="40"/>
              <w:spacing w:after="0" w:line="112" w:lineRule="exact"/>
              <w:rPr>
                <w:sz w:val="20"/>
                <w:szCs w:val="20"/>
                <w:color w:val="auto"/>
              </w:rPr>
            </w:pPr>
            <w:r>
              <w:rPr>
                <w:rFonts w:ascii="Arial" w:cs="Arial" w:eastAsia="Arial" w:hAnsi="Arial"/>
                <w:sz w:val="12"/>
                <w:szCs w:val="12"/>
                <w:b w:val="1"/>
                <w:bCs w:val="1"/>
                <w:color w:val="auto"/>
              </w:rPr>
              <w:t>Margin</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(CSM)</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(CSM)</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100" w:type="dxa"/>
            <w:vAlign w:val="bottom"/>
            <w:vMerge w:val="restart"/>
          </w:tcPr>
          <w:p>
            <w:pPr>
              <w:spacing w:after="0"/>
              <w:rPr>
                <w:sz w:val="20"/>
                <w:szCs w:val="20"/>
                <w:color w:val="auto"/>
              </w:rPr>
            </w:pPr>
            <w:r>
              <w:rPr>
                <w:rFonts w:ascii="Arial" w:cs="Arial" w:eastAsia="Arial" w:hAnsi="Arial"/>
                <w:sz w:val="16"/>
                <w:szCs w:val="16"/>
                <w:b w:val="1"/>
                <w:bCs w:val="1"/>
                <w:color w:val="auto"/>
                <w:w w:val="99"/>
              </w:rPr>
              <w:t>Balance at the beginning of</w:t>
            </w:r>
          </w:p>
        </w:tc>
        <w:tc>
          <w:tcPr>
            <w:tcW w:w="6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920" w:type="dxa"/>
            <w:vAlign w:val="bottom"/>
          </w:tcPr>
          <w:p>
            <w:pPr>
              <w:ind w:left="40"/>
              <w:spacing w:after="0"/>
              <w:rPr>
                <w:sz w:val="20"/>
                <w:szCs w:val="20"/>
                <w:color w:val="auto"/>
              </w:rPr>
            </w:pPr>
            <w:r>
              <w:rPr>
                <w:rFonts w:ascii="Arial" w:cs="Arial" w:eastAsia="Arial" w:hAnsi="Arial"/>
                <w:sz w:val="16"/>
                <w:szCs w:val="16"/>
                <w:b w:val="1"/>
                <w:bCs w:val="1"/>
                <w:color w:val="auto"/>
              </w:rPr>
              <w:t>S/(000)</w:t>
            </w:r>
          </w:p>
        </w:tc>
        <w:tc>
          <w:tcPr>
            <w:tcW w:w="960" w:type="dxa"/>
            <w:vAlign w:val="bottom"/>
          </w:tcPr>
          <w:p>
            <w:pPr>
              <w:ind w:left="40"/>
              <w:spacing w:after="0"/>
              <w:rPr>
                <w:sz w:val="20"/>
                <w:szCs w:val="20"/>
                <w:color w:val="auto"/>
              </w:rPr>
            </w:pPr>
            <w:r>
              <w:rPr>
                <w:rFonts w:ascii="Arial" w:cs="Arial" w:eastAsia="Arial" w:hAnsi="Arial"/>
                <w:sz w:val="16"/>
                <w:szCs w:val="16"/>
                <w:b w:val="1"/>
                <w:bCs w:val="1"/>
                <w:color w:val="auto"/>
              </w:rPr>
              <w:t>S/(000)</w:t>
            </w:r>
          </w:p>
        </w:tc>
        <w:tc>
          <w:tcPr>
            <w:tcW w:w="840" w:type="dxa"/>
            <w:vAlign w:val="bottom"/>
          </w:tcPr>
          <w:p>
            <w:pPr>
              <w:ind w:left="40"/>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920" w:type="dxa"/>
            <w:vAlign w:val="bottom"/>
          </w:tcPr>
          <w:p>
            <w:pPr>
              <w:ind w:left="40"/>
              <w:spacing w:after="0"/>
              <w:rPr>
                <w:sz w:val="20"/>
                <w:szCs w:val="20"/>
                <w:color w:val="auto"/>
              </w:rPr>
            </w:pPr>
            <w:r>
              <w:rPr>
                <w:rFonts w:ascii="Arial" w:cs="Arial" w:eastAsia="Arial" w:hAnsi="Arial"/>
                <w:sz w:val="16"/>
                <w:szCs w:val="16"/>
                <w:b w:val="1"/>
                <w:bCs w:val="1"/>
                <w:color w:val="auto"/>
              </w:rPr>
              <w:t>S/(000)</w:t>
            </w:r>
          </w:p>
        </w:tc>
        <w:tc>
          <w:tcPr>
            <w:tcW w:w="960" w:type="dxa"/>
            <w:vAlign w:val="bottom"/>
          </w:tcPr>
          <w:p>
            <w:pPr>
              <w:ind w:left="40"/>
              <w:spacing w:after="0"/>
              <w:rPr>
                <w:sz w:val="20"/>
                <w:szCs w:val="20"/>
                <w:color w:val="auto"/>
              </w:rPr>
            </w:pPr>
            <w:r>
              <w:rPr>
                <w:rFonts w:ascii="Arial" w:cs="Arial" w:eastAsia="Arial" w:hAnsi="Arial"/>
                <w:sz w:val="16"/>
                <w:szCs w:val="16"/>
                <w:b w:val="1"/>
                <w:bCs w:val="1"/>
                <w:color w:val="auto"/>
              </w:rPr>
              <w:t>S/(000)</w:t>
            </w: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r>
        <w:trPr>
          <w:trHeight w:val="119"/>
        </w:trPr>
        <w:tc>
          <w:tcPr>
            <w:tcW w:w="2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line="177" w:lineRule="exact"/>
              <w:rPr>
                <w:sz w:val="20"/>
                <w:szCs w:val="20"/>
                <w:color w:val="auto"/>
              </w:rPr>
            </w:pPr>
            <w:r>
              <w:rPr>
                <w:rFonts w:ascii="Arial" w:cs="Arial" w:eastAsia="Arial" w:hAnsi="Arial"/>
                <w:sz w:val="16"/>
                <w:szCs w:val="16"/>
                <w:b w:val="1"/>
                <w:bCs w:val="1"/>
                <w:color w:val="auto"/>
              </w:rPr>
              <w:t>the period</w:t>
            </w:r>
          </w:p>
        </w:tc>
        <w:tc>
          <w:tcPr>
            <w:tcW w:w="112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8,220,567</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144,207</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1,202,240</w:t>
            </w:r>
          </w:p>
        </w:tc>
        <w:tc>
          <w:tcPr>
            <w:tcW w:w="92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9,567,014</w:t>
            </w:r>
          </w:p>
        </w:tc>
        <w:tc>
          <w:tcPr>
            <w:tcW w:w="1060" w:type="dxa"/>
            <w:vAlign w:val="bottom"/>
          </w:tcPr>
          <w:p>
            <w:pPr>
              <w:jc w:val="right"/>
              <w:spacing w:after="0" w:line="177" w:lineRule="exact"/>
              <w:rPr>
                <w:sz w:val="20"/>
                <w:szCs w:val="20"/>
                <w:color w:val="auto"/>
              </w:rPr>
            </w:pPr>
            <w:r>
              <w:rPr>
                <w:rFonts w:ascii="Arial" w:cs="Arial" w:eastAsia="Arial" w:hAnsi="Arial"/>
                <w:sz w:val="16"/>
                <w:szCs w:val="16"/>
                <w:color w:val="auto"/>
              </w:rPr>
              <w:t>7,186,948</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254,151</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1,154,236</w:t>
            </w:r>
          </w:p>
        </w:tc>
        <w:tc>
          <w:tcPr>
            <w:tcW w:w="92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8,595,335</w:t>
            </w: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Changes in the consolidated</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statement of income:</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Changes in estimates that</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adjust the CSM</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(19,665)</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4,441</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9,535</w:t>
            </w: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(5,689)</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50,644</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(97,658)</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39,919</w:t>
            </w: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(7,095)</w:t>
            </w: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Changes in estimates that</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result in losses and</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w w:val="99"/>
              </w:rPr>
              <w:t>recoveries for contract losses</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20"/>
                <w:szCs w:val="20"/>
                <w:color w:val="auto"/>
              </w:rPr>
            </w:pPr>
            <w:r>
              <w:rPr>
                <w:rFonts w:ascii="Arial" w:cs="Arial" w:eastAsia="Arial" w:hAnsi="Arial"/>
                <w:sz w:val="16"/>
                <w:szCs w:val="16"/>
                <w:color w:val="auto"/>
              </w:rPr>
              <w:t>onerous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(8,949)</w:t>
            </w:r>
          </w:p>
        </w:tc>
        <w:tc>
          <w:tcPr>
            <w:tcW w:w="920" w:type="dxa"/>
            <w:vAlign w:val="bottom"/>
          </w:tcPr>
          <w:p>
            <w:pPr>
              <w:jc w:val="right"/>
              <w:spacing w:after="0"/>
              <w:rPr>
                <w:sz w:val="20"/>
                <w:szCs w:val="20"/>
                <w:color w:val="auto"/>
              </w:rPr>
            </w:pPr>
            <w:r>
              <w:rPr>
                <w:rFonts w:ascii="Arial" w:cs="Arial" w:eastAsia="Arial" w:hAnsi="Arial"/>
                <w:sz w:val="16"/>
                <w:szCs w:val="16"/>
                <w:color w:val="auto"/>
              </w:rPr>
              <w:t>(681)</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(9,630)</w:t>
            </w:r>
          </w:p>
        </w:tc>
        <w:tc>
          <w:tcPr>
            <w:tcW w:w="1060" w:type="dxa"/>
            <w:vAlign w:val="bottom"/>
          </w:tcPr>
          <w:p>
            <w:pPr>
              <w:jc w:val="right"/>
              <w:spacing w:after="0"/>
              <w:rPr>
                <w:sz w:val="20"/>
                <w:szCs w:val="20"/>
                <w:color w:val="auto"/>
              </w:rPr>
            </w:pPr>
            <w:r>
              <w:rPr>
                <w:rFonts w:ascii="Arial" w:cs="Arial" w:eastAsia="Arial" w:hAnsi="Arial"/>
                <w:sz w:val="16"/>
                <w:szCs w:val="16"/>
                <w:color w:val="auto"/>
              </w:rPr>
              <w:t>4,483</w:t>
            </w:r>
          </w:p>
        </w:tc>
        <w:tc>
          <w:tcPr>
            <w:tcW w:w="920" w:type="dxa"/>
            <w:vAlign w:val="bottom"/>
          </w:tcPr>
          <w:p>
            <w:pPr>
              <w:jc w:val="right"/>
              <w:spacing w:after="0"/>
              <w:rPr>
                <w:sz w:val="20"/>
                <w:szCs w:val="20"/>
                <w:color w:val="auto"/>
              </w:rPr>
            </w:pPr>
            <w:r>
              <w:rPr>
                <w:rFonts w:ascii="Arial" w:cs="Arial" w:eastAsia="Arial" w:hAnsi="Arial"/>
                <w:sz w:val="16"/>
                <w:szCs w:val="16"/>
                <w:color w:val="auto"/>
              </w:rPr>
              <w:t>(10,842)</w:t>
            </w:r>
          </w:p>
        </w:tc>
        <w:tc>
          <w:tcPr>
            <w:tcW w:w="960" w:type="dxa"/>
            <w:vAlign w:val="bottom"/>
          </w:tcPr>
          <w:p>
            <w:pPr>
              <w:jc w:val="right"/>
              <w:spacing w:after="0"/>
              <w:rPr>
                <w:sz w:val="20"/>
                <w:szCs w:val="20"/>
                <w:color w:val="auto"/>
              </w:rPr>
            </w:pPr>
            <w:r>
              <w:rPr>
                <w:rFonts w:ascii="Arial" w:cs="Arial" w:eastAsia="Arial" w:hAnsi="Arial"/>
                <w:sz w:val="16"/>
                <w:szCs w:val="16"/>
                <w:color w:val="auto"/>
              </w:rPr>
              <w:t>(5,615)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(11,974)</w:t>
            </w:r>
          </w:p>
        </w:tc>
        <w:tc>
          <w:tcPr>
            <w:tcW w:w="0" w:type="dxa"/>
            <w:vAlign w:val="bottom"/>
          </w:tcPr>
          <w:p>
            <w:pPr>
              <w:spacing w:after="0"/>
              <w:rPr>
                <w:sz w:val="1"/>
                <w:szCs w:val="1"/>
                <w:color w:val="auto"/>
              </w:rPr>
            </w:pPr>
          </w:p>
        </w:tc>
      </w:tr>
      <w:tr>
        <w:trPr>
          <w:trHeight w:val="181"/>
        </w:trPr>
        <w:tc>
          <w:tcPr>
            <w:tcW w:w="2100" w:type="dxa"/>
            <w:vAlign w:val="bottom"/>
          </w:tcPr>
          <w:p>
            <w:pPr>
              <w:spacing w:after="0" w:line="173" w:lineRule="exact"/>
              <w:rPr>
                <w:sz w:val="20"/>
                <w:szCs w:val="20"/>
                <w:color w:val="auto"/>
              </w:rPr>
            </w:pPr>
            <w:r>
              <w:rPr>
                <w:rFonts w:ascii="Arial" w:cs="Arial" w:eastAsia="Arial" w:hAnsi="Arial"/>
                <w:sz w:val="16"/>
                <w:szCs w:val="16"/>
                <w:color w:val="auto"/>
              </w:rPr>
              <w:t>Initial recognition contracts</w:t>
            </w:r>
          </w:p>
        </w:tc>
        <w:tc>
          <w:tcPr>
            <w:tcW w:w="11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(102,195)</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9,628</w:t>
            </w: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123,461</w:t>
            </w:r>
          </w:p>
        </w:tc>
        <w:tc>
          <w:tcPr>
            <w:tcW w:w="92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30,894</w:t>
            </w:r>
          </w:p>
        </w:tc>
        <w:tc>
          <w:tcPr>
            <w:tcW w:w="1060" w:type="dxa"/>
            <w:vAlign w:val="bottom"/>
          </w:tcPr>
          <w:p>
            <w:pPr>
              <w:jc w:val="right"/>
              <w:spacing w:after="0" w:line="173" w:lineRule="exact"/>
              <w:rPr>
                <w:sz w:val="20"/>
                <w:szCs w:val="20"/>
                <w:color w:val="auto"/>
              </w:rPr>
            </w:pPr>
            <w:r>
              <w:rPr>
                <w:rFonts w:ascii="Arial" w:cs="Arial" w:eastAsia="Arial" w:hAnsi="Arial"/>
                <w:sz w:val="16"/>
                <w:szCs w:val="16"/>
                <w:color w:val="auto"/>
              </w:rPr>
              <w:t>(94,546)</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8,226</w:t>
            </w: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106,833</w:t>
            </w:r>
          </w:p>
        </w:tc>
        <w:tc>
          <w:tcPr>
            <w:tcW w:w="92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20,513</w:t>
            </w:r>
          </w:p>
        </w:tc>
        <w:tc>
          <w:tcPr>
            <w:tcW w:w="0" w:type="dxa"/>
            <w:vAlign w:val="bottom"/>
          </w:tcPr>
          <w:p>
            <w:pPr>
              <w:spacing w:after="0"/>
              <w:rPr>
                <w:sz w:val="1"/>
                <w:szCs w:val="1"/>
                <w:color w:val="auto"/>
              </w:rPr>
            </w:pPr>
          </w:p>
        </w:tc>
      </w:tr>
      <w:tr>
        <w:trPr>
          <w:trHeight w:val="147"/>
        </w:trPr>
        <w:tc>
          <w:tcPr>
            <w:tcW w:w="2100" w:type="dxa"/>
            <w:vAlign w:val="bottom"/>
          </w:tcPr>
          <w:p>
            <w:pPr>
              <w:spacing w:after="0" w:line="147" w:lineRule="exact"/>
              <w:rPr>
                <w:sz w:val="20"/>
                <w:szCs w:val="20"/>
                <w:color w:val="auto"/>
              </w:rPr>
            </w:pPr>
            <w:r>
              <w:rPr>
                <w:rFonts w:ascii="Arial" w:cs="Arial" w:eastAsia="Arial" w:hAnsi="Arial"/>
                <w:sz w:val="16"/>
                <w:szCs w:val="16"/>
                <w:b w:val="1"/>
                <w:bCs w:val="1"/>
                <w:color w:val="auto"/>
              </w:rPr>
              <w:t>Changes related to future</w:t>
            </w:r>
          </w:p>
        </w:tc>
        <w:tc>
          <w:tcPr>
            <w:tcW w:w="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line="177" w:lineRule="exact"/>
              <w:rPr>
                <w:sz w:val="20"/>
                <w:szCs w:val="20"/>
                <w:color w:val="auto"/>
              </w:rPr>
            </w:pPr>
            <w:r>
              <w:rPr>
                <w:rFonts w:ascii="Arial" w:cs="Arial" w:eastAsia="Arial" w:hAnsi="Arial"/>
                <w:sz w:val="16"/>
                <w:szCs w:val="16"/>
                <w:b w:val="1"/>
                <w:bCs w:val="1"/>
                <w:color w:val="auto"/>
              </w:rPr>
              <w:t>services</w:t>
            </w:r>
          </w:p>
        </w:tc>
        <w:tc>
          <w:tcPr>
            <w:tcW w:w="112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(130,809)</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13,388</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132,996</w:t>
            </w:r>
          </w:p>
        </w:tc>
        <w:tc>
          <w:tcPr>
            <w:tcW w:w="92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15,575</w:t>
            </w:r>
          </w:p>
        </w:tc>
        <w:tc>
          <w:tcPr>
            <w:tcW w:w="1060" w:type="dxa"/>
            <w:vAlign w:val="bottom"/>
          </w:tcPr>
          <w:p>
            <w:pPr>
              <w:jc w:val="right"/>
              <w:spacing w:after="0" w:line="177" w:lineRule="exact"/>
              <w:rPr>
                <w:sz w:val="20"/>
                <w:szCs w:val="20"/>
                <w:color w:val="auto"/>
              </w:rPr>
            </w:pPr>
            <w:r>
              <w:rPr>
                <w:rFonts w:ascii="Arial" w:cs="Arial" w:eastAsia="Arial" w:hAnsi="Arial"/>
                <w:sz w:val="16"/>
                <w:szCs w:val="16"/>
                <w:color w:val="auto"/>
              </w:rPr>
              <w:t>(39,419)</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(100,274)</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141,137</w:t>
            </w:r>
          </w:p>
        </w:tc>
        <w:tc>
          <w:tcPr>
            <w:tcW w:w="92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CSM recognized for services</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provided</w:t>
            </w:r>
          </w:p>
        </w:tc>
        <w:tc>
          <w:tcPr>
            <w:tcW w:w="6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(125,610)</w:t>
            </w: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(125,610)</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(128,639)</w:t>
            </w: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(128,639)</w:t>
            </w: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Changes in the risk</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w w:val="98"/>
              </w:rPr>
              <w:t>adjustment recognized for the</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expired risk</w:t>
            </w:r>
          </w:p>
        </w:tc>
        <w:tc>
          <w:tcPr>
            <w:tcW w:w="6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(20,039)</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(20,039)</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(22,759)</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(22,759)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00" w:type="dxa"/>
            <w:vAlign w:val="bottom"/>
          </w:tcPr>
          <w:p>
            <w:pPr>
              <w:spacing w:after="0" w:line="173" w:lineRule="exact"/>
              <w:rPr>
                <w:sz w:val="20"/>
                <w:szCs w:val="20"/>
                <w:color w:val="auto"/>
              </w:rPr>
            </w:pPr>
            <w:r>
              <w:rPr>
                <w:rFonts w:ascii="Arial" w:cs="Arial" w:eastAsia="Arial" w:hAnsi="Arial"/>
                <w:sz w:val="16"/>
                <w:szCs w:val="16"/>
                <w:color w:val="auto"/>
              </w:rPr>
              <w:t>Experience adjustments</w:t>
            </w:r>
          </w:p>
        </w:tc>
        <w:tc>
          <w:tcPr>
            <w:tcW w:w="11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829,682</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829,682</w:t>
            </w:r>
          </w:p>
        </w:tc>
        <w:tc>
          <w:tcPr>
            <w:tcW w:w="1060" w:type="dxa"/>
            <w:vAlign w:val="bottom"/>
          </w:tcPr>
          <w:p>
            <w:pPr>
              <w:jc w:val="right"/>
              <w:spacing w:after="0" w:line="173" w:lineRule="exact"/>
              <w:rPr>
                <w:sz w:val="20"/>
                <w:szCs w:val="20"/>
                <w:color w:val="auto"/>
              </w:rPr>
            </w:pPr>
            <w:r>
              <w:rPr>
                <w:rFonts w:ascii="Arial" w:cs="Arial" w:eastAsia="Arial" w:hAnsi="Arial"/>
                <w:sz w:val="16"/>
                <w:szCs w:val="16"/>
                <w:color w:val="auto"/>
              </w:rPr>
              <w:t>871,245</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5</w:t>
            </w: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174</w:t>
            </w:r>
          </w:p>
        </w:tc>
        <w:tc>
          <w:tcPr>
            <w:tcW w:w="840" w:type="dxa"/>
            <w:vAlign w:val="bottom"/>
          </w:tcPr>
          <w:p>
            <w:pPr>
              <w:jc w:val="right"/>
              <w:spacing w:after="0" w:line="173" w:lineRule="exact"/>
              <w:rPr>
                <w:sz w:val="20"/>
                <w:szCs w:val="20"/>
                <w:color w:val="auto"/>
              </w:rPr>
            </w:pPr>
            <w:r>
              <w:rPr>
                <w:rFonts w:ascii="Arial" w:cs="Arial" w:eastAsia="Arial" w:hAnsi="Arial"/>
                <w:sz w:val="16"/>
                <w:szCs w:val="16"/>
                <w:color w:val="auto"/>
              </w:rPr>
              <w:t>871,424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100" w:type="dxa"/>
            <w:vAlign w:val="bottom"/>
          </w:tcPr>
          <w:p>
            <w:pPr>
              <w:spacing w:after="0" w:line="147" w:lineRule="exact"/>
              <w:rPr>
                <w:sz w:val="20"/>
                <w:szCs w:val="20"/>
                <w:color w:val="auto"/>
              </w:rPr>
            </w:pPr>
            <w:r>
              <w:rPr>
                <w:rFonts w:ascii="Arial" w:cs="Arial" w:eastAsia="Arial" w:hAnsi="Arial"/>
                <w:sz w:val="16"/>
                <w:szCs w:val="16"/>
                <w:b w:val="1"/>
                <w:bCs w:val="1"/>
                <w:color w:val="auto"/>
              </w:rPr>
              <w:t>Changes related to current</w:t>
            </w:r>
          </w:p>
        </w:tc>
        <w:tc>
          <w:tcPr>
            <w:tcW w:w="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line="177" w:lineRule="exact"/>
              <w:rPr>
                <w:sz w:val="20"/>
                <w:szCs w:val="20"/>
                <w:color w:val="auto"/>
              </w:rPr>
            </w:pPr>
            <w:r>
              <w:rPr>
                <w:rFonts w:ascii="Arial" w:cs="Arial" w:eastAsia="Arial" w:hAnsi="Arial"/>
                <w:sz w:val="16"/>
                <w:szCs w:val="16"/>
                <w:b w:val="1"/>
                <w:bCs w:val="1"/>
                <w:color w:val="auto"/>
              </w:rPr>
              <w:t>services</w:t>
            </w:r>
          </w:p>
        </w:tc>
        <w:tc>
          <w:tcPr>
            <w:tcW w:w="112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829,682</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(20,039)</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(125,610)</w:t>
            </w:r>
          </w:p>
        </w:tc>
        <w:tc>
          <w:tcPr>
            <w:tcW w:w="92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684,033</w:t>
            </w:r>
          </w:p>
        </w:tc>
        <w:tc>
          <w:tcPr>
            <w:tcW w:w="1060" w:type="dxa"/>
            <w:vAlign w:val="bottom"/>
          </w:tcPr>
          <w:p>
            <w:pPr>
              <w:jc w:val="right"/>
              <w:spacing w:after="0" w:line="177" w:lineRule="exact"/>
              <w:rPr>
                <w:sz w:val="20"/>
                <w:szCs w:val="20"/>
                <w:color w:val="auto"/>
              </w:rPr>
            </w:pPr>
            <w:r>
              <w:rPr>
                <w:rFonts w:ascii="Arial" w:cs="Arial" w:eastAsia="Arial" w:hAnsi="Arial"/>
                <w:sz w:val="16"/>
                <w:szCs w:val="16"/>
                <w:color w:val="auto"/>
              </w:rPr>
              <w:t>871,245</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(22,754)</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(128,465)</w:t>
            </w:r>
          </w:p>
        </w:tc>
        <w:tc>
          <w:tcPr>
            <w:tcW w:w="840" w:type="dxa"/>
            <w:vAlign w:val="bottom"/>
          </w:tcPr>
          <w:p>
            <w:pPr>
              <w:jc w:val="right"/>
              <w:spacing w:after="0" w:line="177" w:lineRule="exact"/>
              <w:rPr>
                <w:sz w:val="20"/>
                <w:szCs w:val="20"/>
                <w:color w:val="auto"/>
              </w:rPr>
            </w:pPr>
            <w:r>
              <w:rPr>
                <w:rFonts w:ascii="Arial" w:cs="Arial" w:eastAsia="Arial" w:hAnsi="Arial"/>
                <w:sz w:val="16"/>
                <w:szCs w:val="16"/>
                <w:color w:val="auto"/>
              </w:rPr>
              <w:t>720,026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Adjustments to liabilities for</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00" w:type="dxa"/>
            <w:vAlign w:val="bottom"/>
          </w:tcPr>
          <w:p>
            <w:pPr>
              <w:spacing w:after="0" w:line="173" w:lineRule="exact"/>
              <w:rPr>
                <w:sz w:val="20"/>
                <w:szCs w:val="20"/>
                <w:color w:val="auto"/>
              </w:rPr>
            </w:pPr>
            <w:r>
              <w:rPr>
                <w:rFonts w:ascii="Arial" w:cs="Arial" w:eastAsia="Arial" w:hAnsi="Arial"/>
                <w:sz w:val="16"/>
                <w:szCs w:val="16"/>
                <w:color w:val="auto"/>
              </w:rPr>
              <w:t>incurred claims</w:t>
            </w:r>
          </w:p>
        </w:tc>
        <w:tc>
          <w:tcPr>
            <w:tcW w:w="11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(713,268)</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9,927</w:t>
            </w: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(703,341)</w:t>
            </w:r>
          </w:p>
        </w:tc>
        <w:tc>
          <w:tcPr>
            <w:tcW w:w="1060" w:type="dxa"/>
            <w:vAlign w:val="bottom"/>
          </w:tcPr>
          <w:p>
            <w:pPr>
              <w:jc w:val="right"/>
              <w:spacing w:after="0" w:line="173" w:lineRule="exact"/>
              <w:rPr>
                <w:sz w:val="20"/>
                <w:szCs w:val="20"/>
                <w:color w:val="auto"/>
              </w:rPr>
            </w:pPr>
            <w:r>
              <w:rPr>
                <w:rFonts w:ascii="Arial" w:cs="Arial" w:eastAsia="Arial" w:hAnsi="Arial"/>
                <w:sz w:val="16"/>
                <w:szCs w:val="16"/>
                <w:color w:val="auto"/>
              </w:rPr>
              <w:t>(764,140)</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9,443</w:t>
            </w: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(754,697)</w:t>
            </w:r>
          </w:p>
        </w:tc>
        <w:tc>
          <w:tcPr>
            <w:tcW w:w="0" w:type="dxa"/>
            <w:vAlign w:val="bottom"/>
          </w:tcPr>
          <w:p>
            <w:pPr>
              <w:spacing w:after="0"/>
              <w:rPr>
                <w:sz w:val="1"/>
                <w:szCs w:val="1"/>
                <w:color w:val="auto"/>
              </w:rPr>
            </w:pPr>
          </w:p>
        </w:tc>
      </w:tr>
      <w:tr>
        <w:trPr>
          <w:trHeight w:val="147"/>
        </w:trPr>
        <w:tc>
          <w:tcPr>
            <w:tcW w:w="2100" w:type="dxa"/>
            <w:vAlign w:val="bottom"/>
          </w:tcPr>
          <w:p>
            <w:pPr>
              <w:spacing w:after="0" w:line="147" w:lineRule="exact"/>
              <w:rPr>
                <w:sz w:val="20"/>
                <w:szCs w:val="20"/>
                <w:color w:val="auto"/>
              </w:rPr>
            </w:pPr>
            <w:r>
              <w:rPr>
                <w:rFonts w:ascii="Arial" w:cs="Arial" w:eastAsia="Arial" w:hAnsi="Arial"/>
                <w:sz w:val="16"/>
                <w:szCs w:val="16"/>
                <w:b w:val="1"/>
                <w:bCs w:val="1"/>
                <w:color w:val="auto"/>
              </w:rPr>
              <w:t>Result of the insurance</w:t>
            </w:r>
          </w:p>
        </w:tc>
        <w:tc>
          <w:tcPr>
            <w:tcW w:w="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line="177" w:lineRule="exact"/>
              <w:rPr>
                <w:sz w:val="20"/>
                <w:szCs w:val="20"/>
                <w:color w:val="auto"/>
              </w:rPr>
            </w:pPr>
            <w:r>
              <w:rPr>
                <w:rFonts w:ascii="Arial" w:cs="Arial" w:eastAsia="Arial" w:hAnsi="Arial"/>
                <w:sz w:val="16"/>
                <w:szCs w:val="16"/>
                <w:b w:val="1"/>
                <w:bCs w:val="1"/>
                <w:color w:val="auto"/>
              </w:rPr>
              <w:t>service</w:t>
            </w:r>
          </w:p>
        </w:tc>
        <w:tc>
          <w:tcPr>
            <w:tcW w:w="112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(14,395)</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3,276</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7,386</w:t>
            </w:r>
          </w:p>
        </w:tc>
        <w:tc>
          <w:tcPr>
            <w:tcW w:w="92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(3,733)</w:t>
            </w:r>
          </w:p>
        </w:tc>
        <w:tc>
          <w:tcPr>
            <w:tcW w:w="1060" w:type="dxa"/>
            <w:vAlign w:val="bottom"/>
          </w:tcPr>
          <w:p>
            <w:pPr>
              <w:jc w:val="right"/>
              <w:spacing w:after="0" w:line="177" w:lineRule="exact"/>
              <w:rPr>
                <w:sz w:val="20"/>
                <w:szCs w:val="20"/>
                <w:color w:val="auto"/>
              </w:rPr>
            </w:pPr>
            <w:r>
              <w:rPr>
                <w:rFonts w:ascii="Arial" w:cs="Arial" w:eastAsia="Arial" w:hAnsi="Arial"/>
                <w:sz w:val="16"/>
                <w:szCs w:val="16"/>
                <w:color w:val="auto"/>
              </w:rPr>
              <w:t>67,686</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(113,585)</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12,672</w:t>
            </w:r>
          </w:p>
        </w:tc>
        <w:tc>
          <w:tcPr>
            <w:tcW w:w="840" w:type="dxa"/>
            <w:vAlign w:val="bottom"/>
          </w:tcPr>
          <w:p>
            <w:pPr>
              <w:jc w:val="right"/>
              <w:spacing w:after="0" w:line="177" w:lineRule="exact"/>
              <w:rPr>
                <w:sz w:val="20"/>
                <w:szCs w:val="20"/>
                <w:color w:val="auto"/>
              </w:rPr>
            </w:pPr>
            <w:r>
              <w:rPr>
                <w:rFonts w:ascii="Arial" w:cs="Arial" w:eastAsia="Arial" w:hAnsi="Arial"/>
                <w:sz w:val="16"/>
                <w:szCs w:val="16"/>
                <w:color w:val="auto"/>
              </w:rPr>
              <w:t>(33,227)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Net financial expenses for</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00" w:type="dxa"/>
            <w:vAlign w:val="bottom"/>
          </w:tcPr>
          <w:p>
            <w:pPr>
              <w:spacing w:after="0" w:line="173" w:lineRule="exact"/>
              <w:rPr>
                <w:sz w:val="20"/>
                <w:szCs w:val="20"/>
                <w:color w:val="auto"/>
              </w:rPr>
            </w:pPr>
            <w:r>
              <w:rPr>
                <w:rFonts w:ascii="Arial" w:cs="Arial" w:eastAsia="Arial" w:hAnsi="Arial"/>
                <w:sz w:val="16"/>
                <w:szCs w:val="16"/>
                <w:color w:val="auto"/>
              </w:rPr>
              <w:t>insurance contracts</w:t>
            </w:r>
          </w:p>
        </w:tc>
        <w:tc>
          <w:tcPr>
            <w:tcW w:w="11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564,473</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3,896</w:t>
            </w: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45,118</w:t>
            </w:r>
          </w:p>
        </w:tc>
        <w:tc>
          <w:tcPr>
            <w:tcW w:w="92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613,487</w:t>
            </w:r>
          </w:p>
        </w:tc>
        <w:tc>
          <w:tcPr>
            <w:tcW w:w="1060" w:type="dxa"/>
            <w:vAlign w:val="bottom"/>
          </w:tcPr>
          <w:p>
            <w:pPr>
              <w:jc w:val="right"/>
              <w:spacing w:after="0" w:line="173" w:lineRule="exact"/>
              <w:rPr>
                <w:sz w:val="20"/>
                <w:szCs w:val="20"/>
                <w:color w:val="auto"/>
              </w:rPr>
            </w:pPr>
            <w:r>
              <w:rPr>
                <w:rFonts w:ascii="Arial" w:cs="Arial" w:eastAsia="Arial" w:hAnsi="Arial"/>
                <w:sz w:val="16"/>
                <w:szCs w:val="16"/>
                <w:color w:val="auto"/>
              </w:rPr>
              <w:t>1,140,937</w:t>
            </w:r>
          </w:p>
        </w:tc>
        <w:tc>
          <w:tcPr>
            <w:tcW w:w="920" w:type="dxa"/>
            <w:vAlign w:val="bottom"/>
          </w:tcPr>
          <w:p>
            <w:pPr>
              <w:jc w:val="right"/>
              <w:spacing w:after="0" w:line="173" w:lineRule="exact"/>
              <w:rPr>
                <w:sz w:val="20"/>
                <w:szCs w:val="20"/>
                <w:color w:val="auto"/>
              </w:rPr>
            </w:pPr>
            <w:r>
              <w:rPr>
                <w:rFonts w:ascii="Arial" w:cs="Arial" w:eastAsia="Arial" w:hAnsi="Arial"/>
                <w:sz w:val="16"/>
                <w:szCs w:val="16"/>
                <w:color w:val="auto"/>
              </w:rPr>
              <w:t>7,125</w:t>
            </w: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40,142</w:t>
            </w:r>
          </w:p>
        </w:tc>
        <w:tc>
          <w:tcPr>
            <w:tcW w:w="92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1,188,204</w:t>
            </w:r>
          </w:p>
        </w:tc>
        <w:tc>
          <w:tcPr>
            <w:tcW w:w="0" w:type="dxa"/>
            <w:vAlign w:val="bottom"/>
          </w:tcPr>
          <w:p>
            <w:pPr>
              <w:spacing w:after="0"/>
              <w:rPr>
                <w:sz w:val="1"/>
                <w:szCs w:val="1"/>
                <w:color w:val="auto"/>
              </w:rPr>
            </w:pPr>
          </w:p>
        </w:tc>
      </w:tr>
      <w:tr>
        <w:trPr>
          <w:trHeight w:val="147"/>
        </w:trPr>
        <w:tc>
          <w:tcPr>
            <w:tcW w:w="2100" w:type="dxa"/>
            <w:vAlign w:val="bottom"/>
          </w:tcPr>
          <w:p>
            <w:pPr>
              <w:spacing w:after="0" w:line="147" w:lineRule="exact"/>
              <w:rPr>
                <w:sz w:val="20"/>
                <w:szCs w:val="20"/>
                <w:color w:val="auto"/>
              </w:rPr>
            </w:pPr>
            <w:r>
              <w:rPr>
                <w:rFonts w:ascii="Arial" w:cs="Arial" w:eastAsia="Arial" w:hAnsi="Arial"/>
                <w:sz w:val="16"/>
                <w:szCs w:val="16"/>
                <w:b w:val="1"/>
                <w:bCs w:val="1"/>
                <w:color w:val="auto"/>
              </w:rPr>
              <w:t>Total changes in the</w:t>
            </w:r>
          </w:p>
        </w:tc>
        <w:tc>
          <w:tcPr>
            <w:tcW w:w="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b w:val="1"/>
                <w:bCs w:val="1"/>
                <w:color w:val="auto"/>
              </w:rPr>
              <w:t>consolidated income</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100" w:type="dxa"/>
            <w:vAlign w:val="bottom"/>
          </w:tcPr>
          <w:p>
            <w:pPr>
              <w:spacing w:after="0" w:line="177" w:lineRule="exact"/>
              <w:rPr>
                <w:sz w:val="20"/>
                <w:szCs w:val="20"/>
                <w:color w:val="auto"/>
              </w:rPr>
            </w:pPr>
            <w:r>
              <w:rPr>
                <w:rFonts w:ascii="Arial" w:cs="Arial" w:eastAsia="Arial" w:hAnsi="Arial"/>
                <w:sz w:val="16"/>
                <w:szCs w:val="16"/>
                <w:b w:val="1"/>
                <w:bCs w:val="1"/>
                <w:color w:val="auto"/>
              </w:rPr>
              <w:t>statement</w:t>
            </w:r>
          </w:p>
        </w:tc>
        <w:tc>
          <w:tcPr>
            <w:tcW w:w="112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550,078</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7,172</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52,504</w:t>
            </w:r>
          </w:p>
        </w:tc>
        <w:tc>
          <w:tcPr>
            <w:tcW w:w="92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609,754</w:t>
            </w:r>
          </w:p>
        </w:tc>
        <w:tc>
          <w:tcPr>
            <w:tcW w:w="1060" w:type="dxa"/>
            <w:vAlign w:val="bottom"/>
          </w:tcPr>
          <w:p>
            <w:pPr>
              <w:jc w:val="right"/>
              <w:spacing w:after="0" w:line="177" w:lineRule="exact"/>
              <w:rPr>
                <w:sz w:val="20"/>
                <w:szCs w:val="20"/>
                <w:color w:val="auto"/>
              </w:rPr>
            </w:pPr>
            <w:r>
              <w:rPr>
                <w:rFonts w:ascii="Arial" w:cs="Arial" w:eastAsia="Arial" w:hAnsi="Arial"/>
                <w:sz w:val="16"/>
                <w:szCs w:val="16"/>
                <w:color w:val="auto"/>
              </w:rPr>
              <w:t>1,208,623</w:t>
            </w: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(106,460)</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52,814</w:t>
            </w:r>
          </w:p>
        </w:tc>
        <w:tc>
          <w:tcPr>
            <w:tcW w:w="92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1,154,977</w:t>
            </w: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Other changes</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51,293</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1,414</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3,306</w:t>
            </w: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56,013</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(100,717)</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(3,484)</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(21,294)</w:t>
            </w: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(125,495)</w:t>
            </w: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Cash flow:</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line="175" w:lineRule="exact"/>
              <w:rPr>
                <w:sz w:val="20"/>
                <w:szCs w:val="20"/>
                <w:color w:val="auto"/>
              </w:rPr>
            </w:pPr>
            <w:r>
              <w:rPr>
                <w:rFonts w:ascii="Arial" w:cs="Arial" w:eastAsia="Arial" w:hAnsi="Arial"/>
                <w:sz w:val="16"/>
                <w:szCs w:val="16"/>
                <w:color w:val="auto"/>
              </w:rPr>
              <w:t>Premiums collected</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1,500,797</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1,500,797</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1,091,817</w:t>
            </w:r>
          </w:p>
        </w:tc>
        <w:tc>
          <w:tcPr>
            <w:tcW w:w="9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1,091,817</w:t>
            </w:r>
          </w:p>
        </w:tc>
        <w:tc>
          <w:tcPr>
            <w:tcW w:w="0" w:type="dxa"/>
            <w:vAlign w:val="bottom"/>
          </w:tcPr>
          <w:p>
            <w:pPr>
              <w:spacing w:after="0"/>
              <w:rPr>
                <w:sz w:val="1"/>
                <w:szCs w:val="1"/>
                <w:color w:val="auto"/>
              </w:rPr>
            </w:pPr>
          </w:p>
        </w:tc>
      </w:tr>
      <w:tr>
        <w:trPr>
          <w:trHeight w:val="187"/>
        </w:trPr>
        <w:tc>
          <w:tcPr>
            <w:tcW w:w="2100" w:type="dxa"/>
            <w:vAlign w:val="bottom"/>
          </w:tcPr>
          <w:p>
            <w:pPr>
              <w:spacing w:after="0"/>
              <w:rPr>
                <w:sz w:val="20"/>
                <w:szCs w:val="20"/>
                <w:color w:val="auto"/>
              </w:rPr>
            </w:pPr>
            <w:r>
              <w:rPr>
                <w:rFonts w:ascii="Arial" w:cs="Arial" w:eastAsia="Arial" w:hAnsi="Arial"/>
                <w:sz w:val="16"/>
                <w:szCs w:val="16"/>
                <w:color w:val="auto"/>
              </w:rPr>
              <w:t>Benefits and expenses paid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(1,077,186)</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(1,077,186)</w:t>
            </w:r>
          </w:p>
        </w:tc>
        <w:tc>
          <w:tcPr>
            <w:tcW w:w="1060" w:type="dxa"/>
            <w:vAlign w:val="bottom"/>
          </w:tcPr>
          <w:p>
            <w:pPr>
              <w:jc w:val="right"/>
              <w:spacing w:after="0"/>
              <w:rPr>
                <w:sz w:val="20"/>
                <w:szCs w:val="20"/>
                <w:color w:val="auto"/>
              </w:rPr>
            </w:pPr>
            <w:r>
              <w:rPr>
                <w:rFonts w:ascii="Arial" w:cs="Arial" w:eastAsia="Arial" w:hAnsi="Arial"/>
                <w:sz w:val="16"/>
                <w:szCs w:val="16"/>
                <w:color w:val="auto"/>
              </w:rPr>
              <w:t>(1,085,630)</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(1,085,630)</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20"/>
                <w:szCs w:val="20"/>
                <w:color w:val="auto"/>
              </w:rPr>
            </w:pPr>
            <w:r>
              <w:rPr>
                <w:rFonts w:ascii="Arial" w:cs="Arial" w:eastAsia="Arial" w:hAnsi="Arial"/>
                <w:sz w:val="16"/>
                <w:szCs w:val="16"/>
                <w:color w:val="auto"/>
              </w:rPr>
              <w:t>Acquisition fees paid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(80,588)</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(80,588)</w:t>
            </w:r>
          </w:p>
        </w:tc>
        <w:tc>
          <w:tcPr>
            <w:tcW w:w="1060" w:type="dxa"/>
            <w:vAlign w:val="bottom"/>
          </w:tcPr>
          <w:p>
            <w:pPr>
              <w:jc w:val="right"/>
              <w:spacing w:after="0"/>
              <w:rPr>
                <w:sz w:val="20"/>
                <w:szCs w:val="20"/>
                <w:color w:val="auto"/>
              </w:rPr>
            </w:pPr>
            <w:r>
              <w:rPr>
                <w:rFonts w:ascii="Arial" w:cs="Arial" w:eastAsia="Arial" w:hAnsi="Arial"/>
                <w:sz w:val="16"/>
                <w:szCs w:val="16"/>
                <w:color w:val="auto"/>
              </w:rPr>
              <w:t>(80,474)</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16,484</w:t>
            </w:r>
          </w:p>
        </w:tc>
        <w:tc>
          <w:tcPr>
            <w:tcW w:w="840" w:type="dxa"/>
            <w:vAlign w:val="bottom"/>
          </w:tcPr>
          <w:p>
            <w:pPr>
              <w:jc w:val="right"/>
              <w:spacing w:after="0"/>
              <w:rPr>
                <w:sz w:val="20"/>
                <w:szCs w:val="20"/>
                <w:color w:val="auto"/>
              </w:rPr>
            </w:pPr>
            <w:r>
              <w:rPr>
                <w:rFonts w:ascii="Arial" w:cs="Arial" w:eastAsia="Arial" w:hAnsi="Arial"/>
                <w:sz w:val="16"/>
                <w:szCs w:val="16"/>
                <w:color w:val="auto"/>
              </w:rPr>
              <w:t>(63,990)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100" w:type="dxa"/>
            <w:vAlign w:val="bottom"/>
          </w:tcPr>
          <w:p>
            <w:pPr>
              <w:spacing w:after="0" w:line="161" w:lineRule="exact"/>
              <w:rPr>
                <w:sz w:val="20"/>
                <w:szCs w:val="20"/>
                <w:color w:val="auto"/>
              </w:rPr>
            </w:pPr>
            <w:r>
              <w:rPr>
                <w:rFonts w:ascii="Arial" w:cs="Arial" w:eastAsia="Arial" w:hAnsi="Arial"/>
                <w:sz w:val="16"/>
                <w:szCs w:val="16"/>
                <w:b w:val="1"/>
                <w:bCs w:val="1"/>
                <w:color w:val="auto"/>
              </w:rPr>
              <w:t>Net cash flow</w:t>
            </w:r>
          </w:p>
        </w:tc>
        <w:tc>
          <w:tcPr>
            <w:tcW w:w="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343,023</w:t>
            </w: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343,023</w:t>
            </w:r>
          </w:p>
        </w:tc>
        <w:tc>
          <w:tcPr>
            <w:tcW w:w="8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(74,287)</w:t>
            </w: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16,484</w:t>
            </w:r>
          </w:p>
        </w:tc>
        <w:tc>
          <w:tcPr>
            <w:tcW w:w="8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6"/>
                <w:szCs w:val="16"/>
                <w:color w:val="auto"/>
              </w:rPr>
              <w:t>(57,803)</w:t>
            </w: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100" w:type="dxa"/>
            <w:vAlign w:val="bottom"/>
          </w:tcPr>
          <w:p>
            <w:pPr>
              <w:spacing w:after="0" w:line="147" w:lineRule="exact"/>
              <w:rPr>
                <w:sz w:val="20"/>
                <w:szCs w:val="20"/>
                <w:color w:val="auto"/>
              </w:rPr>
            </w:pPr>
            <w:r>
              <w:rPr>
                <w:rFonts w:ascii="Arial" w:cs="Arial" w:eastAsia="Arial" w:hAnsi="Arial"/>
                <w:sz w:val="16"/>
                <w:szCs w:val="16"/>
                <w:b w:val="1"/>
                <w:bCs w:val="1"/>
                <w:color w:val="auto"/>
              </w:rPr>
              <w:t>Balances at the end of the</w:t>
            </w:r>
          </w:p>
        </w:tc>
        <w:tc>
          <w:tcPr>
            <w:tcW w:w="60" w:type="dxa"/>
            <w:vAlign w:val="bottom"/>
            <w:vMerge w:val="restart"/>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9,164,961</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152,793</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1,258,050</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10,575,804</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8,220,567</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144,207</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1,202,240</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9,567,014</w:t>
            </w:r>
          </w:p>
        </w:tc>
        <w:tc>
          <w:tcPr>
            <w:tcW w:w="0" w:type="dxa"/>
            <w:vAlign w:val="bottom"/>
          </w:tcPr>
          <w:p>
            <w:pPr>
              <w:spacing w:after="0"/>
              <w:rPr>
                <w:sz w:val="1"/>
                <w:szCs w:val="1"/>
                <w:color w:val="auto"/>
              </w:rPr>
            </w:pPr>
          </w:p>
        </w:tc>
      </w:tr>
      <w:tr>
        <w:trPr>
          <w:trHeight w:val="180"/>
        </w:trPr>
        <w:tc>
          <w:tcPr>
            <w:tcW w:w="2100" w:type="dxa"/>
            <w:vAlign w:val="bottom"/>
          </w:tcPr>
          <w:p>
            <w:pPr>
              <w:spacing w:after="0" w:line="180" w:lineRule="exact"/>
              <w:rPr>
                <w:sz w:val="20"/>
                <w:szCs w:val="20"/>
                <w:color w:val="auto"/>
              </w:rPr>
            </w:pPr>
            <w:r>
              <w:rPr>
                <w:rFonts w:ascii="Arial" w:cs="Arial" w:eastAsia="Arial" w:hAnsi="Arial"/>
                <w:sz w:val="16"/>
                <w:szCs w:val="16"/>
                <w:b w:val="1"/>
                <w:bCs w:val="1"/>
                <w:color w:val="auto"/>
              </w:rPr>
              <w:t>period</w:t>
            </w:r>
          </w:p>
        </w:tc>
        <w:tc>
          <w:tcPr>
            <w:tcW w:w="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20" w:right="460"/>
        <w:spacing w:after="0" w:line="255" w:lineRule="auto"/>
        <w:rPr>
          <w:sz w:val="20"/>
          <w:szCs w:val="20"/>
          <w:color w:val="auto"/>
        </w:rPr>
      </w:pPr>
      <w:r>
        <w:rPr>
          <w:rFonts w:ascii="Arial" w:cs="Arial" w:eastAsia="Arial" w:hAnsi="Arial"/>
          <w:sz w:val="16"/>
          <w:szCs w:val="16"/>
          <w:color w:val="auto"/>
        </w:rPr>
        <w:t>As of December 31, 2024, the insurance contract liabilities measured under the general model is S/9,536.8 million (as of December 31, 2023, S/8,696.9 million) and the variable fee approach (VFA) is S/1,039.0 million (as of December, 2023, S/870.1 million).</w:t>
      </w:r>
    </w:p>
    <w:p>
      <w:pPr>
        <w:spacing w:after="0" w:line="134" w:lineRule="exact"/>
        <w:rPr>
          <w:sz w:val="20"/>
          <w:szCs w:val="20"/>
          <w:color w:val="auto"/>
        </w:rPr>
      </w:pPr>
    </w:p>
    <w:p>
      <w:pPr>
        <w:ind w:left="320"/>
        <w:spacing w:after="0" w:line="255" w:lineRule="auto"/>
        <w:rPr>
          <w:sz w:val="20"/>
          <w:szCs w:val="20"/>
          <w:color w:val="auto"/>
        </w:rPr>
      </w:pPr>
      <w:r>
        <w:rPr>
          <w:rFonts w:ascii="Arial" w:cs="Arial" w:eastAsia="Arial" w:hAnsi="Arial"/>
          <w:sz w:val="16"/>
          <w:szCs w:val="16"/>
          <w:color w:val="auto"/>
        </w:rPr>
        <w:t>As of December 31, 2024, the contractual service margin of insurance contracts that existed at the transition date to which the entity has applied the fair value approach totals approximately S/794.9 million, see Note 22 (f).</w:t>
      </w:r>
    </w:p>
    <w:p>
      <w:pPr>
        <w:spacing w:after="0" w:line="281"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480"/>
          </w:cols>
          <w:pgMar w:left="880" w:top="124" w:right="539" w:bottom="1440" w:gutter="0" w:footer="0" w:header="0"/>
        </w:sectPr>
      </w:pPr>
    </w:p>
    <w:bookmarkStart w:id="78" w:name="page79"/>
    <w:bookmarkEnd w:id="78"/>
    <w:p>
      <w:pPr>
        <w:ind w:left="567" w:hanging="567"/>
        <w:spacing w:after="0"/>
        <w:tabs>
          <w:tab w:leader="none" w:pos="567"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PROPERTY, FURNITURE AND EQUIPMENT, NET</w:t>
      </w:r>
    </w:p>
    <w:p>
      <w:pPr>
        <w:spacing w:after="0" w:line="167" w:lineRule="exact"/>
        <w:rPr>
          <w:sz w:val="20"/>
          <w:szCs w:val="20"/>
          <w:color w:val="auto"/>
        </w:rPr>
      </w:pPr>
    </w:p>
    <w:p>
      <w:pPr>
        <w:ind w:left="847" w:right="300" w:hanging="286"/>
        <w:spacing w:after="0" w:line="255" w:lineRule="auto"/>
        <w:tabs>
          <w:tab w:leader="none" w:pos="8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composition of property, furniture and equipment and accumulated depreciation, for the years ended December 31, 2024, 2023, and 2022 is as follows:</w:t>
      </w:r>
    </w:p>
    <w:p>
      <w:pPr>
        <w:spacing w:after="0" w:line="141" w:lineRule="exact"/>
        <w:rPr>
          <w:sz w:val="20"/>
          <w:szCs w:val="20"/>
          <w:color w:val="auto"/>
        </w:rPr>
      </w:pPr>
    </w:p>
    <w:tbl>
      <w:tblPr>
        <w:tblLayout w:type="fixed"/>
        <w:tblInd w:w="2587" w:type="dxa"/>
        <w:tblCellMar>
          <w:top w:w="0" w:type="dxa"/>
          <w:left w:w="0" w:type="dxa"/>
          <w:bottom w:w="0" w:type="dxa"/>
          <w:right w:w="0" w:type="dxa"/>
        </w:tblCellMar>
      </w:tblPr>
      <w:tr>
        <w:trPr>
          <w:trHeight w:val="140"/>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Buildings and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Vehicles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0"/>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other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Furniture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Computer</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Work in</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Land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constructions</w:t>
            </w:r>
          </w:p>
        </w:tc>
        <w:tc>
          <w:tcPr>
            <w:tcW w:w="920" w:type="dxa"/>
            <w:vAlign w:val="bottom"/>
            <w:gridSpan w:val="3"/>
          </w:tcPr>
          <w:p>
            <w:pPr>
              <w:ind w:left="80"/>
              <w:spacing w:after="0"/>
              <w:rPr>
                <w:sz w:val="20"/>
                <w:szCs w:val="20"/>
                <w:color w:val="auto"/>
              </w:rPr>
            </w:pPr>
            <w:r>
              <w:rPr>
                <w:rFonts w:ascii="Arial" w:cs="Arial" w:eastAsia="Arial" w:hAnsi="Arial"/>
                <w:sz w:val="12"/>
                <w:szCs w:val="12"/>
                <w:b w:val="1"/>
                <w:bCs w:val="1"/>
                <w:color w:val="auto"/>
              </w:rPr>
              <w:t>Installations</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fixtures</w:t>
            </w:r>
          </w:p>
        </w:tc>
        <w:tc>
          <w:tcPr>
            <w:tcW w:w="700" w:type="dxa"/>
            <w:vAlign w:val="bottom"/>
          </w:tcPr>
          <w:p>
            <w:pPr>
              <w:spacing w:after="0"/>
              <w:rPr>
                <w:sz w:val="20"/>
                <w:szCs w:val="20"/>
                <w:color w:val="auto"/>
              </w:rPr>
            </w:pPr>
            <w:r>
              <w:rPr>
                <w:rFonts w:ascii="Arial" w:cs="Arial" w:eastAsia="Arial" w:hAnsi="Arial"/>
                <w:sz w:val="12"/>
                <w:szCs w:val="12"/>
                <w:b w:val="1"/>
                <w:bCs w:val="1"/>
                <w:color w:val="auto"/>
              </w:rPr>
              <w:t>hardware</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equipment</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progress</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2022</w:t>
            </w:r>
          </w:p>
        </w:tc>
      </w:tr>
      <w:tr>
        <w:trPr>
          <w:trHeight w:val="136"/>
        </w:trPr>
        <w:tc>
          <w:tcPr>
            <w:tcW w:w="70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r>
    </w:tbl>
    <w:p>
      <w:pPr>
        <w:spacing w:after="0" w:line="1" w:lineRule="exact"/>
        <w:rPr>
          <w:sz w:val="20"/>
          <w:szCs w:val="20"/>
          <w:color w:val="auto"/>
        </w:rPr>
      </w:pPr>
    </w:p>
    <w:tbl>
      <w:tblPr>
        <w:tblLayout w:type="fixed"/>
        <w:tblInd w:w="847" w:type="dxa"/>
        <w:tblCellMar>
          <w:top w:w="0" w:type="dxa"/>
          <w:left w:w="0" w:type="dxa"/>
          <w:bottom w:w="0" w:type="dxa"/>
          <w:right w:w="0" w:type="dxa"/>
        </w:tblCellMar>
      </w:tblPr>
      <w:tr>
        <w:trPr>
          <w:trHeight w:val="128"/>
        </w:trPr>
        <w:tc>
          <w:tcPr>
            <w:tcW w:w="1740" w:type="dxa"/>
            <w:vAlign w:val="bottom"/>
          </w:tcPr>
          <w:p>
            <w:pPr>
              <w:spacing w:after="0" w:line="128" w:lineRule="exact"/>
              <w:rPr>
                <w:sz w:val="20"/>
                <w:szCs w:val="20"/>
                <w:color w:val="auto"/>
              </w:rPr>
            </w:pPr>
            <w:r>
              <w:rPr>
                <w:rFonts w:ascii="Arial" w:cs="Arial" w:eastAsia="Arial" w:hAnsi="Arial"/>
                <w:sz w:val="12"/>
                <w:szCs w:val="12"/>
                <w:b w:val="1"/>
                <w:bCs w:val="1"/>
                <w:color w:val="auto"/>
              </w:rPr>
              <w:t>Cost -</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b w:val="1"/>
                <w:bCs w:val="1"/>
                <w:color w:val="auto"/>
              </w:rPr>
              <w:t>Balance as of January 1</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327,113</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1,140,644</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779,481</w:t>
            </w:r>
          </w:p>
        </w:tc>
        <w:tc>
          <w:tcPr>
            <w:tcW w:w="820" w:type="dxa"/>
            <w:vAlign w:val="bottom"/>
          </w:tcPr>
          <w:p>
            <w:pPr>
              <w:jc w:val="right"/>
              <w:spacing w:after="0"/>
              <w:rPr>
                <w:sz w:val="20"/>
                <w:szCs w:val="20"/>
                <w:color w:val="auto"/>
              </w:rPr>
            </w:pPr>
            <w:r>
              <w:rPr>
                <w:rFonts w:ascii="Arial" w:cs="Arial" w:eastAsia="Arial" w:hAnsi="Arial"/>
                <w:sz w:val="12"/>
                <w:szCs w:val="12"/>
                <w:color w:val="auto"/>
              </w:rPr>
              <w:t>485,787</w:t>
            </w: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614,211</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107,795</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117,255</w:t>
            </w:r>
          </w:p>
        </w:tc>
        <w:tc>
          <w:tcPr>
            <w:tcW w:w="720" w:type="dxa"/>
            <w:vAlign w:val="bottom"/>
          </w:tcPr>
          <w:p>
            <w:pPr>
              <w:jc w:val="right"/>
              <w:spacing w:after="0"/>
              <w:rPr>
                <w:sz w:val="20"/>
                <w:szCs w:val="20"/>
                <w:color w:val="auto"/>
              </w:rPr>
            </w:pPr>
            <w:r>
              <w:rPr>
                <w:rFonts w:ascii="Arial" w:cs="Arial" w:eastAsia="Arial" w:hAnsi="Arial"/>
                <w:sz w:val="12"/>
                <w:szCs w:val="12"/>
                <w:color w:val="auto"/>
              </w:rPr>
              <w:t>3,572,286</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3,463,196</w:t>
            </w:r>
          </w:p>
        </w:tc>
        <w:tc>
          <w:tcPr>
            <w:tcW w:w="720" w:type="dxa"/>
            <w:vAlign w:val="bottom"/>
          </w:tcPr>
          <w:p>
            <w:pPr>
              <w:jc w:val="right"/>
              <w:spacing w:after="0"/>
              <w:rPr>
                <w:sz w:val="20"/>
                <w:szCs w:val="20"/>
                <w:color w:val="auto"/>
              </w:rPr>
            </w:pPr>
            <w:r>
              <w:rPr>
                <w:rFonts w:ascii="Arial" w:cs="Arial" w:eastAsia="Arial" w:hAnsi="Arial"/>
                <w:sz w:val="12"/>
                <w:szCs w:val="12"/>
                <w:color w:val="auto"/>
              </w:rPr>
              <w:t>3,500,890</w:t>
            </w: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Additions</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58,536</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66,580</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49,478</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62,819</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699</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72,032</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310,144</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322,371</w:t>
            </w:r>
          </w:p>
        </w:tc>
        <w:tc>
          <w:tcPr>
            <w:tcW w:w="720" w:type="dxa"/>
            <w:vAlign w:val="bottom"/>
          </w:tcPr>
          <w:p>
            <w:pPr>
              <w:jc w:val="right"/>
              <w:spacing w:after="0"/>
              <w:rPr>
                <w:sz w:val="20"/>
                <w:szCs w:val="20"/>
                <w:color w:val="auto"/>
              </w:rPr>
            </w:pPr>
            <w:r>
              <w:rPr>
                <w:rFonts w:ascii="Arial" w:cs="Arial" w:eastAsia="Arial" w:hAnsi="Arial"/>
                <w:sz w:val="12"/>
                <w:szCs w:val="12"/>
                <w:color w:val="auto"/>
              </w:rPr>
              <w:t>192,700</w:t>
            </w: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Acquisition of business</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455</w:t>
            </w:r>
          </w:p>
        </w:tc>
        <w:tc>
          <w:tcPr>
            <w:tcW w:w="720" w:type="dxa"/>
            <w:vAlign w:val="bottom"/>
          </w:tcPr>
          <w:p>
            <w:pPr>
              <w:jc w:val="right"/>
              <w:spacing w:after="0"/>
              <w:rPr>
                <w:sz w:val="20"/>
                <w:szCs w:val="20"/>
                <w:color w:val="auto"/>
              </w:rPr>
            </w:pPr>
            <w:r>
              <w:rPr>
                <w:rFonts w:ascii="Arial" w:cs="Arial" w:eastAsia="Arial" w:hAnsi="Arial"/>
                <w:sz w:val="12"/>
                <w:szCs w:val="12"/>
                <w:color w:val="auto"/>
              </w:rPr>
              <w:t>419</w:t>
            </w: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Transfers</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35,210</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1,151</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40,987</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1,252</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(78,600)</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1740" w:type="dxa"/>
            <w:vAlign w:val="bottom"/>
          </w:tcPr>
          <w:p>
            <w:pPr>
              <w:spacing w:after="0"/>
              <w:rPr>
                <w:sz w:val="20"/>
                <w:szCs w:val="20"/>
                <w:color w:val="auto"/>
              </w:rPr>
            </w:pPr>
            <w:r>
              <w:rPr>
                <w:rFonts w:ascii="Arial" w:cs="Arial" w:eastAsia="Arial" w:hAnsi="Arial"/>
                <w:sz w:val="12"/>
                <w:szCs w:val="12"/>
                <w:color w:val="auto"/>
              </w:rPr>
              <w:t>Disposals and others</w:t>
            </w:r>
          </w:p>
        </w:tc>
        <w:tc>
          <w:tcPr>
            <w:tcW w:w="700" w:type="dxa"/>
            <w:vAlign w:val="bottom"/>
          </w:tcPr>
          <w:p>
            <w:pPr>
              <w:jc w:val="right"/>
              <w:spacing w:after="0"/>
              <w:rPr>
                <w:sz w:val="20"/>
                <w:szCs w:val="20"/>
                <w:color w:val="auto"/>
              </w:rPr>
            </w:pPr>
            <w:r>
              <w:rPr>
                <w:rFonts w:ascii="Arial" w:cs="Arial" w:eastAsia="Arial" w:hAnsi="Arial"/>
                <w:sz w:val="12"/>
                <w:szCs w:val="12"/>
                <w:color w:val="auto"/>
              </w:rPr>
              <w:t>(32,959)</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(24,373)</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(11,422)</w:t>
            </w:r>
          </w:p>
        </w:tc>
        <w:tc>
          <w:tcPr>
            <w:tcW w:w="820" w:type="dxa"/>
            <w:vAlign w:val="bottom"/>
          </w:tcPr>
          <w:p>
            <w:pPr>
              <w:jc w:val="right"/>
              <w:spacing w:after="0"/>
              <w:rPr>
                <w:sz w:val="20"/>
                <w:szCs w:val="20"/>
                <w:color w:val="auto"/>
              </w:rPr>
            </w:pPr>
            <w:r>
              <w:rPr>
                <w:rFonts w:ascii="Arial" w:cs="Arial" w:eastAsia="Arial" w:hAnsi="Arial"/>
                <w:sz w:val="12"/>
                <w:szCs w:val="12"/>
                <w:color w:val="auto"/>
              </w:rPr>
              <w:t>(30,649)</w:t>
            </w: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(57,180)</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(3,703)</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(19,670)</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(179,956)</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(213,736)</w:t>
            </w:r>
          </w:p>
        </w:tc>
        <w:tc>
          <w:tcPr>
            <w:tcW w:w="720" w:type="dxa"/>
            <w:vAlign w:val="bottom"/>
          </w:tcPr>
          <w:p>
            <w:pPr>
              <w:jc w:val="right"/>
              <w:spacing w:after="0"/>
              <w:rPr>
                <w:sz w:val="20"/>
                <w:szCs w:val="20"/>
                <w:color w:val="auto"/>
              </w:rPr>
            </w:pPr>
            <w:r>
              <w:rPr>
                <w:rFonts w:ascii="Arial" w:cs="Arial" w:eastAsia="Arial" w:hAnsi="Arial"/>
                <w:sz w:val="12"/>
                <w:szCs w:val="12"/>
                <w:color w:val="auto"/>
              </w:rPr>
              <w:t>(230,813)</w:t>
            </w:r>
          </w:p>
        </w:tc>
      </w:tr>
      <w:tr>
        <w:trPr>
          <w:trHeight w:val="132"/>
        </w:trPr>
        <w:tc>
          <w:tcPr>
            <w:tcW w:w="1740" w:type="dxa"/>
            <w:vAlign w:val="bottom"/>
          </w:tcPr>
          <w:p>
            <w:pPr>
              <w:spacing w:after="0" w:line="132" w:lineRule="exact"/>
              <w:rPr>
                <w:sz w:val="20"/>
                <w:szCs w:val="20"/>
                <w:color w:val="auto"/>
              </w:rPr>
            </w:pPr>
            <w:r>
              <w:rPr>
                <w:rFonts w:ascii="Arial" w:cs="Arial" w:eastAsia="Arial" w:hAnsi="Arial"/>
                <w:sz w:val="12"/>
                <w:szCs w:val="12"/>
                <w:b w:val="1"/>
                <w:bCs w:val="1"/>
                <w:color w:val="auto"/>
              </w:rPr>
              <w:t>Balance as of December 31</w:t>
            </w: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294,154</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1,174,807</w:t>
            </w:r>
          </w:p>
        </w:tc>
        <w:tc>
          <w:tcPr>
            <w:tcW w:w="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869,849</w:t>
            </w:r>
          </w:p>
        </w:tc>
        <w:tc>
          <w:tcPr>
            <w:tcW w:w="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505,767</w:t>
            </w: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660,837</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106,043</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91,017</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3,702,474</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3,572,286</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3,463,196</w:t>
            </w:r>
          </w:p>
        </w:tc>
      </w:tr>
      <w:tr>
        <w:trPr>
          <w:trHeight w:val="264"/>
        </w:trPr>
        <w:tc>
          <w:tcPr>
            <w:tcW w:w="1740" w:type="dxa"/>
            <w:vAlign w:val="bottom"/>
          </w:tcPr>
          <w:p>
            <w:pPr>
              <w:spacing w:after="0"/>
              <w:rPr>
                <w:sz w:val="20"/>
                <w:szCs w:val="20"/>
                <w:color w:val="auto"/>
              </w:rPr>
            </w:pPr>
            <w:r>
              <w:rPr>
                <w:rFonts w:ascii="Arial" w:cs="Arial" w:eastAsia="Arial" w:hAnsi="Arial"/>
                <w:sz w:val="12"/>
                <w:szCs w:val="12"/>
                <w:b w:val="1"/>
                <w:bCs w:val="1"/>
                <w:color w:val="auto"/>
              </w:rPr>
              <w:t>Accumulated depreciation -</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40"/>
        </w:trPr>
        <w:tc>
          <w:tcPr>
            <w:tcW w:w="1740" w:type="dxa"/>
            <w:vAlign w:val="bottom"/>
          </w:tcPr>
          <w:p>
            <w:pPr>
              <w:spacing w:after="0"/>
              <w:rPr>
                <w:sz w:val="20"/>
                <w:szCs w:val="20"/>
                <w:color w:val="auto"/>
              </w:rPr>
            </w:pPr>
            <w:r>
              <w:rPr>
                <w:rFonts w:ascii="Arial" w:cs="Arial" w:eastAsia="Arial" w:hAnsi="Arial"/>
                <w:sz w:val="12"/>
                <w:szCs w:val="12"/>
                <w:b w:val="1"/>
                <w:bCs w:val="1"/>
                <w:color w:val="auto"/>
              </w:rPr>
              <w:t>Balance as of January 1</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744,686</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571,056</w:t>
            </w:r>
          </w:p>
        </w:tc>
        <w:tc>
          <w:tcPr>
            <w:tcW w:w="820" w:type="dxa"/>
            <w:vAlign w:val="bottom"/>
          </w:tcPr>
          <w:p>
            <w:pPr>
              <w:jc w:val="right"/>
              <w:spacing w:after="0"/>
              <w:rPr>
                <w:sz w:val="20"/>
                <w:szCs w:val="20"/>
                <w:color w:val="auto"/>
              </w:rPr>
            </w:pPr>
            <w:r>
              <w:rPr>
                <w:rFonts w:ascii="Arial" w:cs="Arial" w:eastAsia="Arial" w:hAnsi="Arial"/>
                <w:sz w:val="12"/>
                <w:szCs w:val="12"/>
                <w:color w:val="auto"/>
              </w:rPr>
              <w:t>327,846</w:t>
            </w: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480,974</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90,199</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2,214,761</w:t>
            </w: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2,182,098</w:t>
            </w:r>
          </w:p>
        </w:tc>
        <w:tc>
          <w:tcPr>
            <w:tcW w:w="720" w:type="dxa"/>
            <w:vAlign w:val="bottom"/>
          </w:tcPr>
          <w:p>
            <w:pPr>
              <w:jc w:val="right"/>
              <w:spacing w:after="0"/>
              <w:rPr>
                <w:sz w:val="20"/>
                <w:szCs w:val="20"/>
                <w:color w:val="auto"/>
              </w:rPr>
            </w:pPr>
            <w:r>
              <w:rPr>
                <w:rFonts w:ascii="Arial" w:cs="Arial" w:eastAsia="Arial" w:hAnsi="Arial"/>
                <w:sz w:val="12"/>
                <w:szCs w:val="12"/>
                <w:color w:val="auto"/>
              </w:rPr>
              <w:t>2,192,111</w:t>
            </w: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Depreciation of the period</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23,612</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38,855</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28,924</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57,585</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4,555</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153,531</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129,108</w:t>
            </w:r>
          </w:p>
        </w:tc>
        <w:tc>
          <w:tcPr>
            <w:tcW w:w="720" w:type="dxa"/>
            <w:vAlign w:val="bottom"/>
          </w:tcPr>
          <w:p>
            <w:pPr>
              <w:jc w:val="right"/>
              <w:spacing w:after="0"/>
              <w:rPr>
                <w:sz w:val="20"/>
                <w:szCs w:val="20"/>
                <w:color w:val="auto"/>
              </w:rPr>
            </w:pPr>
            <w:r>
              <w:rPr>
                <w:rFonts w:ascii="Arial" w:cs="Arial" w:eastAsia="Arial" w:hAnsi="Arial"/>
                <w:sz w:val="12"/>
                <w:szCs w:val="12"/>
                <w:color w:val="auto"/>
              </w:rPr>
              <w:t>128,443</w:t>
            </w:r>
          </w:p>
        </w:tc>
      </w:tr>
      <w:tr>
        <w:trPr>
          <w:trHeight w:val="140"/>
        </w:trPr>
        <w:tc>
          <w:tcPr>
            <w:tcW w:w="1740" w:type="dxa"/>
            <w:vAlign w:val="bottom"/>
          </w:tcPr>
          <w:p>
            <w:pPr>
              <w:spacing w:after="0"/>
              <w:rPr>
                <w:sz w:val="20"/>
                <w:szCs w:val="20"/>
                <w:color w:val="auto"/>
              </w:rPr>
            </w:pPr>
            <w:r>
              <w:rPr>
                <w:rFonts w:ascii="Arial" w:cs="Arial" w:eastAsia="Arial" w:hAnsi="Arial"/>
                <w:sz w:val="12"/>
                <w:szCs w:val="12"/>
                <w:color w:val="auto"/>
              </w:rPr>
              <w:t>Acquisition of business</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48"/>
        </w:trPr>
        <w:tc>
          <w:tcPr>
            <w:tcW w:w="1740" w:type="dxa"/>
            <w:vAlign w:val="bottom"/>
          </w:tcPr>
          <w:p>
            <w:pPr>
              <w:spacing w:after="0"/>
              <w:rPr>
                <w:sz w:val="20"/>
                <w:szCs w:val="20"/>
                <w:color w:val="auto"/>
              </w:rPr>
            </w:pPr>
            <w:r>
              <w:rPr>
                <w:rFonts w:ascii="Arial" w:cs="Arial" w:eastAsia="Arial" w:hAnsi="Arial"/>
                <w:sz w:val="12"/>
                <w:szCs w:val="12"/>
                <w:color w:val="auto"/>
              </w:rPr>
              <w:t>Disposals and others</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(16,992)</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(10,633)</w:t>
            </w:r>
          </w:p>
        </w:tc>
        <w:tc>
          <w:tcPr>
            <w:tcW w:w="820" w:type="dxa"/>
            <w:vAlign w:val="bottom"/>
          </w:tcPr>
          <w:p>
            <w:pPr>
              <w:jc w:val="right"/>
              <w:spacing w:after="0"/>
              <w:rPr>
                <w:sz w:val="20"/>
                <w:szCs w:val="20"/>
                <w:color w:val="auto"/>
              </w:rPr>
            </w:pPr>
            <w:r>
              <w:rPr>
                <w:rFonts w:ascii="Arial" w:cs="Arial" w:eastAsia="Arial" w:hAnsi="Arial"/>
                <w:sz w:val="12"/>
                <w:szCs w:val="12"/>
                <w:color w:val="auto"/>
              </w:rPr>
              <w:t>(26,513)</w:t>
            </w: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(46,597)</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(3,692)</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(104,427)</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(96,445)</w:t>
            </w:r>
          </w:p>
        </w:tc>
        <w:tc>
          <w:tcPr>
            <w:tcW w:w="720" w:type="dxa"/>
            <w:vAlign w:val="bottom"/>
          </w:tcPr>
          <w:p>
            <w:pPr>
              <w:jc w:val="right"/>
              <w:spacing w:after="0"/>
              <w:rPr>
                <w:sz w:val="20"/>
                <w:szCs w:val="20"/>
                <w:color w:val="auto"/>
              </w:rPr>
            </w:pPr>
            <w:r>
              <w:rPr>
                <w:rFonts w:ascii="Arial" w:cs="Arial" w:eastAsia="Arial" w:hAnsi="Arial"/>
                <w:sz w:val="12"/>
                <w:szCs w:val="12"/>
                <w:color w:val="auto"/>
              </w:rPr>
              <w:t>(138,558)</w:t>
            </w:r>
          </w:p>
        </w:tc>
      </w:tr>
      <w:tr>
        <w:trPr>
          <w:trHeight w:val="132"/>
        </w:trPr>
        <w:tc>
          <w:tcPr>
            <w:tcW w:w="1740" w:type="dxa"/>
            <w:vAlign w:val="bottom"/>
          </w:tcPr>
          <w:p>
            <w:pPr>
              <w:spacing w:after="0" w:line="132" w:lineRule="exact"/>
              <w:rPr>
                <w:sz w:val="20"/>
                <w:szCs w:val="20"/>
                <w:color w:val="auto"/>
              </w:rPr>
            </w:pPr>
            <w:r>
              <w:rPr>
                <w:rFonts w:ascii="Arial" w:cs="Arial" w:eastAsia="Arial" w:hAnsi="Arial"/>
                <w:sz w:val="12"/>
                <w:szCs w:val="12"/>
                <w:b w:val="1"/>
                <w:bCs w:val="1"/>
                <w:color w:val="auto"/>
              </w:rPr>
              <w:t>Balance as of December 31</w:t>
            </w: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751,306</w:t>
            </w:r>
          </w:p>
        </w:tc>
        <w:tc>
          <w:tcPr>
            <w:tcW w:w="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599,278</w:t>
            </w:r>
          </w:p>
        </w:tc>
        <w:tc>
          <w:tcPr>
            <w:tcW w:w="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330,257</w:t>
            </w: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491,962</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91,062</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2,263,865</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2,214,761</w:t>
            </w:r>
          </w:p>
        </w:tc>
        <w:tc>
          <w:tcPr>
            <w:tcW w:w="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2,182,098</w:t>
            </w:r>
          </w:p>
        </w:tc>
      </w:tr>
      <w:tr>
        <w:trPr>
          <w:trHeight w:val="283"/>
        </w:trPr>
        <w:tc>
          <w:tcPr>
            <w:tcW w:w="1740" w:type="dxa"/>
            <w:vAlign w:val="bottom"/>
          </w:tcPr>
          <w:p>
            <w:pPr>
              <w:spacing w:after="0"/>
              <w:rPr>
                <w:sz w:val="20"/>
                <w:szCs w:val="20"/>
                <w:color w:val="auto"/>
              </w:rPr>
            </w:pPr>
            <w:r>
              <w:rPr>
                <w:rFonts w:ascii="Arial" w:cs="Arial" w:eastAsia="Arial" w:hAnsi="Arial"/>
                <w:sz w:val="12"/>
                <w:szCs w:val="12"/>
                <w:b w:val="1"/>
                <w:bCs w:val="1"/>
                <w:color w:val="auto"/>
              </w:rPr>
              <w:t>Net carrying amount</w:t>
            </w:r>
          </w:p>
        </w:tc>
        <w:tc>
          <w:tcPr>
            <w:tcW w:w="700" w:type="dxa"/>
            <w:vAlign w:val="bottom"/>
          </w:tcPr>
          <w:p>
            <w:pPr>
              <w:jc w:val="right"/>
              <w:spacing w:after="0"/>
              <w:rPr>
                <w:sz w:val="20"/>
                <w:szCs w:val="20"/>
                <w:color w:val="auto"/>
              </w:rPr>
            </w:pPr>
            <w:r>
              <w:rPr>
                <w:rFonts w:ascii="Arial" w:cs="Arial" w:eastAsia="Arial" w:hAnsi="Arial"/>
                <w:sz w:val="12"/>
                <w:szCs w:val="12"/>
                <w:color w:val="auto"/>
              </w:rPr>
              <w:t>294,154</w:t>
            </w:r>
          </w:p>
        </w:tc>
        <w:tc>
          <w:tcPr>
            <w:tcW w:w="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423,501</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270,571</w:t>
            </w:r>
          </w:p>
        </w:tc>
        <w:tc>
          <w:tcPr>
            <w:tcW w:w="820" w:type="dxa"/>
            <w:vAlign w:val="bottom"/>
          </w:tcPr>
          <w:p>
            <w:pPr>
              <w:jc w:val="right"/>
              <w:spacing w:after="0"/>
              <w:rPr>
                <w:sz w:val="20"/>
                <w:szCs w:val="20"/>
                <w:color w:val="auto"/>
              </w:rPr>
            </w:pPr>
            <w:r>
              <w:rPr>
                <w:rFonts w:ascii="Arial" w:cs="Arial" w:eastAsia="Arial" w:hAnsi="Arial"/>
                <w:sz w:val="12"/>
                <w:szCs w:val="12"/>
                <w:color w:val="auto"/>
              </w:rPr>
              <w:t>175,510</w:t>
            </w:r>
          </w:p>
        </w:tc>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168,875</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14,981</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91,017</w:t>
            </w:r>
          </w:p>
        </w:tc>
        <w:tc>
          <w:tcPr>
            <w:tcW w:w="720" w:type="dxa"/>
            <w:vAlign w:val="bottom"/>
          </w:tcPr>
          <w:p>
            <w:pPr>
              <w:jc w:val="right"/>
              <w:spacing w:after="0"/>
              <w:rPr>
                <w:sz w:val="20"/>
                <w:szCs w:val="20"/>
                <w:color w:val="auto"/>
              </w:rPr>
            </w:pPr>
            <w:r>
              <w:rPr>
                <w:rFonts w:ascii="Arial" w:cs="Arial" w:eastAsia="Arial" w:hAnsi="Arial"/>
                <w:sz w:val="12"/>
                <w:szCs w:val="12"/>
                <w:color w:val="auto"/>
              </w:rPr>
              <w:t>1,438,609</w:t>
            </w:r>
          </w:p>
        </w:tc>
        <w:tc>
          <w:tcPr>
            <w:tcW w:w="8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1,357,525</w:t>
            </w:r>
          </w:p>
        </w:tc>
        <w:tc>
          <w:tcPr>
            <w:tcW w:w="720" w:type="dxa"/>
            <w:vAlign w:val="bottom"/>
          </w:tcPr>
          <w:p>
            <w:pPr>
              <w:jc w:val="right"/>
              <w:spacing w:after="0"/>
              <w:rPr>
                <w:sz w:val="20"/>
                <w:szCs w:val="20"/>
                <w:color w:val="auto"/>
              </w:rPr>
            </w:pPr>
            <w:r>
              <w:rPr>
                <w:rFonts w:ascii="Arial" w:cs="Arial" w:eastAsia="Arial" w:hAnsi="Arial"/>
                <w:sz w:val="12"/>
                <w:szCs w:val="12"/>
                <w:color w:val="auto"/>
              </w:rPr>
              <w:t>1,281,098</w:t>
            </w:r>
          </w:p>
        </w:tc>
      </w:tr>
      <w:tr>
        <w:trPr>
          <w:trHeight w:val="23"/>
        </w:trPr>
        <w:tc>
          <w:tcPr>
            <w:tcW w:w="1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160" w:lineRule="exact"/>
        <w:rPr>
          <w:sz w:val="20"/>
          <w:szCs w:val="20"/>
          <w:color w:val="auto"/>
        </w:rPr>
      </w:pPr>
    </w:p>
    <w:p>
      <w:pPr>
        <w:ind w:left="847"/>
        <w:spacing w:after="0"/>
        <w:rPr>
          <w:sz w:val="20"/>
          <w:szCs w:val="20"/>
          <w:color w:val="auto"/>
        </w:rPr>
      </w:pPr>
      <w:r>
        <w:rPr>
          <w:rFonts w:ascii="Arial" w:cs="Arial" w:eastAsia="Arial" w:hAnsi="Arial"/>
          <w:sz w:val="16"/>
          <w:szCs w:val="16"/>
          <w:color w:val="auto"/>
        </w:rPr>
        <w:t>Banks, financial institutions and insurance entities operating in Peru cannot pledge their fixed assets.</w:t>
      </w:r>
    </w:p>
    <w:p>
      <w:pPr>
        <w:spacing w:after="0" w:line="166" w:lineRule="exact"/>
        <w:rPr>
          <w:sz w:val="20"/>
          <w:szCs w:val="20"/>
          <w:color w:val="auto"/>
        </w:rPr>
      </w:pPr>
    </w:p>
    <w:p>
      <w:pPr>
        <w:ind w:left="847"/>
        <w:spacing w:after="0" w:line="241" w:lineRule="auto"/>
        <w:rPr>
          <w:sz w:val="20"/>
          <w:szCs w:val="20"/>
          <w:color w:val="auto"/>
        </w:rPr>
      </w:pPr>
      <w:r>
        <w:rPr>
          <w:rFonts w:ascii="Arial" w:cs="Arial" w:eastAsia="Arial" w:hAnsi="Arial"/>
          <w:sz w:val="16"/>
          <w:szCs w:val="16"/>
          <w:color w:val="auto"/>
        </w:rPr>
        <w:t>During 2024, the Group, as part of the investment in fixed assets, has made disbursements mainly related to computer equipment and the remodeling of its various agencies. Likewise, during the years 2023 and 2022, the Group, as part of the investment in fixed assets, has made disbursements mainly related to the purchase of computer equipment, furniture and fixtures and the remodeling of its various agencies.</w:t>
      </w:r>
    </w:p>
    <w:p>
      <w:pPr>
        <w:spacing w:after="0" w:line="146" w:lineRule="exact"/>
        <w:rPr>
          <w:sz w:val="20"/>
          <w:szCs w:val="20"/>
          <w:color w:val="auto"/>
        </w:rPr>
      </w:pPr>
    </w:p>
    <w:p>
      <w:pPr>
        <w:ind w:left="847" w:right="20"/>
        <w:spacing w:after="0" w:line="241" w:lineRule="auto"/>
        <w:rPr>
          <w:sz w:val="20"/>
          <w:szCs w:val="20"/>
          <w:color w:val="auto"/>
        </w:rPr>
      </w:pPr>
      <w:r>
        <w:rPr>
          <w:rFonts w:ascii="Arial" w:cs="Arial" w:eastAsia="Arial" w:hAnsi="Arial"/>
          <w:sz w:val="16"/>
          <w:szCs w:val="16"/>
          <w:color w:val="auto"/>
        </w:rPr>
        <w:t>During the year 2024, Management decided to sell various land and buildings, the approximate sale price of which was S/98.2 million, with a net cost of S/30.2 million (during 2023, an approximate sale price of S/53.1 million with a net cost of S/51.4 million; during 2022, an approximate sale price of S/46.1 million, with a net cost of S/33.8 million).</w:t>
      </w:r>
    </w:p>
    <w:p>
      <w:pPr>
        <w:spacing w:after="0" w:line="146" w:lineRule="exact"/>
        <w:rPr>
          <w:sz w:val="20"/>
          <w:szCs w:val="20"/>
          <w:color w:val="auto"/>
        </w:rPr>
      </w:pPr>
    </w:p>
    <w:p>
      <w:pPr>
        <w:ind w:left="847"/>
        <w:spacing w:after="0"/>
        <w:rPr>
          <w:sz w:val="20"/>
          <w:szCs w:val="20"/>
          <w:color w:val="auto"/>
        </w:rPr>
      </w:pPr>
      <w:r>
        <w:rPr>
          <w:rFonts w:ascii="Arial" w:cs="Arial" w:eastAsia="Arial" w:hAnsi="Arial"/>
          <w:sz w:val="16"/>
          <w:szCs w:val="16"/>
          <w:color w:val="auto"/>
        </w:rPr>
        <w:t>Credicorp Ltd. subsidiaries maintain insurance on their main assets in accordance with the policies established by Management.</w:t>
      </w:r>
    </w:p>
    <w:p>
      <w:pPr>
        <w:spacing w:after="0" w:line="166" w:lineRule="exact"/>
        <w:rPr>
          <w:sz w:val="20"/>
          <w:szCs w:val="20"/>
          <w:color w:val="auto"/>
        </w:rPr>
      </w:pPr>
    </w:p>
    <w:p>
      <w:pPr>
        <w:ind w:left="847" w:right="20"/>
        <w:spacing w:after="0" w:line="241" w:lineRule="auto"/>
        <w:rPr>
          <w:sz w:val="20"/>
          <w:szCs w:val="20"/>
          <w:color w:val="auto"/>
        </w:rPr>
      </w:pPr>
      <w:r>
        <w:rPr>
          <w:rFonts w:ascii="Arial" w:cs="Arial" w:eastAsia="Arial" w:hAnsi="Arial"/>
          <w:sz w:val="16"/>
          <w:szCs w:val="16"/>
          <w:color w:val="auto"/>
        </w:rPr>
        <w:t>Due to the implementation of IFRS 17, depreciation expense of fixed assets is distributed in the consolidated income statement under depreciation item and attributable expense under the insurance technical result item for S/149.9 million and S/3.6 million, respectively, for the year 2024; S/125.0 million and S/4.1 million, respectively, for the year 2023.</w:t>
      </w:r>
    </w:p>
    <w:p>
      <w:pPr>
        <w:spacing w:after="0" w:line="146" w:lineRule="exact"/>
        <w:rPr>
          <w:sz w:val="20"/>
          <w:szCs w:val="20"/>
          <w:color w:val="auto"/>
        </w:rPr>
      </w:pPr>
    </w:p>
    <w:p>
      <w:pPr>
        <w:jc w:val="both"/>
        <w:ind w:left="847" w:right="180"/>
        <w:spacing w:after="0" w:line="241" w:lineRule="auto"/>
        <w:rPr>
          <w:sz w:val="20"/>
          <w:szCs w:val="20"/>
          <w:color w:val="auto"/>
        </w:rPr>
      </w:pPr>
      <w:r>
        <w:rPr>
          <w:rFonts w:ascii="Arial" w:cs="Arial" w:eastAsia="Arial" w:hAnsi="Arial"/>
          <w:sz w:val="16"/>
          <w:szCs w:val="16"/>
          <w:color w:val="auto"/>
        </w:rPr>
        <w:t>Management periodically reviews the residual value, useful life and the depreciation method used of the Group's property, furniture and equipment; in order to ensure that these are consistent with your current economic benefit and life expectations. In the opinion of Management, as of December 31, 2024, 2023 and 2022, there is no evidence of impairment of the Group's properties, furniture and equipment.</w:t>
      </w:r>
    </w:p>
    <w:p>
      <w:pPr>
        <w:spacing w:after="0" w:line="30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79" w:name="page80"/>
    <w:bookmarkEnd w:id="79"/>
    <w:p>
      <w:pPr>
        <w:ind w:left="567" w:hanging="567"/>
        <w:spacing w:after="0"/>
        <w:tabs>
          <w:tab w:leader="none" w:pos="567"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INTANGIBLES AND GOOWILL, NET</w:t>
      </w:r>
    </w:p>
    <w:p>
      <w:pPr>
        <w:spacing w:after="0" w:line="167" w:lineRule="exact"/>
        <w:rPr>
          <w:rFonts w:ascii="Arial" w:cs="Arial" w:eastAsia="Arial" w:hAnsi="Arial"/>
          <w:sz w:val="16"/>
          <w:szCs w:val="16"/>
          <w:b w:val="1"/>
          <w:bCs w:val="1"/>
          <w:color w:val="auto"/>
        </w:rPr>
      </w:pPr>
    </w:p>
    <w:p>
      <w:pPr>
        <w:ind w:left="847" w:hanging="286"/>
        <w:spacing w:after="0"/>
        <w:tabs>
          <w:tab w:leader="none" w:pos="847"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Intangible assets -</w:t>
      </w:r>
    </w:p>
    <w:p>
      <w:pPr>
        <w:spacing w:after="0" w:line="166" w:lineRule="exact"/>
        <w:rPr>
          <w:rFonts w:ascii="Arial" w:cs="Arial" w:eastAsia="Arial" w:hAnsi="Arial"/>
          <w:sz w:val="16"/>
          <w:szCs w:val="16"/>
          <w:color w:val="auto"/>
        </w:rPr>
      </w:pPr>
    </w:p>
    <w:p>
      <w:pPr>
        <w:ind w:left="847" w:right="20"/>
        <w:spacing w:after="0" w:line="255" w:lineRule="auto"/>
        <w:rPr>
          <w:rFonts w:ascii="Arial" w:cs="Arial" w:eastAsia="Arial" w:hAnsi="Arial"/>
          <w:sz w:val="16"/>
          <w:szCs w:val="16"/>
          <w:color w:val="auto"/>
        </w:rPr>
      </w:pPr>
      <w:r>
        <w:rPr>
          <w:rFonts w:ascii="Arial" w:cs="Arial" w:eastAsia="Arial" w:hAnsi="Arial"/>
          <w:sz w:val="16"/>
          <w:szCs w:val="16"/>
          <w:color w:val="auto"/>
        </w:rPr>
        <w:t>The composition of intangible assets with limited useful life and accumulated amortization as of December 31, 2024, 2023 and December 31, 2022 was as follows:</w:t>
      </w:r>
    </w:p>
    <w:p>
      <w:pPr>
        <w:spacing w:after="0" w:line="123" w:lineRule="exact"/>
        <w:rPr>
          <w:sz w:val="20"/>
          <w:szCs w:val="20"/>
          <w:color w:val="auto"/>
        </w:rPr>
      </w:pPr>
    </w:p>
    <w:tbl>
      <w:tblPr>
        <w:tblLayout w:type="fixed"/>
        <w:tblInd w:w="847"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Arial" w:cs="Arial" w:eastAsia="Arial" w:hAnsi="Arial"/>
                <w:sz w:val="16"/>
                <w:szCs w:val="16"/>
                <w:b w:val="1"/>
                <w:bCs w:val="1"/>
                <w:color w:val="auto"/>
              </w:rPr>
              <w:t>Fund</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w w:val="95"/>
              </w:rPr>
              <w:t>Intangible</w:t>
            </w: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60" w:type="dxa"/>
            <w:vAlign w:val="bottom"/>
            <w:vMerge w:val="restart"/>
          </w:tcPr>
          <w:p>
            <w:pPr>
              <w:spacing w:after="0"/>
              <w:rPr>
                <w:sz w:val="20"/>
                <w:szCs w:val="20"/>
                <w:color w:val="auto"/>
              </w:rPr>
            </w:pPr>
            <w:r>
              <w:rPr>
                <w:rFonts w:ascii="Arial" w:cs="Arial" w:eastAsia="Arial" w:hAnsi="Arial"/>
                <w:sz w:val="16"/>
                <w:szCs w:val="16"/>
                <w:b w:val="1"/>
                <w:bCs w:val="1"/>
                <w:color w:val="auto"/>
              </w:rPr>
              <w:t>Description</w:t>
            </w:r>
          </w:p>
        </w:tc>
        <w:tc>
          <w:tcPr>
            <w:tcW w:w="540" w:type="dxa"/>
            <w:vAlign w:val="bottom"/>
          </w:tcPr>
          <w:p>
            <w:pPr>
              <w:spacing w:after="0" w:line="175" w:lineRule="exact"/>
              <w:rPr>
                <w:sz w:val="20"/>
                <w:szCs w:val="20"/>
                <w:color w:val="auto"/>
              </w:rPr>
            </w:pPr>
            <w:r>
              <w:rPr>
                <w:rFonts w:ascii="Arial" w:cs="Arial" w:eastAsia="Arial" w:hAnsi="Arial"/>
                <w:sz w:val="16"/>
                <w:szCs w:val="16"/>
                <w:b w:val="1"/>
                <w:bCs w:val="1"/>
                <w:color w:val="auto"/>
              </w:rPr>
              <w:t>Client</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6"/>
          </w:tcPr>
          <w:p>
            <w:pPr>
              <w:ind w:left="20"/>
              <w:spacing w:after="0" w:line="175" w:lineRule="exact"/>
              <w:rPr>
                <w:sz w:val="20"/>
                <w:szCs w:val="20"/>
                <w:color w:val="auto"/>
              </w:rPr>
            </w:pPr>
            <w:r>
              <w:rPr>
                <w:rFonts w:ascii="Arial" w:cs="Arial" w:eastAsia="Arial" w:hAnsi="Arial"/>
                <w:sz w:val="16"/>
                <w:szCs w:val="16"/>
                <w:b w:val="1"/>
                <w:bCs w:val="1"/>
                <w:color w:val="auto"/>
              </w:rPr>
              <w:t>Brand name manager</w:t>
            </w:r>
          </w:p>
        </w:tc>
        <w:tc>
          <w:tcPr>
            <w:tcW w:w="218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Relationships Software and</w:t>
            </w:r>
          </w:p>
        </w:tc>
        <w:tc>
          <w:tcPr>
            <w:tcW w:w="7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560" w:type="dxa"/>
            <w:vAlign w:val="bottom"/>
            <w:vMerge w:val="continue"/>
          </w:tcPr>
          <w:p>
            <w:pPr>
              <w:spacing w:after="0"/>
              <w:rPr>
                <w:sz w:val="16"/>
                <w:szCs w:val="16"/>
                <w:color w:val="auto"/>
              </w:rPr>
            </w:pPr>
          </w:p>
        </w:tc>
        <w:tc>
          <w:tcPr>
            <w:tcW w:w="210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relationships(i) (ii)</w:t>
            </w:r>
          </w:p>
        </w:tc>
        <w:tc>
          <w:tcPr>
            <w:tcW w:w="20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contract(iii) with holders</w:t>
            </w:r>
          </w:p>
        </w:tc>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developments progress</w:t>
            </w:r>
          </w:p>
        </w:tc>
        <w:tc>
          <w:tcPr>
            <w:tcW w:w="6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Other</w:t>
            </w: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6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b w:val="1"/>
                <w:bCs w:val="1"/>
                <w:color w:val="auto"/>
                <w:w w:val="99"/>
              </w:rPr>
              <w:t>S/(000)</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S/(000)</w:t>
            </w:r>
          </w:p>
        </w:tc>
        <w:tc>
          <w:tcPr>
            <w:tcW w:w="920" w:type="dxa"/>
            <w:vAlign w:val="bottom"/>
            <w:gridSpan w:val="3"/>
          </w:tcPr>
          <w:p>
            <w:pPr>
              <w:ind w:left="20"/>
              <w:spacing w:after="0"/>
              <w:rPr>
                <w:sz w:val="20"/>
                <w:szCs w:val="20"/>
                <w:color w:val="auto"/>
              </w:rPr>
            </w:pPr>
            <w:r>
              <w:rPr>
                <w:rFonts w:ascii="Arial" w:cs="Arial" w:eastAsia="Arial" w:hAnsi="Arial"/>
                <w:sz w:val="16"/>
                <w:szCs w:val="16"/>
                <w:b w:val="1"/>
                <w:bCs w:val="1"/>
                <w:color w:val="auto"/>
              </w:rPr>
              <w:t>S/(000)</w:t>
            </w: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660" w:type="dxa"/>
            <w:vAlign w:val="bottom"/>
            <w:gridSpan w:val="3"/>
          </w:tcPr>
          <w:p>
            <w:pPr>
              <w:ind w:left="40"/>
              <w:spacing w:after="0"/>
              <w:rPr>
                <w:sz w:val="20"/>
                <w:szCs w:val="20"/>
                <w:color w:val="auto"/>
              </w:rPr>
            </w:pPr>
            <w:r>
              <w:rPr>
                <w:rFonts w:ascii="Arial" w:cs="Arial" w:eastAsia="Arial" w:hAnsi="Arial"/>
                <w:sz w:val="16"/>
                <w:szCs w:val="16"/>
                <w:b w:val="1"/>
                <w:bCs w:val="1"/>
                <w:color w:val="auto"/>
              </w:rPr>
              <w:t>S/(000)</w:t>
            </w: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rPr>
              <w:t>S/(000)</w:t>
            </w:r>
          </w:p>
        </w:tc>
        <w:tc>
          <w:tcPr>
            <w:tcW w:w="70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560" w:type="dxa"/>
            <w:vAlign w:val="bottom"/>
          </w:tcPr>
          <w:p>
            <w:pPr>
              <w:spacing w:after="0"/>
              <w:rPr>
                <w:sz w:val="20"/>
                <w:szCs w:val="20"/>
                <w:color w:val="auto"/>
              </w:rPr>
            </w:pPr>
            <w:r>
              <w:rPr>
                <w:rFonts w:ascii="Arial" w:cs="Arial" w:eastAsia="Arial" w:hAnsi="Arial"/>
                <w:sz w:val="16"/>
                <w:szCs w:val="16"/>
                <w:b w:val="1"/>
                <w:bCs w:val="1"/>
                <w:color w:val="auto"/>
              </w:rPr>
              <w:t>Cost -</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560" w:type="dxa"/>
            <w:vAlign w:val="bottom"/>
          </w:tcPr>
          <w:p>
            <w:pPr>
              <w:spacing w:after="0" w:line="177" w:lineRule="exact"/>
              <w:rPr>
                <w:sz w:val="20"/>
                <w:szCs w:val="20"/>
                <w:color w:val="auto"/>
              </w:rPr>
            </w:pPr>
            <w:r>
              <w:rPr>
                <w:rFonts w:ascii="Arial" w:cs="Arial" w:eastAsia="Arial" w:hAnsi="Arial"/>
                <w:sz w:val="16"/>
                <w:szCs w:val="16"/>
                <w:b w:val="1"/>
                <w:bCs w:val="1"/>
                <w:color w:val="auto"/>
              </w:rPr>
              <w:t>Balance at January</w:t>
            </w:r>
          </w:p>
        </w:tc>
        <w:tc>
          <w:tcPr>
            <w:tcW w:w="54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6"/>
                <w:szCs w:val="16"/>
                <w:color w:val="auto"/>
                <w:w w:val="96"/>
              </w:rPr>
              <w:t>375,905</w:t>
            </w:r>
          </w:p>
        </w:tc>
        <w:tc>
          <w:tcPr>
            <w:tcW w:w="20" w:type="dxa"/>
            <w:vAlign w:val="bottom"/>
          </w:tcPr>
          <w:p>
            <w:pPr>
              <w:spacing w:after="0"/>
              <w:rPr>
                <w:sz w:val="15"/>
                <w:szCs w:val="15"/>
                <w:color w:val="auto"/>
              </w:rPr>
            </w:pPr>
          </w:p>
        </w:tc>
        <w:tc>
          <w:tcPr>
            <w:tcW w:w="960" w:type="dxa"/>
            <w:vAlign w:val="bottom"/>
            <w:gridSpan w:val="3"/>
          </w:tcPr>
          <w:p>
            <w:pPr>
              <w:jc w:val="right"/>
              <w:ind w:right="20"/>
              <w:spacing w:after="0" w:line="177" w:lineRule="exact"/>
              <w:rPr>
                <w:sz w:val="20"/>
                <w:szCs w:val="20"/>
                <w:color w:val="auto"/>
              </w:rPr>
            </w:pPr>
            <w:r>
              <w:rPr>
                <w:rFonts w:ascii="Arial" w:cs="Arial" w:eastAsia="Arial" w:hAnsi="Arial"/>
                <w:sz w:val="16"/>
                <w:szCs w:val="16"/>
                <w:color w:val="auto"/>
              </w:rPr>
              <w:t>175,321</w:t>
            </w:r>
          </w:p>
        </w:tc>
        <w:tc>
          <w:tcPr>
            <w:tcW w:w="920" w:type="dxa"/>
            <w:vAlign w:val="bottom"/>
            <w:gridSpan w:val="3"/>
          </w:tcPr>
          <w:p>
            <w:pPr>
              <w:jc w:val="right"/>
              <w:ind w:right="40"/>
              <w:spacing w:after="0" w:line="177" w:lineRule="exact"/>
              <w:rPr>
                <w:sz w:val="20"/>
                <w:szCs w:val="20"/>
                <w:color w:val="auto"/>
              </w:rPr>
            </w:pPr>
            <w:r>
              <w:rPr>
                <w:rFonts w:ascii="Arial" w:cs="Arial" w:eastAsia="Arial" w:hAnsi="Arial"/>
                <w:sz w:val="16"/>
                <w:szCs w:val="16"/>
                <w:color w:val="auto"/>
              </w:rPr>
              <w:t>77,715</w:t>
            </w:r>
          </w:p>
        </w:tc>
        <w:tc>
          <w:tcPr>
            <w:tcW w:w="108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21,100</w:t>
            </w:r>
          </w:p>
        </w:tc>
        <w:tc>
          <w:tcPr>
            <w:tcW w:w="110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4,279,022</w:t>
            </w:r>
          </w:p>
        </w:tc>
        <w:tc>
          <w:tcPr>
            <w:tcW w:w="740" w:type="dxa"/>
            <w:vAlign w:val="bottom"/>
            <w:gridSpan w:val="2"/>
          </w:tcPr>
          <w:p>
            <w:pPr>
              <w:jc w:val="right"/>
              <w:ind w:right="20"/>
              <w:spacing w:after="0" w:line="177" w:lineRule="exact"/>
              <w:rPr>
                <w:sz w:val="20"/>
                <w:szCs w:val="20"/>
                <w:color w:val="auto"/>
              </w:rPr>
            </w:pPr>
            <w:r>
              <w:rPr>
                <w:rFonts w:ascii="Arial" w:cs="Arial" w:eastAsia="Arial" w:hAnsi="Arial"/>
                <w:sz w:val="16"/>
                <w:szCs w:val="16"/>
                <w:color w:val="auto"/>
              </w:rPr>
              <w:t>901,562</w:t>
            </w:r>
          </w:p>
        </w:tc>
        <w:tc>
          <w:tcPr>
            <w:tcW w:w="660" w:type="dxa"/>
            <w:vAlign w:val="bottom"/>
            <w:gridSpan w:val="3"/>
          </w:tcPr>
          <w:p>
            <w:pPr>
              <w:jc w:val="right"/>
              <w:ind w:right="40"/>
              <w:spacing w:after="0" w:line="177" w:lineRule="exact"/>
              <w:rPr>
                <w:sz w:val="20"/>
                <w:szCs w:val="20"/>
                <w:color w:val="auto"/>
              </w:rPr>
            </w:pPr>
            <w:r>
              <w:rPr>
                <w:rFonts w:ascii="Arial" w:cs="Arial" w:eastAsia="Arial" w:hAnsi="Arial"/>
                <w:sz w:val="16"/>
                <w:szCs w:val="16"/>
                <w:color w:val="auto"/>
              </w:rPr>
              <w:t>30,754</w:t>
            </w:r>
          </w:p>
        </w:tc>
        <w:tc>
          <w:tcPr>
            <w:tcW w:w="720" w:type="dxa"/>
            <w:vAlign w:val="bottom"/>
            <w:gridSpan w:val="2"/>
          </w:tcPr>
          <w:p>
            <w:pPr>
              <w:jc w:val="right"/>
              <w:ind w:right="20"/>
              <w:spacing w:after="0" w:line="177" w:lineRule="exact"/>
              <w:rPr>
                <w:sz w:val="20"/>
                <w:szCs w:val="20"/>
                <w:color w:val="auto"/>
              </w:rPr>
            </w:pPr>
            <w:r>
              <w:rPr>
                <w:rFonts w:ascii="Arial" w:cs="Arial" w:eastAsia="Arial" w:hAnsi="Arial"/>
                <w:sz w:val="16"/>
                <w:szCs w:val="16"/>
                <w:color w:val="auto"/>
                <w:w w:val="95"/>
              </w:rPr>
              <w:t>5,861,379</w:t>
            </w:r>
          </w:p>
        </w:tc>
        <w:tc>
          <w:tcPr>
            <w:tcW w:w="780" w:type="dxa"/>
            <w:vAlign w:val="bottom"/>
            <w:gridSpan w:val="3"/>
          </w:tcPr>
          <w:p>
            <w:pPr>
              <w:jc w:val="right"/>
              <w:ind w:right="60"/>
              <w:spacing w:after="0" w:line="177" w:lineRule="exact"/>
              <w:rPr>
                <w:sz w:val="20"/>
                <w:szCs w:val="20"/>
                <w:color w:val="auto"/>
              </w:rPr>
            </w:pPr>
            <w:r>
              <w:rPr>
                <w:rFonts w:ascii="Arial" w:cs="Arial" w:eastAsia="Arial" w:hAnsi="Arial"/>
                <w:sz w:val="16"/>
                <w:szCs w:val="16"/>
                <w:color w:val="auto"/>
                <w:w w:val="98"/>
              </w:rPr>
              <w:t>5,167,235</w:t>
            </w:r>
          </w:p>
        </w:tc>
        <w:tc>
          <w:tcPr>
            <w:tcW w:w="720" w:type="dxa"/>
            <w:vAlign w:val="bottom"/>
            <w:gridSpan w:val="2"/>
          </w:tcPr>
          <w:p>
            <w:pPr>
              <w:jc w:val="right"/>
              <w:ind w:right="20"/>
              <w:spacing w:after="0" w:line="177" w:lineRule="exact"/>
              <w:rPr>
                <w:sz w:val="20"/>
                <w:szCs w:val="20"/>
                <w:color w:val="auto"/>
              </w:rPr>
            </w:pPr>
            <w:r>
              <w:rPr>
                <w:rFonts w:ascii="Arial" w:cs="Arial" w:eastAsia="Arial" w:hAnsi="Arial"/>
                <w:sz w:val="16"/>
                <w:szCs w:val="16"/>
                <w:color w:val="auto"/>
                <w:w w:val="95"/>
              </w:rPr>
              <w:t>4,708,305</w:t>
            </w:r>
          </w:p>
        </w:tc>
        <w:tc>
          <w:tcPr>
            <w:tcW w:w="0" w:type="dxa"/>
            <w:vAlign w:val="bottom"/>
          </w:tcPr>
          <w:p>
            <w:pPr>
              <w:spacing w:after="0"/>
              <w:rPr>
                <w:sz w:val="1"/>
                <w:szCs w:val="1"/>
                <w:color w:val="auto"/>
              </w:rPr>
            </w:pPr>
          </w:p>
        </w:tc>
      </w:tr>
      <w:tr>
        <w:trPr>
          <w:trHeight w:val="175"/>
        </w:trPr>
        <w:tc>
          <w:tcPr>
            <w:tcW w:w="1560" w:type="dxa"/>
            <w:vAlign w:val="bottom"/>
          </w:tcPr>
          <w:p>
            <w:pPr>
              <w:spacing w:after="0" w:line="175" w:lineRule="exact"/>
              <w:rPr>
                <w:sz w:val="20"/>
                <w:szCs w:val="20"/>
                <w:color w:val="auto"/>
              </w:rPr>
            </w:pPr>
            <w:r>
              <w:rPr>
                <w:rFonts w:ascii="Arial" w:cs="Arial" w:eastAsia="Arial" w:hAnsi="Arial"/>
                <w:sz w:val="16"/>
                <w:szCs w:val="16"/>
                <w:color w:val="auto"/>
              </w:rPr>
              <w:t>Addtions</w:t>
            </w:r>
          </w:p>
        </w:tc>
        <w:tc>
          <w:tcPr>
            <w:tcW w:w="54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423,259</w:t>
            </w:r>
          </w:p>
        </w:tc>
        <w:tc>
          <w:tcPr>
            <w:tcW w:w="7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378,031</w:t>
            </w:r>
          </w:p>
        </w:tc>
        <w:tc>
          <w:tcPr>
            <w:tcW w:w="6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801,290</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828,803</w:t>
            </w:r>
          </w:p>
        </w:tc>
        <w:tc>
          <w:tcPr>
            <w:tcW w:w="60" w:type="dxa"/>
            <w:vAlign w:val="bottom"/>
          </w:tcPr>
          <w:p>
            <w:pPr>
              <w:spacing w:after="0"/>
              <w:rPr>
                <w:sz w:val="15"/>
                <w:szCs w:val="15"/>
                <w:color w:val="auto"/>
              </w:rPr>
            </w:pP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703,670</w:t>
            </w:r>
          </w:p>
        </w:tc>
        <w:tc>
          <w:tcPr>
            <w:tcW w:w="0" w:type="dxa"/>
            <w:vAlign w:val="bottom"/>
          </w:tcPr>
          <w:p>
            <w:pPr>
              <w:spacing w:after="0"/>
              <w:rPr>
                <w:sz w:val="1"/>
                <w:szCs w:val="1"/>
                <w:color w:val="auto"/>
              </w:rPr>
            </w:pPr>
          </w:p>
        </w:tc>
      </w:tr>
      <w:tr>
        <w:trPr>
          <w:trHeight w:val="175"/>
        </w:trPr>
        <w:tc>
          <w:tcPr>
            <w:tcW w:w="1560" w:type="dxa"/>
            <w:vAlign w:val="bottom"/>
          </w:tcPr>
          <w:p>
            <w:pPr>
              <w:spacing w:after="0" w:line="175" w:lineRule="exact"/>
              <w:rPr>
                <w:sz w:val="20"/>
                <w:szCs w:val="20"/>
                <w:color w:val="auto"/>
              </w:rPr>
            </w:pPr>
            <w:r>
              <w:rPr>
                <w:rFonts w:ascii="Arial" w:cs="Arial" w:eastAsia="Arial" w:hAnsi="Arial"/>
                <w:sz w:val="16"/>
                <w:szCs w:val="16"/>
                <w:color w:val="auto"/>
              </w:rPr>
              <w:t>Adquisition of</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line="175" w:lineRule="exact"/>
              <w:rPr>
                <w:sz w:val="20"/>
                <w:szCs w:val="20"/>
                <w:color w:val="auto"/>
              </w:rPr>
            </w:pPr>
            <w:r>
              <w:rPr>
                <w:rFonts w:ascii="Arial" w:cs="Arial" w:eastAsia="Arial" w:hAnsi="Arial"/>
                <w:sz w:val="16"/>
                <w:szCs w:val="16"/>
                <w:color w:val="auto"/>
              </w:rPr>
              <w:t>bussiness</w:t>
            </w:r>
          </w:p>
        </w:tc>
        <w:tc>
          <w:tcPr>
            <w:tcW w:w="54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16,642</w:t>
            </w: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7,533</w:t>
            </w:r>
          </w:p>
        </w:tc>
        <w:tc>
          <w:tcPr>
            <w:tcW w:w="0" w:type="dxa"/>
            <w:vAlign w:val="bottom"/>
          </w:tcPr>
          <w:p>
            <w:pPr>
              <w:spacing w:after="0"/>
              <w:rPr>
                <w:sz w:val="1"/>
                <w:szCs w:val="1"/>
                <w:color w:val="auto"/>
              </w:rPr>
            </w:pPr>
          </w:p>
        </w:tc>
      </w:tr>
      <w:tr>
        <w:trPr>
          <w:trHeight w:val="175"/>
        </w:trPr>
        <w:tc>
          <w:tcPr>
            <w:tcW w:w="1560" w:type="dxa"/>
            <w:vAlign w:val="bottom"/>
          </w:tcPr>
          <w:p>
            <w:pPr>
              <w:spacing w:after="0" w:line="175" w:lineRule="exact"/>
              <w:rPr>
                <w:sz w:val="20"/>
                <w:szCs w:val="20"/>
                <w:color w:val="auto"/>
              </w:rPr>
            </w:pPr>
            <w:r>
              <w:rPr>
                <w:rFonts w:ascii="Arial" w:cs="Arial" w:eastAsia="Arial" w:hAnsi="Arial"/>
                <w:sz w:val="16"/>
                <w:szCs w:val="16"/>
                <w:color w:val="auto"/>
              </w:rPr>
              <w:t>Transfers</w:t>
            </w:r>
          </w:p>
        </w:tc>
        <w:tc>
          <w:tcPr>
            <w:tcW w:w="54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533,096</w:t>
            </w:r>
          </w:p>
        </w:tc>
        <w:tc>
          <w:tcPr>
            <w:tcW w:w="7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(533,096)</w:t>
            </w:r>
          </w:p>
        </w:tc>
        <w:tc>
          <w:tcPr>
            <w:tcW w:w="6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Disposals and others</w:t>
            </w:r>
          </w:p>
        </w:tc>
        <w:tc>
          <w:tcPr>
            <w:tcW w:w="5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(3,896)</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(8,174)</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(68,704)</w:t>
            </w:r>
          </w:p>
        </w:tc>
        <w:tc>
          <w:tcPr>
            <w:tcW w:w="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(137,750)</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(17,708)</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(236,232)</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(151,301)</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(252,273)</w:t>
            </w:r>
          </w:p>
        </w:tc>
        <w:tc>
          <w:tcPr>
            <w:tcW w:w="0" w:type="dxa"/>
            <w:vAlign w:val="bottom"/>
          </w:tcPr>
          <w:p>
            <w:pPr>
              <w:spacing w:after="0"/>
              <w:rPr>
                <w:sz w:val="1"/>
                <w:szCs w:val="1"/>
                <w:color w:val="auto"/>
              </w:rPr>
            </w:pPr>
          </w:p>
        </w:tc>
      </w:tr>
      <w:tr>
        <w:trPr>
          <w:trHeight w:val="147"/>
        </w:trPr>
        <w:tc>
          <w:tcPr>
            <w:tcW w:w="1560" w:type="dxa"/>
            <w:vAlign w:val="bottom"/>
          </w:tcPr>
          <w:p>
            <w:pPr>
              <w:spacing w:after="0" w:line="147" w:lineRule="exact"/>
              <w:rPr>
                <w:sz w:val="20"/>
                <w:szCs w:val="20"/>
                <w:color w:val="auto"/>
              </w:rPr>
            </w:pPr>
            <w:r>
              <w:rPr>
                <w:rFonts w:ascii="Arial" w:cs="Arial" w:eastAsia="Arial" w:hAnsi="Arial"/>
                <w:sz w:val="16"/>
                <w:szCs w:val="16"/>
                <w:b w:val="1"/>
                <w:bCs w:val="1"/>
                <w:color w:val="auto"/>
              </w:rPr>
              <w:t>Balance as of</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372,009</w:t>
            </w:r>
          </w:p>
        </w:tc>
        <w:tc>
          <w:tcPr>
            <w:tcW w:w="2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175,321</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69,541</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21,100</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5,166,673</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608,747</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13,046</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6,426,437</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w w:val="98"/>
              </w:rPr>
              <w:t>5,861,379</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5,167,235</w:t>
            </w:r>
          </w:p>
        </w:tc>
        <w:tc>
          <w:tcPr>
            <w:tcW w:w="0" w:type="dxa"/>
            <w:vAlign w:val="bottom"/>
          </w:tcPr>
          <w:p>
            <w:pPr>
              <w:spacing w:after="0"/>
              <w:rPr>
                <w:sz w:val="1"/>
                <w:szCs w:val="1"/>
                <w:color w:val="auto"/>
              </w:rPr>
            </w:pPr>
          </w:p>
        </w:tc>
      </w:tr>
      <w:tr>
        <w:trPr>
          <w:trHeight w:val="333"/>
        </w:trPr>
        <w:tc>
          <w:tcPr>
            <w:tcW w:w="1560" w:type="dxa"/>
            <w:vAlign w:val="bottom"/>
          </w:tcPr>
          <w:p>
            <w:pPr>
              <w:spacing w:after="0"/>
              <w:rPr>
                <w:sz w:val="20"/>
                <w:szCs w:val="20"/>
                <w:color w:val="auto"/>
              </w:rPr>
            </w:pPr>
            <w:r>
              <w:rPr>
                <w:rFonts w:ascii="Arial" w:cs="Arial" w:eastAsia="Arial" w:hAnsi="Arial"/>
                <w:sz w:val="16"/>
                <w:szCs w:val="16"/>
                <w:b w:val="1"/>
                <w:bCs w:val="1"/>
                <w:color w:val="auto"/>
              </w:rPr>
              <w:t>Accumulated</w:t>
            </w:r>
          </w:p>
        </w:tc>
        <w:tc>
          <w:tcPr>
            <w:tcW w:w="5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line="175" w:lineRule="exact"/>
              <w:rPr>
                <w:sz w:val="20"/>
                <w:szCs w:val="20"/>
                <w:color w:val="auto"/>
              </w:rPr>
            </w:pPr>
            <w:r>
              <w:rPr>
                <w:rFonts w:ascii="Arial" w:cs="Arial" w:eastAsia="Arial" w:hAnsi="Arial"/>
                <w:sz w:val="16"/>
                <w:szCs w:val="16"/>
                <w:b w:val="1"/>
                <w:bCs w:val="1"/>
                <w:color w:val="auto"/>
              </w:rPr>
              <w:t>amortization -</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60" w:type="dxa"/>
            <w:vAlign w:val="bottom"/>
          </w:tcPr>
          <w:p>
            <w:pPr>
              <w:spacing w:after="0" w:line="177" w:lineRule="exact"/>
              <w:rPr>
                <w:sz w:val="20"/>
                <w:szCs w:val="20"/>
                <w:color w:val="auto"/>
              </w:rPr>
            </w:pPr>
            <w:r>
              <w:rPr>
                <w:rFonts w:ascii="Arial" w:cs="Arial" w:eastAsia="Arial" w:hAnsi="Arial"/>
                <w:sz w:val="16"/>
                <w:szCs w:val="16"/>
                <w:b w:val="1"/>
                <w:bCs w:val="1"/>
                <w:color w:val="auto"/>
              </w:rPr>
              <w:t>Balance at January</w:t>
            </w:r>
          </w:p>
        </w:tc>
        <w:tc>
          <w:tcPr>
            <w:tcW w:w="54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6"/>
                <w:szCs w:val="16"/>
                <w:color w:val="auto"/>
                <w:w w:val="96"/>
              </w:rPr>
              <w:t>317,231</w:t>
            </w:r>
          </w:p>
        </w:tc>
        <w:tc>
          <w:tcPr>
            <w:tcW w:w="20" w:type="dxa"/>
            <w:vAlign w:val="bottom"/>
          </w:tcPr>
          <w:p>
            <w:pPr>
              <w:spacing w:after="0"/>
              <w:rPr>
                <w:sz w:val="15"/>
                <w:szCs w:val="15"/>
                <w:color w:val="auto"/>
              </w:rPr>
            </w:pPr>
          </w:p>
        </w:tc>
        <w:tc>
          <w:tcPr>
            <w:tcW w:w="960" w:type="dxa"/>
            <w:vAlign w:val="bottom"/>
            <w:gridSpan w:val="3"/>
          </w:tcPr>
          <w:p>
            <w:pPr>
              <w:jc w:val="right"/>
              <w:ind w:right="20"/>
              <w:spacing w:after="0" w:line="177" w:lineRule="exact"/>
              <w:rPr>
                <w:sz w:val="20"/>
                <w:szCs w:val="20"/>
                <w:color w:val="auto"/>
              </w:rPr>
            </w:pPr>
            <w:r>
              <w:rPr>
                <w:rFonts w:ascii="Arial" w:cs="Arial" w:eastAsia="Arial" w:hAnsi="Arial"/>
                <w:sz w:val="16"/>
                <w:szCs w:val="16"/>
                <w:color w:val="auto"/>
              </w:rPr>
              <w:t>66,315</w:t>
            </w:r>
          </w:p>
        </w:tc>
        <w:tc>
          <w:tcPr>
            <w:tcW w:w="920" w:type="dxa"/>
            <w:vAlign w:val="bottom"/>
            <w:gridSpan w:val="3"/>
          </w:tcPr>
          <w:p>
            <w:pPr>
              <w:jc w:val="right"/>
              <w:ind w:right="40"/>
              <w:spacing w:after="0" w:line="177" w:lineRule="exact"/>
              <w:rPr>
                <w:sz w:val="20"/>
                <w:szCs w:val="20"/>
                <w:color w:val="auto"/>
              </w:rPr>
            </w:pPr>
            <w:r>
              <w:rPr>
                <w:rFonts w:ascii="Arial" w:cs="Arial" w:eastAsia="Arial" w:hAnsi="Arial"/>
                <w:sz w:val="16"/>
                <w:szCs w:val="16"/>
                <w:color w:val="auto"/>
              </w:rPr>
              <w:t>16,373</w:t>
            </w:r>
          </w:p>
        </w:tc>
        <w:tc>
          <w:tcPr>
            <w:tcW w:w="108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21,100</w:t>
            </w:r>
          </w:p>
        </w:tc>
        <w:tc>
          <w:tcPr>
            <w:tcW w:w="110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3,002,942</w:t>
            </w:r>
          </w:p>
        </w:tc>
        <w:tc>
          <w:tcPr>
            <w:tcW w:w="740" w:type="dxa"/>
            <w:vAlign w:val="bottom"/>
            <w:gridSpan w:val="2"/>
          </w:tcPr>
          <w:p>
            <w:pPr>
              <w:jc w:val="right"/>
              <w:ind w:right="20"/>
              <w:spacing w:after="0" w:line="177"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line="177" w:lineRule="exact"/>
              <w:rPr>
                <w:sz w:val="20"/>
                <w:szCs w:val="20"/>
                <w:color w:val="auto"/>
              </w:rPr>
            </w:pPr>
            <w:r>
              <w:rPr>
                <w:rFonts w:ascii="Arial" w:cs="Arial" w:eastAsia="Arial" w:hAnsi="Arial"/>
                <w:sz w:val="16"/>
                <w:szCs w:val="16"/>
                <w:color w:val="auto"/>
              </w:rPr>
              <w:t>10,401</w:t>
            </w:r>
          </w:p>
        </w:tc>
        <w:tc>
          <w:tcPr>
            <w:tcW w:w="720" w:type="dxa"/>
            <w:vAlign w:val="bottom"/>
            <w:gridSpan w:val="2"/>
          </w:tcPr>
          <w:p>
            <w:pPr>
              <w:jc w:val="right"/>
              <w:ind w:right="20"/>
              <w:spacing w:after="0" w:line="177" w:lineRule="exact"/>
              <w:rPr>
                <w:sz w:val="20"/>
                <w:szCs w:val="20"/>
                <w:color w:val="auto"/>
              </w:rPr>
            </w:pPr>
            <w:r>
              <w:rPr>
                <w:rFonts w:ascii="Arial" w:cs="Arial" w:eastAsia="Arial" w:hAnsi="Arial"/>
                <w:sz w:val="16"/>
                <w:szCs w:val="16"/>
                <w:color w:val="auto"/>
                <w:w w:val="95"/>
              </w:rPr>
              <w:t>3,434,362</w:t>
            </w:r>
          </w:p>
        </w:tc>
        <w:tc>
          <w:tcPr>
            <w:tcW w:w="780" w:type="dxa"/>
            <w:vAlign w:val="bottom"/>
            <w:gridSpan w:val="3"/>
          </w:tcPr>
          <w:p>
            <w:pPr>
              <w:jc w:val="right"/>
              <w:ind w:right="60"/>
              <w:spacing w:after="0" w:line="177" w:lineRule="exact"/>
              <w:rPr>
                <w:sz w:val="20"/>
                <w:szCs w:val="20"/>
                <w:color w:val="auto"/>
              </w:rPr>
            </w:pPr>
            <w:r>
              <w:rPr>
                <w:rFonts w:ascii="Arial" w:cs="Arial" w:eastAsia="Arial" w:hAnsi="Arial"/>
                <w:sz w:val="16"/>
                <w:szCs w:val="16"/>
                <w:color w:val="auto"/>
                <w:w w:val="98"/>
              </w:rPr>
              <w:t>3,040,019</w:t>
            </w:r>
          </w:p>
        </w:tc>
        <w:tc>
          <w:tcPr>
            <w:tcW w:w="720" w:type="dxa"/>
            <w:vAlign w:val="bottom"/>
            <w:gridSpan w:val="2"/>
          </w:tcPr>
          <w:p>
            <w:pPr>
              <w:jc w:val="right"/>
              <w:ind w:right="20"/>
              <w:spacing w:after="0" w:line="177" w:lineRule="exact"/>
              <w:rPr>
                <w:sz w:val="20"/>
                <w:szCs w:val="20"/>
                <w:color w:val="auto"/>
              </w:rPr>
            </w:pPr>
            <w:r>
              <w:rPr>
                <w:rFonts w:ascii="Arial" w:cs="Arial" w:eastAsia="Arial" w:hAnsi="Arial"/>
                <w:sz w:val="16"/>
                <w:szCs w:val="16"/>
                <w:color w:val="auto"/>
                <w:w w:val="95"/>
              </w:rPr>
              <w:t>2,795,084</w:t>
            </w:r>
          </w:p>
        </w:tc>
        <w:tc>
          <w:tcPr>
            <w:tcW w:w="0" w:type="dxa"/>
            <w:vAlign w:val="bottom"/>
          </w:tcPr>
          <w:p>
            <w:pPr>
              <w:spacing w:after="0"/>
              <w:rPr>
                <w:sz w:val="1"/>
                <w:szCs w:val="1"/>
                <w:color w:val="auto"/>
              </w:rPr>
            </w:pPr>
          </w:p>
        </w:tc>
      </w:tr>
      <w:tr>
        <w:trPr>
          <w:trHeight w:val="175"/>
        </w:trPr>
        <w:tc>
          <w:tcPr>
            <w:tcW w:w="1560" w:type="dxa"/>
            <w:vAlign w:val="bottom"/>
          </w:tcPr>
          <w:p>
            <w:pPr>
              <w:spacing w:after="0" w:line="175" w:lineRule="exact"/>
              <w:rPr>
                <w:sz w:val="20"/>
                <w:szCs w:val="20"/>
                <w:color w:val="auto"/>
              </w:rPr>
            </w:pPr>
            <w:r>
              <w:rPr>
                <w:rFonts w:ascii="Arial" w:cs="Arial" w:eastAsia="Arial" w:hAnsi="Arial"/>
                <w:sz w:val="16"/>
                <w:szCs w:val="16"/>
                <w:color w:val="auto"/>
              </w:rPr>
              <w:t>Amortization of the</w:t>
            </w: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line="175" w:lineRule="exact"/>
              <w:rPr>
                <w:sz w:val="20"/>
                <w:szCs w:val="20"/>
                <w:color w:val="auto"/>
              </w:rPr>
            </w:pPr>
            <w:r>
              <w:rPr>
                <w:rFonts w:ascii="Arial" w:cs="Arial" w:eastAsia="Arial" w:hAnsi="Arial"/>
                <w:sz w:val="16"/>
                <w:szCs w:val="16"/>
                <w:color w:val="auto"/>
              </w:rPr>
              <w:t>period</w:t>
            </w:r>
          </w:p>
        </w:tc>
        <w:tc>
          <w:tcPr>
            <w:tcW w:w="540" w:type="dxa"/>
            <w:vAlign w:val="bottom"/>
          </w:tcPr>
          <w:p>
            <w:pPr>
              <w:spacing w:after="0"/>
              <w:rPr>
                <w:sz w:val="15"/>
                <w:szCs w:val="15"/>
                <w:color w:val="auto"/>
              </w:rPr>
            </w:pPr>
          </w:p>
        </w:tc>
        <w:tc>
          <w:tcPr>
            <w:tcW w:w="6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17,260</w:t>
            </w:r>
          </w:p>
        </w:tc>
        <w:tc>
          <w:tcPr>
            <w:tcW w:w="9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6,351</w:t>
            </w:r>
          </w:p>
        </w:tc>
        <w:tc>
          <w:tcPr>
            <w:tcW w:w="92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3,715</w:t>
            </w:r>
          </w:p>
        </w:tc>
        <w:tc>
          <w:tcPr>
            <w:tcW w:w="10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451,372</w:t>
            </w:r>
          </w:p>
        </w:tc>
        <w:tc>
          <w:tcPr>
            <w:tcW w:w="7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4,196</w:t>
            </w: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482,894</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436,584</w:t>
            </w:r>
          </w:p>
        </w:tc>
        <w:tc>
          <w:tcPr>
            <w:tcW w:w="60" w:type="dxa"/>
            <w:vAlign w:val="bottom"/>
          </w:tcPr>
          <w:p>
            <w:pPr>
              <w:spacing w:after="0"/>
              <w:rPr>
                <w:sz w:val="15"/>
                <w:szCs w:val="15"/>
                <w:color w:val="auto"/>
              </w:rPr>
            </w:pP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403,726</w:t>
            </w:r>
          </w:p>
        </w:tc>
        <w:tc>
          <w:tcPr>
            <w:tcW w:w="0" w:type="dxa"/>
            <w:vAlign w:val="bottom"/>
          </w:tcPr>
          <w:p>
            <w:pPr>
              <w:spacing w:after="0"/>
              <w:rPr>
                <w:sz w:val="1"/>
                <w:szCs w:val="1"/>
                <w:color w:val="auto"/>
              </w:rPr>
            </w:pPr>
          </w:p>
        </w:tc>
      </w:tr>
      <w:tr>
        <w:trPr>
          <w:trHeight w:val="205"/>
        </w:trPr>
        <w:tc>
          <w:tcPr>
            <w:tcW w:w="1560" w:type="dxa"/>
            <w:vAlign w:val="bottom"/>
          </w:tcPr>
          <w:p>
            <w:pPr>
              <w:spacing w:after="0"/>
              <w:rPr>
                <w:sz w:val="20"/>
                <w:szCs w:val="20"/>
                <w:color w:val="auto"/>
              </w:rPr>
            </w:pPr>
            <w:r>
              <w:rPr>
                <w:rFonts w:ascii="Arial" w:cs="Arial" w:eastAsia="Arial" w:hAnsi="Arial"/>
                <w:sz w:val="16"/>
                <w:szCs w:val="16"/>
                <w:color w:val="auto"/>
              </w:rPr>
              <w:t>Disposals and others</w:t>
            </w:r>
          </w:p>
        </w:tc>
        <w:tc>
          <w:tcPr>
            <w:tcW w:w="5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(2,027)</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(1,926)</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(50,764)</w:t>
            </w:r>
          </w:p>
        </w:tc>
        <w:tc>
          <w:tcPr>
            <w:tcW w:w="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(2,898)</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(57,615)</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(42,241)</w:t>
            </w:r>
          </w:p>
        </w:tc>
        <w:tc>
          <w:tcPr>
            <w:tcW w:w="6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(158,791)</w:t>
            </w:r>
          </w:p>
        </w:tc>
        <w:tc>
          <w:tcPr>
            <w:tcW w:w="0" w:type="dxa"/>
            <w:vAlign w:val="bottom"/>
          </w:tcPr>
          <w:p>
            <w:pPr>
              <w:spacing w:after="0"/>
              <w:rPr>
                <w:sz w:val="1"/>
                <w:szCs w:val="1"/>
                <w:color w:val="auto"/>
              </w:rPr>
            </w:pPr>
          </w:p>
        </w:tc>
      </w:tr>
      <w:tr>
        <w:trPr>
          <w:trHeight w:val="147"/>
        </w:trPr>
        <w:tc>
          <w:tcPr>
            <w:tcW w:w="1560" w:type="dxa"/>
            <w:vAlign w:val="bottom"/>
          </w:tcPr>
          <w:p>
            <w:pPr>
              <w:spacing w:after="0" w:line="147" w:lineRule="exact"/>
              <w:rPr>
                <w:sz w:val="20"/>
                <w:szCs w:val="20"/>
                <w:color w:val="auto"/>
              </w:rPr>
            </w:pPr>
            <w:r>
              <w:rPr>
                <w:rFonts w:ascii="Arial" w:cs="Arial" w:eastAsia="Arial" w:hAnsi="Arial"/>
                <w:sz w:val="16"/>
                <w:szCs w:val="16"/>
                <w:b w:val="1"/>
                <w:bCs w:val="1"/>
                <w:color w:val="auto"/>
              </w:rPr>
              <w:t>Balance as of</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332,464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72,666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18,162</w:t>
            </w:r>
          </w:p>
        </w:tc>
        <w:tc>
          <w:tcPr>
            <w:tcW w:w="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21,100</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3,403,550</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11,699</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3,859,641</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w w:val="98"/>
              </w:rPr>
              <w:t>3,434,362</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3,040,019</w:t>
            </w:r>
          </w:p>
        </w:tc>
        <w:tc>
          <w:tcPr>
            <w:tcW w:w="0" w:type="dxa"/>
            <w:vAlign w:val="bottom"/>
          </w:tcPr>
          <w:p>
            <w:pPr>
              <w:spacing w:after="0"/>
              <w:rPr>
                <w:sz w:val="1"/>
                <w:szCs w:val="1"/>
                <w:color w:val="auto"/>
              </w:rPr>
            </w:pPr>
          </w:p>
        </w:tc>
      </w:tr>
      <w:tr>
        <w:trPr>
          <w:trHeight w:val="23"/>
        </w:trPr>
        <w:tc>
          <w:tcPr>
            <w:tcW w:w="1560" w:type="dxa"/>
            <w:vAlign w:val="bottom"/>
            <w:vMerge w:val="restart"/>
          </w:tcPr>
          <w:p>
            <w:pPr>
              <w:spacing w:after="0"/>
              <w:rPr>
                <w:sz w:val="20"/>
                <w:szCs w:val="20"/>
                <w:color w:val="auto"/>
              </w:rPr>
            </w:pPr>
            <w:r>
              <w:rPr>
                <w:rFonts w:ascii="Arial" w:cs="Arial" w:eastAsia="Arial" w:hAnsi="Arial"/>
                <w:sz w:val="16"/>
                <w:szCs w:val="16"/>
                <w:b w:val="1"/>
                <w:bCs w:val="1"/>
                <w:color w:val="auto"/>
                <w:w w:val="98"/>
              </w:rPr>
              <w:t>Net carrying amount</w:t>
            </w: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2"/>
        </w:trPr>
        <w:tc>
          <w:tcPr>
            <w:tcW w:w="15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39,545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102,655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51,379</w:t>
            </w:r>
          </w:p>
        </w:tc>
        <w:tc>
          <w:tcPr>
            <w:tcW w:w="4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1,763,123</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608,747</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1,347</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2,566,796</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w w:val="98"/>
              </w:rPr>
              <w:t>2,427,017</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2,127,216</w:t>
            </w: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847"/>
        <w:spacing w:after="0" w:line="255" w:lineRule="auto"/>
        <w:rPr>
          <w:sz w:val="20"/>
          <w:szCs w:val="20"/>
          <w:color w:val="auto"/>
        </w:rPr>
      </w:pPr>
      <w:r>
        <w:rPr>
          <w:rFonts w:ascii="Arial" w:cs="Arial" w:eastAsia="Arial" w:hAnsi="Arial"/>
          <w:sz w:val="16"/>
          <w:szCs w:val="16"/>
          <w:color w:val="auto"/>
        </w:rPr>
        <w:t>Management periodically reviews the residual value of intangibles, the useful life and the amortization method used in order to ensure that they are consistent with the economic benefit and life expectancy.</w:t>
      </w:r>
    </w:p>
    <w:p>
      <w:pPr>
        <w:spacing w:after="0" w:line="134" w:lineRule="exact"/>
        <w:rPr>
          <w:sz w:val="20"/>
          <w:szCs w:val="20"/>
          <w:color w:val="auto"/>
        </w:rPr>
      </w:pPr>
    </w:p>
    <w:p>
      <w:pPr>
        <w:jc w:val="both"/>
        <w:ind w:left="847"/>
        <w:spacing w:after="0" w:line="241" w:lineRule="auto"/>
        <w:rPr>
          <w:sz w:val="20"/>
          <w:szCs w:val="20"/>
          <w:color w:val="auto"/>
        </w:rPr>
      </w:pPr>
      <w:r>
        <w:rPr>
          <w:rFonts w:ascii="Arial" w:cs="Arial" w:eastAsia="Arial" w:hAnsi="Arial"/>
          <w:sz w:val="16"/>
          <w:szCs w:val="16"/>
          <w:color w:val="auto"/>
        </w:rPr>
        <w:t>The Group during 2024 and 2023 made disbursements related to the implementation and development of IT projects as limited-life intangibles that include the acquisition of software, development of internal systems and improvement of technological platforms used in the Bank's operations, such as Yape, IO virtual card application, Mobile Banking, Telecredit and others.</w:t>
      </w:r>
    </w:p>
    <w:p>
      <w:pPr>
        <w:spacing w:after="0" w:line="146" w:lineRule="exact"/>
        <w:rPr>
          <w:sz w:val="20"/>
          <w:szCs w:val="20"/>
          <w:color w:val="auto"/>
        </w:rPr>
      </w:pPr>
    </w:p>
    <w:p>
      <w:pPr>
        <w:jc w:val="both"/>
        <w:ind w:left="847"/>
        <w:spacing w:after="0" w:line="241" w:lineRule="auto"/>
        <w:rPr>
          <w:sz w:val="20"/>
          <w:szCs w:val="20"/>
          <w:color w:val="auto"/>
        </w:rPr>
      </w:pPr>
      <w:r>
        <w:rPr>
          <w:rFonts w:ascii="Arial" w:cs="Arial" w:eastAsia="Arial" w:hAnsi="Arial"/>
          <w:sz w:val="16"/>
          <w:szCs w:val="16"/>
          <w:color w:val="auto"/>
        </w:rPr>
        <w:t>Due to the implementation of IFRS 17, the amortization expense of intangible assets is distributed in the consolidated statement of income under amortization and attributable expense under insurance and reinsurance income for S/420.9 million and S/62.0 million, respectively, for the year 2024; S/386.1 million and S/50.5 million, respectively, for the year 2023.</w:t>
      </w:r>
    </w:p>
    <w:p>
      <w:pPr>
        <w:spacing w:after="0" w:line="146" w:lineRule="exact"/>
        <w:rPr>
          <w:sz w:val="20"/>
          <w:szCs w:val="20"/>
          <w:color w:val="auto"/>
        </w:rPr>
      </w:pPr>
    </w:p>
    <w:p>
      <w:pPr>
        <w:jc w:val="both"/>
        <w:ind w:left="847"/>
        <w:spacing w:after="0" w:line="255" w:lineRule="auto"/>
        <w:rPr>
          <w:sz w:val="20"/>
          <w:szCs w:val="20"/>
          <w:color w:val="auto"/>
        </w:rPr>
      </w:pPr>
      <w:r>
        <w:rPr>
          <w:rFonts w:ascii="Arial" w:cs="Arial" w:eastAsia="Arial" w:hAnsi="Arial"/>
          <w:sz w:val="16"/>
          <w:szCs w:val="16"/>
          <w:color w:val="auto"/>
        </w:rPr>
        <w:t>In the opinion of the Group's Management, there is no evidence of impairment in the value of the intangibles held by the Group as of December 31, 2024, 2023 and 2022.</w:t>
      </w:r>
    </w:p>
    <w:p>
      <w:pPr>
        <w:spacing w:after="0" w:line="29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6"/>
        </w:trPr>
        <w:tc>
          <w:tcPr>
            <w:tcW w:w="1060" w:type="dxa"/>
            <w:vAlign w:val="bottom"/>
          </w:tcPr>
          <w:p>
            <w:pPr>
              <w:ind w:left="840"/>
              <w:spacing w:after="0"/>
              <w:rPr>
                <w:sz w:val="20"/>
                <w:szCs w:val="20"/>
                <w:color w:val="auto"/>
              </w:rPr>
            </w:pPr>
            <w:r>
              <w:rPr>
                <w:rFonts w:ascii="Arial" w:cs="Arial" w:eastAsia="Arial" w:hAnsi="Arial"/>
                <w:sz w:val="16"/>
                <w:szCs w:val="16"/>
                <w:color w:val="auto"/>
              </w:rPr>
              <w:t>(i)</w:t>
            </w:r>
          </w:p>
        </w:tc>
        <w:tc>
          <w:tcPr>
            <w:tcW w:w="4220" w:type="dxa"/>
            <w:vAlign w:val="bottom"/>
          </w:tcPr>
          <w:p>
            <w:pPr>
              <w:ind w:left="60"/>
              <w:spacing w:after="0"/>
              <w:rPr>
                <w:sz w:val="20"/>
                <w:szCs w:val="20"/>
                <w:color w:val="auto"/>
              </w:rPr>
            </w:pPr>
            <w:r>
              <w:rPr>
                <w:rFonts w:ascii="Arial" w:cs="Arial" w:eastAsia="Arial" w:hAnsi="Arial"/>
                <w:sz w:val="16"/>
                <w:szCs w:val="16"/>
                <w:color w:val="auto"/>
              </w:rPr>
              <w:t>Client relationships -</w:t>
            </w:r>
          </w:p>
        </w:tc>
        <w:tc>
          <w:tcPr>
            <w:tcW w:w="3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50"/>
        </w:trPr>
        <w:tc>
          <w:tcPr>
            <w:tcW w:w="106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6"/>
                <w:szCs w:val="16"/>
                <w:color w:val="auto"/>
              </w:rPr>
              <w:t>This item consists of the following:</w:t>
            </w:r>
          </w:p>
        </w:tc>
        <w:tc>
          <w:tcPr>
            <w:tcW w:w="3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5"/>
        </w:trPr>
        <w:tc>
          <w:tcPr>
            <w:tcW w:w="10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140" w:type="dxa"/>
            <w:vAlign w:val="bottom"/>
            <w:gridSpan w:val="2"/>
          </w:tcPr>
          <w:p>
            <w:pPr>
              <w:jc w:val="right"/>
              <w:ind w:right="58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22"/>
              <w:spacing w:after="0"/>
              <w:rPr>
                <w:sz w:val="20"/>
                <w:szCs w:val="20"/>
                <w:color w:val="auto"/>
              </w:rPr>
            </w:pPr>
            <w:r>
              <w:rPr>
                <w:rFonts w:ascii="Arial" w:cs="Arial" w:eastAsia="Arial" w:hAnsi="Arial"/>
                <w:sz w:val="16"/>
                <w:szCs w:val="16"/>
                <w:b w:val="1"/>
                <w:bCs w:val="1"/>
                <w:color w:val="auto"/>
                <w:w w:val="89"/>
              </w:rPr>
              <w:t>2023</w:t>
            </w:r>
          </w:p>
        </w:tc>
        <w:tc>
          <w:tcPr>
            <w:tcW w:w="620" w:type="dxa"/>
            <w:vAlign w:val="bottom"/>
          </w:tcPr>
          <w:p>
            <w:pPr>
              <w:spacing w:after="0"/>
              <w:rPr>
                <w:sz w:val="24"/>
                <w:szCs w:val="24"/>
                <w:color w:val="auto"/>
              </w:rPr>
            </w:pPr>
          </w:p>
        </w:tc>
      </w:tr>
      <w:tr>
        <w:trPr>
          <w:trHeight w:val="206"/>
        </w:trPr>
        <w:tc>
          <w:tcPr>
            <w:tcW w:w="10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620" w:type="dxa"/>
            <w:vAlign w:val="bottom"/>
          </w:tcPr>
          <w:p>
            <w:pPr>
              <w:spacing w:after="0"/>
              <w:rPr>
                <w:sz w:val="17"/>
                <w:szCs w:val="17"/>
                <w:color w:val="auto"/>
              </w:rPr>
            </w:pPr>
          </w:p>
        </w:tc>
      </w:tr>
      <w:tr>
        <w:trPr>
          <w:trHeight w:val="296"/>
        </w:trPr>
        <w:tc>
          <w:tcPr>
            <w:tcW w:w="106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6"/>
                <w:szCs w:val="16"/>
                <w:color w:val="auto"/>
              </w:rPr>
              <w:t>Prima AFP - AFP Unión Vida</w:t>
            </w:r>
          </w:p>
        </w:tc>
        <w:tc>
          <w:tcPr>
            <w:tcW w:w="4160" w:type="dxa"/>
            <w:vAlign w:val="bottom"/>
            <w:gridSpan w:val="3"/>
          </w:tcPr>
          <w:p>
            <w:pPr>
              <w:jc w:val="right"/>
              <w:ind w:right="20"/>
              <w:spacing w:after="0"/>
              <w:rPr>
                <w:sz w:val="20"/>
                <w:szCs w:val="20"/>
                <w:color w:val="auto"/>
              </w:rPr>
            </w:pPr>
            <w:r>
              <w:rPr>
                <w:rFonts w:ascii="Arial" w:cs="Arial" w:eastAsia="Arial" w:hAnsi="Arial"/>
                <w:sz w:val="16"/>
                <w:szCs w:val="16"/>
                <w:color w:val="auto"/>
              </w:rPr>
              <w:t>20,813</w:t>
            </w:r>
          </w:p>
        </w:tc>
        <w:tc>
          <w:tcPr>
            <w:tcW w:w="160" w:type="dxa"/>
            <w:vAlign w:val="bottom"/>
          </w:tcPr>
          <w:p>
            <w:pPr>
              <w:spacing w:after="0"/>
              <w:rPr>
                <w:sz w:val="24"/>
                <w:szCs w:val="2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6"/>
                <w:szCs w:val="16"/>
                <w:color w:val="auto"/>
              </w:rPr>
              <w:t>32,629</w:t>
            </w:r>
          </w:p>
        </w:tc>
      </w:tr>
      <w:tr>
        <w:trPr>
          <w:trHeight w:val="175"/>
        </w:trPr>
        <w:tc>
          <w:tcPr>
            <w:tcW w:w="1060" w:type="dxa"/>
            <w:vAlign w:val="bottom"/>
          </w:tcPr>
          <w:p>
            <w:pPr>
              <w:spacing w:after="0"/>
              <w:rPr>
                <w:sz w:val="15"/>
                <w:szCs w:val="15"/>
                <w:color w:val="auto"/>
              </w:rPr>
            </w:pPr>
          </w:p>
        </w:tc>
        <w:tc>
          <w:tcPr>
            <w:tcW w:w="4220" w:type="dxa"/>
            <w:vAlign w:val="bottom"/>
          </w:tcPr>
          <w:p>
            <w:pPr>
              <w:ind w:left="60"/>
              <w:spacing w:after="0" w:line="175" w:lineRule="exact"/>
              <w:rPr>
                <w:sz w:val="20"/>
                <w:szCs w:val="20"/>
                <w:color w:val="auto"/>
              </w:rPr>
            </w:pPr>
            <w:r>
              <w:rPr>
                <w:rFonts w:ascii="Arial" w:cs="Arial" w:eastAsia="Arial" w:hAnsi="Arial"/>
                <w:sz w:val="16"/>
                <w:szCs w:val="16"/>
                <w:color w:val="auto"/>
              </w:rPr>
              <w:t>Credicorp Capital Holding Chile - Inversiones IMT</w:t>
            </w:r>
          </w:p>
        </w:tc>
        <w:tc>
          <w:tcPr>
            <w:tcW w:w="4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10,892</w:t>
            </w:r>
          </w:p>
        </w:tc>
        <w:tc>
          <w:tcPr>
            <w:tcW w:w="160" w:type="dxa"/>
            <w:vAlign w:val="bottom"/>
          </w:tcPr>
          <w:p>
            <w:pPr>
              <w:spacing w:after="0"/>
              <w:rPr>
                <w:sz w:val="15"/>
                <w:szCs w:val="15"/>
                <w:color w:val="auto"/>
              </w:rPr>
            </w:pPr>
          </w:p>
        </w:tc>
        <w:tc>
          <w:tcPr>
            <w:tcW w:w="1660" w:type="dxa"/>
            <w:vAlign w:val="bottom"/>
            <w:gridSpan w:val="2"/>
          </w:tcPr>
          <w:p>
            <w:pPr>
              <w:jc w:val="right"/>
              <w:ind w:right="620"/>
              <w:spacing w:after="0" w:line="175" w:lineRule="exact"/>
              <w:rPr>
                <w:sz w:val="20"/>
                <w:szCs w:val="20"/>
                <w:color w:val="auto"/>
              </w:rPr>
            </w:pPr>
            <w:r>
              <w:rPr>
                <w:rFonts w:ascii="Arial" w:cs="Arial" w:eastAsia="Arial" w:hAnsi="Arial"/>
                <w:sz w:val="16"/>
                <w:szCs w:val="16"/>
                <w:color w:val="auto"/>
              </w:rPr>
              <w:t>13,410</w:t>
            </w:r>
          </w:p>
        </w:tc>
      </w:tr>
      <w:tr>
        <w:trPr>
          <w:trHeight w:val="175"/>
        </w:trPr>
        <w:tc>
          <w:tcPr>
            <w:tcW w:w="1060" w:type="dxa"/>
            <w:vAlign w:val="bottom"/>
          </w:tcPr>
          <w:p>
            <w:pPr>
              <w:spacing w:after="0"/>
              <w:rPr>
                <w:sz w:val="15"/>
                <w:szCs w:val="15"/>
                <w:color w:val="auto"/>
              </w:rPr>
            </w:pPr>
          </w:p>
        </w:tc>
        <w:tc>
          <w:tcPr>
            <w:tcW w:w="4220" w:type="dxa"/>
            <w:vAlign w:val="bottom"/>
          </w:tcPr>
          <w:p>
            <w:pPr>
              <w:ind w:left="60"/>
              <w:spacing w:after="0" w:line="175" w:lineRule="exact"/>
              <w:rPr>
                <w:sz w:val="20"/>
                <w:szCs w:val="20"/>
                <w:color w:val="auto"/>
              </w:rPr>
            </w:pPr>
            <w:r>
              <w:rPr>
                <w:rFonts w:ascii="Arial" w:cs="Arial" w:eastAsia="Arial" w:hAnsi="Arial"/>
                <w:sz w:val="16"/>
                <w:szCs w:val="16"/>
                <w:color w:val="auto"/>
              </w:rPr>
              <w:t>Ultraserfinco</w:t>
            </w:r>
          </w:p>
        </w:tc>
        <w:tc>
          <w:tcPr>
            <w:tcW w:w="4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5,049</w:t>
            </w:r>
          </w:p>
        </w:tc>
        <w:tc>
          <w:tcPr>
            <w:tcW w:w="160" w:type="dxa"/>
            <w:vAlign w:val="bottom"/>
          </w:tcPr>
          <w:p>
            <w:pPr>
              <w:spacing w:after="0"/>
              <w:rPr>
                <w:sz w:val="15"/>
                <w:szCs w:val="15"/>
                <w:color w:val="auto"/>
              </w:rPr>
            </w:pPr>
          </w:p>
        </w:tc>
        <w:tc>
          <w:tcPr>
            <w:tcW w:w="1660" w:type="dxa"/>
            <w:vAlign w:val="bottom"/>
            <w:gridSpan w:val="2"/>
          </w:tcPr>
          <w:p>
            <w:pPr>
              <w:jc w:val="right"/>
              <w:ind w:right="620"/>
              <w:spacing w:after="0" w:line="175" w:lineRule="exact"/>
              <w:rPr>
                <w:sz w:val="20"/>
                <w:szCs w:val="20"/>
                <w:color w:val="auto"/>
              </w:rPr>
            </w:pPr>
            <w:r>
              <w:rPr>
                <w:rFonts w:ascii="Arial" w:cs="Arial" w:eastAsia="Arial" w:hAnsi="Arial"/>
                <w:sz w:val="16"/>
                <w:szCs w:val="16"/>
                <w:color w:val="auto"/>
              </w:rPr>
              <w:t>7,072</w:t>
            </w:r>
          </w:p>
        </w:tc>
      </w:tr>
      <w:tr>
        <w:trPr>
          <w:trHeight w:val="175"/>
        </w:trPr>
        <w:tc>
          <w:tcPr>
            <w:tcW w:w="1060" w:type="dxa"/>
            <w:vAlign w:val="bottom"/>
          </w:tcPr>
          <w:p>
            <w:pPr>
              <w:spacing w:after="0"/>
              <w:rPr>
                <w:sz w:val="15"/>
                <w:szCs w:val="15"/>
                <w:color w:val="auto"/>
              </w:rPr>
            </w:pPr>
          </w:p>
        </w:tc>
        <w:tc>
          <w:tcPr>
            <w:tcW w:w="4220" w:type="dxa"/>
            <w:vAlign w:val="bottom"/>
          </w:tcPr>
          <w:p>
            <w:pPr>
              <w:ind w:left="60"/>
              <w:spacing w:after="0" w:line="175" w:lineRule="exact"/>
              <w:rPr>
                <w:sz w:val="20"/>
                <w:szCs w:val="20"/>
                <w:color w:val="auto"/>
              </w:rPr>
            </w:pPr>
            <w:r>
              <w:rPr>
                <w:rFonts w:ascii="Arial" w:cs="Arial" w:eastAsia="Arial" w:hAnsi="Arial"/>
                <w:sz w:val="16"/>
                <w:szCs w:val="16"/>
                <w:color w:val="auto"/>
              </w:rPr>
              <w:t>Tenpo SpA</w:t>
            </w:r>
          </w:p>
        </w:tc>
        <w:tc>
          <w:tcPr>
            <w:tcW w:w="4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1,011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620"/>
              <w:spacing w:after="0" w:line="175" w:lineRule="exact"/>
              <w:rPr>
                <w:sz w:val="20"/>
                <w:szCs w:val="20"/>
                <w:color w:val="auto"/>
              </w:rPr>
            </w:pPr>
            <w:r>
              <w:rPr>
                <w:rFonts w:ascii="Arial" w:cs="Arial" w:eastAsia="Arial" w:hAnsi="Arial"/>
                <w:sz w:val="16"/>
                <w:szCs w:val="16"/>
                <w:color w:val="auto"/>
              </w:rPr>
              <w:t>1,264</w:t>
            </w:r>
          </w:p>
        </w:tc>
      </w:tr>
      <w:tr>
        <w:trPr>
          <w:trHeight w:val="175"/>
        </w:trPr>
        <w:tc>
          <w:tcPr>
            <w:tcW w:w="1060" w:type="dxa"/>
            <w:vAlign w:val="bottom"/>
          </w:tcPr>
          <w:p>
            <w:pPr>
              <w:spacing w:after="0"/>
              <w:rPr>
                <w:sz w:val="15"/>
                <w:szCs w:val="15"/>
                <w:color w:val="auto"/>
              </w:rPr>
            </w:pPr>
          </w:p>
        </w:tc>
        <w:tc>
          <w:tcPr>
            <w:tcW w:w="4220" w:type="dxa"/>
            <w:vAlign w:val="bottom"/>
          </w:tcPr>
          <w:p>
            <w:pPr>
              <w:ind w:left="60"/>
              <w:spacing w:after="0" w:line="175" w:lineRule="exact"/>
              <w:rPr>
                <w:sz w:val="20"/>
                <w:szCs w:val="20"/>
                <w:color w:val="auto"/>
              </w:rPr>
            </w:pPr>
            <w:r>
              <w:rPr>
                <w:rFonts w:ascii="Arial" w:cs="Arial" w:eastAsia="Arial" w:hAnsi="Arial"/>
                <w:sz w:val="16"/>
                <w:szCs w:val="16"/>
                <w:color w:val="auto"/>
              </w:rPr>
              <w:t>Compañía Incubadora de Soluciones Móviles S.A.- Culqi</w:t>
            </w:r>
          </w:p>
        </w:tc>
        <w:tc>
          <w:tcPr>
            <w:tcW w:w="4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1,467</w:t>
            </w:r>
          </w:p>
        </w:tc>
        <w:tc>
          <w:tcPr>
            <w:tcW w:w="160" w:type="dxa"/>
            <w:vAlign w:val="bottom"/>
          </w:tcPr>
          <w:p>
            <w:pPr>
              <w:spacing w:after="0"/>
              <w:rPr>
                <w:sz w:val="15"/>
                <w:szCs w:val="15"/>
                <w:color w:val="auto"/>
              </w:rPr>
            </w:pPr>
          </w:p>
        </w:tc>
        <w:tc>
          <w:tcPr>
            <w:tcW w:w="1660" w:type="dxa"/>
            <w:vAlign w:val="bottom"/>
            <w:gridSpan w:val="2"/>
          </w:tcPr>
          <w:p>
            <w:pPr>
              <w:jc w:val="right"/>
              <w:ind w:right="620"/>
              <w:spacing w:after="0" w:line="175" w:lineRule="exact"/>
              <w:rPr>
                <w:sz w:val="20"/>
                <w:szCs w:val="20"/>
                <w:color w:val="auto"/>
              </w:rPr>
            </w:pPr>
            <w:r>
              <w:rPr>
                <w:rFonts w:ascii="Arial" w:cs="Arial" w:eastAsia="Arial" w:hAnsi="Arial"/>
                <w:sz w:val="16"/>
                <w:szCs w:val="16"/>
                <w:color w:val="auto"/>
              </w:rPr>
              <w:t>1,792</w:t>
            </w:r>
          </w:p>
        </w:tc>
      </w:tr>
      <w:tr>
        <w:trPr>
          <w:trHeight w:val="190"/>
        </w:trPr>
        <w:tc>
          <w:tcPr>
            <w:tcW w:w="1060" w:type="dxa"/>
            <w:vAlign w:val="bottom"/>
          </w:tcPr>
          <w:p>
            <w:pPr>
              <w:spacing w:after="0"/>
              <w:rPr>
                <w:sz w:val="16"/>
                <w:szCs w:val="16"/>
                <w:color w:val="auto"/>
              </w:rPr>
            </w:pPr>
          </w:p>
        </w:tc>
        <w:tc>
          <w:tcPr>
            <w:tcW w:w="4220" w:type="dxa"/>
            <w:vAlign w:val="bottom"/>
          </w:tcPr>
          <w:p>
            <w:pPr>
              <w:ind w:left="60"/>
              <w:spacing w:after="0"/>
              <w:rPr>
                <w:sz w:val="20"/>
                <w:szCs w:val="20"/>
                <w:color w:val="auto"/>
              </w:rPr>
            </w:pPr>
            <w:r>
              <w:rPr>
                <w:rFonts w:ascii="Arial" w:cs="Arial" w:eastAsia="Arial" w:hAnsi="Arial"/>
                <w:sz w:val="16"/>
                <w:szCs w:val="16"/>
                <w:color w:val="auto"/>
              </w:rPr>
              <w:t>Joinnus</w:t>
            </w:r>
          </w:p>
        </w:tc>
        <w:tc>
          <w:tcPr>
            <w:tcW w:w="4140" w:type="dxa"/>
            <w:vAlign w:val="bottom"/>
            <w:gridSpan w:val="2"/>
          </w:tcPr>
          <w:p>
            <w:pPr>
              <w:jc w:val="right"/>
              <w:spacing w:after="0"/>
              <w:rPr>
                <w:sz w:val="20"/>
                <w:szCs w:val="20"/>
                <w:color w:val="auto"/>
              </w:rPr>
            </w:pPr>
            <w:r>
              <w:rPr>
                <w:rFonts w:ascii="Arial" w:cs="Arial" w:eastAsia="Arial" w:hAnsi="Arial"/>
                <w:sz w:val="16"/>
                <w:szCs w:val="16"/>
                <w:color w:val="auto"/>
              </w:rPr>
              <w:t>313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6"/>
                <w:szCs w:val="16"/>
                <w:color w:val="auto"/>
              </w:rPr>
              <w:t>2,507</w:t>
            </w:r>
          </w:p>
        </w:tc>
      </w:tr>
      <w:tr>
        <w:trPr>
          <w:trHeight w:val="170"/>
        </w:trPr>
        <w:tc>
          <w:tcPr>
            <w:tcW w:w="1060" w:type="dxa"/>
            <w:vAlign w:val="bottom"/>
          </w:tcPr>
          <w:p>
            <w:pPr>
              <w:spacing w:after="0"/>
              <w:rPr>
                <w:sz w:val="14"/>
                <w:szCs w:val="14"/>
                <w:color w:val="auto"/>
              </w:rPr>
            </w:pPr>
          </w:p>
        </w:tc>
        <w:tc>
          <w:tcPr>
            <w:tcW w:w="4220" w:type="dxa"/>
            <w:vAlign w:val="bottom"/>
          </w:tcPr>
          <w:p>
            <w:pPr>
              <w:ind w:left="60"/>
              <w:spacing w:after="0" w:line="167" w:lineRule="exact"/>
              <w:rPr>
                <w:sz w:val="20"/>
                <w:szCs w:val="20"/>
                <w:color w:val="auto"/>
              </w:rPr>
            </w:pPr>
            <w:r>
              <w:rPr>
                <w:rFonts w:ascii="Arial" w:cs="Arial" w:eastAsia="Arial" w:hAnsi="Arial"/>
                <w:sz w:val="16"/>
                <w:szCs w:val="16"/>
                <w:b w:val="1"/>
                <w:bCs w:val="1"/>
                <w:color w:val="auto"/>
              </w:rPr>
              <w:t>Net carrying amount</w:t>
            </w:r>
          </w:p>
        </w:tc>
        <w:tc>
          <w:tcPr>
            <w:tcW w:w="31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39,545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58,674</w:t>
            </w:r>
          </w:p>
        </w:tc>
        <w:tc>
          <w:tcPr>
            <w:tcW w:w="620" w:type="dxa"/>
            <w:vAlign w:val="bottom"/>
          </w:tcPr>
          <w:p>
            <w:pPr>
              <w:spacing w:after="0"/>
              <w:rPr>
                <w:sz w:val="14"/>
                <w:szCs w:val="14"/>
                <w:color w:val="auto"/>
              </w:rPr>
            </w:pPr>
          </w:p>
        </w:tc>
      </w:tr>
      <w:tr>
        <w:trPr>
          <w:trHeight w:val="365"/>
        </w:trPr>
        <w:tc>
          <w:tcPr>
            <w:tcW w:w="1060" w:type="dxa"/>
            <w:vAlign w:val="bottom"/>
          </w:tcPr>
          <w:p>
            <w:pPr>
              <w:ind w:left="840"/>
              <w:spacing w:after="0"/>
              <w:rPr>
                <w:sz w:val="20"/>
                <w:szCs w:val="20"/>
                <w:color w:val="auto"/>
              </w:rPr>
            </w:pPr>
            <w:r>
              <w:rPr>
                <w:rFonts w:ascii="Arial" w:cs="Arial" w:eastAsia="Arial" w:hAnsi="Arial"/>
                <w:sz w:val="16"/>
                <w:szCs w:val="16"/>
                <w:color w:val="auto"/>
              </w:rPr>
              <w:t>(ii)</w:t>
            </w:r>
          </w:p>
        </w:tc>
        <w:tc>
          <w:tcPr>
            <w:tcW w:w="4220" w:type="dxa"/>
            <w:vAlign w:val="bottom"/>
          </w:tcPr>
          <w:p>
            <w:pPr>
              <w:ind w:left="60"/>
              <w:spacing w:after="0"/>
              <w:rPr>
                <w:sz w:val="20"/>
                <w:szCs w:val="20"/>
                <w:color w:val="auto"/>
              </w:rPr>
            </w:pPr>
            <w:r>
              <w:rPr>
                <w:rFonts w:ascii="Arial" w:cs="Arial" w:eastAsia="Arial" w:hAnsi="Arial"/>
                <w:sz w:val="16"/>
                <w:szCs w:val="16"/>
                <w:color w:val="auto"/>
              </w:rPr>
              <w:t>Brand name –</w:t>
            </w:r>
          </w:p>
        </w:tc>
        <w:tc>
          <w:tcPr>
            <w:tcW w:w="3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5"/>
        </w:trPr>
        <w:tc>
          <w:tcPr>
            <w:tcW w:w="10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140" w:type="dxa"/>
            <w:vAlign w:val="bottom"/>
            <w:gridSpan w:val="2"/>
          </w:tcPr>
          <w:p>
            <w:pPr>
              <w:jc w:val="right"/>
              <w:ind w:right="58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22"/>
              <w:spacing w:after="0"/>
              <w:rPr>
                <w:sz w:val="20"/>
                <w:szCs w:val="20"/>
                <w:color w:val="auto"/>
              </w:rPr>
            </w:pPr>
            <w:r>
              <w:rPr>
                <w:rFonts w:ascii="Arial" w:cs="Arial" w:eastAsia="Arial" w:hAnsi="Arial"/>
                <w:sz w:val="16"/>
                <w:szCs w:val="16"/>
                <w:b w:val="1"/>
                <w:bCs w:val="1"/>
                <w:color w:val="auto"/>
                <w:w w:val="89"/>
              </w:rPr>
              <w:t>2023</w:t>
            </w:r>
          </w:p>
        </w:tc>
        <w:tc>
          <w:tcPr>
            <w:tcW w:w="620" w:type="dxa"/>
            <w:vAlign w:val="bottom"/>
          </w:tcPr>
          <w:p>
            <w:pPr>
              <w:spacing w:after="0"/>
              <w:rPr>
                <w:sz w:val="24"/>
                <w:szCs w:val="24"/>
                <w:color w:val="auto"/>
              </w:rPr>
            </w:pPr>
          </w:p>
        </w:tc>
      </w:tr>
      <w:tr>
        <w:trPr>
          <w:trHeight w:val="206"/>
        </w:trPr>
        <w:tc>
          <w:tcPr>
            <w:tcW w:w="10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620" w:type="dxa"/>
            <w:vAlign w:val="bottom"/>
          </w:tcPr>
          <w:p>
            <w:pPr>
              <w:spacing w:after="0"/>
              <w:rPr>
                <w:sz w:val="17"/>
                <w:szCs w:val="17"/>
                <w:color w:val="auto"/>
              </w:rPr>
            </w:pPr>
          </w:p>
        </w:tc>
      </w:tr>
      <w:tr>
        <w:trPr>
          <w:trHeight w:val="296"/>
        </w:trPr>
        <w:tc>
          <w:tcPr>
            <w:tcW w:w="106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6"/>
                <w:szCs w:val="16"/>
                <w:color w:val="auto"/>
              </w:rPr>
              <w:t>MiBanco</w:t>
            </w:r>
          </w:p>
        </w:tc>
        <w:tc>
          <w:tcPr>
            <w:tcW w:w="4160" w:type="dxa"/>
            <w:vAlign w:val="bottom"/>
            <w:gridSpan w:val="3"/>
          </w:tcPr>
          <w:p>
            <w:pPr>
              <w:jc w:val="right"/>
              <w:ind w:right="20"/>
              <w:spacing w:after="0"/>
              <w:rPr>
                <w:sz w:val="20"/>
                <w:szCs w:val="20"/>
                <w:color w:val="auto"/>
              </w:rPr>
            </w:pPr>
            <w:r>
              <w:rPr>
                <w:rFonts w:ascii="Arial" w:cs="Arial" w:eastAsia="Arial" w:hAnsi="Arial"/>
                <w:sz w:val="16"/>
                <w:szCs w:val="16"/>
                <w:color w:val="auto"/>
              </w:rPr>
              <w:t>99,437</w:t>
            </w:r>
          </w:p>
        </w:tc>
        <w:tc>
          <w:tcPr>
            <w:tcW w:w="160" w:type="dxa"/>
            <w:vAlign w:val="bottom"/>
          </w:tcPr>
          <w:p>
            <w:pPr>
              <w:spacing w:after="0"/>
              <w:rPr>
                <w:sz w:val="24"/>
                <w:szCs w:val="2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6"/>
                <w:szCs w:val="16"/>
                <w:color w:val="auto"/>
              </w:rPr>
              <w:t>105,244</w:t>
            </w:r>
          </w:p>
        </w:tc>
      </w:tr>
      <w:tr>
        <w:trPr>
          <w:trHeight w:val="175"/>
        </w:trPr>
        <w:tc>
          <w:tcPr>
            <w:tcW w:w="1060" w:type="dxa"/>
            <w:vAlign w:val="bottom"/>
          </w:tcPr>
          <w:p>
            <w:pPr>
              <w:spacing w:after="0"/>
              <w:rPr>
                <w:sz w:val="15"/>
                <w:szCs w:val="15"/>
                <w:color w:val="auto"/>
              </w:rPr>
            </w:pPr>
          </w:p>
        </w:tc>
        <w:tc>
          <w:tcPr>
            <w:tcW w:w="4220" w:type="dxa"/>
            <w:vAlign w:val="bottom"/>
          </w:tcPr>
          <w:p>
            <w:pPr>
              <w:ind w:left="60"/>
              <w:spacing w:after="0" w:line="175" w:lineRule="exact"/>
              <w:rPr>
                <w:sz w:val="20"/>
                <w:szCs w:val="20"/>
                <w:color w:val="auto"/>
              </w:rPr>
            </w:pPr>
            <w:r>
              <w:rPr>
                <w:rFonts w:ascii="Arial" w:cs="Arial" w:eastAsia="Arial" w:hAnsi="Arial"/>
                <w:sz w:val="16"/>
                <w:szCs w:val="16"/>
                <w:color w:val="auto"/>
              </w:rPr>
              <w:t>Joinnus</w:t>
            </w:r>
          </w:p>
        </w:tc>
        <w:tc>
          <w:tcPr>
            <w:tcW w:w="4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3,155</w:t>
            </w:r>
          </w:p>
        </w:tc>
        <w:tc>
          <w:tcPr>
            <w:tcW w:w="160" w:type="dxa"/>
            <w:vAlign w:val="bottom"/>
          </w:tcPr>
          <w:p>
            <w:pPr>
              <w:spacing w:after="0"/>
              <w:rPr>
                <w:sz w:val="15"/>
                <w:szCs w:val="15"/>
                <w:color w:val="auto"/>
              </w:rPr>
            </w:pPr>
          </w:p>
        </w:tc>
        <w:tc>
          <w:tcPr>
            <w:tcW w:w="1660" w:type="dxa"/>
            <w:vAlign w:val="bottom"/>
            <w:gridSpan w:val="2"/>
          </w:tcPr>
          <w:p>
            <w:pPr>
              <w:jc w:val="right"/>
              <w:ind w:right="620"/>
              <w:spacing w:after="0" w:line="175" w:lineRule="exact"/>
              <w:rPr>
                <w:sz w:val="20"/>
                <w:szCs w:val="20"/>
                <w:color w:val="auto"/>
              </w:rPr>
            </w:pPr>
            <w:r>
              <w:rPr>
                <w:rFonts w:ascii="Arial" w:cs="Arial" w:eastAsia="Arial" w:hAnsi="Arial"/>
                <w:sz w:val="16"/>
                <w:szCs w:val="16"/>
                <w:color w:val="auto"/>
              </w:rPr>
              <w:t>3,457</w:t>
            </w:r>
          </w:p>
        </w:tc>
      </w:tr>
      <w:tr>
        <w:trPr>
          <w:trHeight w:val="190"/>
        </w:trPr>
        <w:tc>
          <w:tcPr>
            <w:tcW w:w="1060" w:type="dxa"/>
            <w:vAlign w:val="bottom"/>
          </w:tcPr>
          <w:p>
            <w:pPr>
              <w:spacing w:after="0"/>
              <w:rPr>
                <w:sz w:val="16"/>
                <w:szCs w:val="16"/>
                <w:color w:val="auto"/>
              </w:rPr>
            </w:pPr>
          </w:p>
        </w:tc>
        <w:tc>
          <w:tcPr>
            <w:tcW w:w="4220" w:type="dxa"/>
            <w:vAlign w:val="bottom"/>
          </w:tcPr>
          <w:p>
            <w:pPr>
              <w:ind w:left="60"/>
              <w:spacing w:after="0"/>
              <w:rPr>
                <w:sz w:val="20"/>
                <w:szCs w:val="20"/>
                <w:color w:val="auto"/>
              </w:rPr>
            </w:pPr>
            <w:r>
              <w:rPr>
                <w:rFonts w:ascii="Arial" w:cs="Arial" w:eastAsia="Arial" w:hAnsi="Arial"/>
                <w:sz w:val="16"/>
                <w:szCs w:val="16"/>
                <w:color w:val="auto"/>
              </w:rPr>
              <w:t>Culqi</w:t>
            </w:r>
          </w:p>
        </w:tc>
        <w:tc>
          <w:tcPr>
            <w:tcW w:w="4160" w:type="dxa"/>
            <w:vAlign w:val="bottom"/>
            <w:gridSpan w:val="3"/>
          </w:tcPr>
          <w:p>
            <w:pPr>
              <w:jc w:val="right"/>
              <w:ind w:right="20"/>
              <w:spacing w:after="0"/>
              <w:rPr>
                <w:sz w:val="20"/>
                <w:szCs w:val="20"/>
                <w:color w:val="auto"/>
              </w:rPr>
            </w:pPr>
            <w:r>
              <w:rPr>
                <w:rFonts w:ascii="Arial" w:cs="Arial" w:eastAsia="Arial" w:hAnsi="Arial"/>
                <w:sz w:val="16"/>
                <w:szCs w:val="16"/>
                <w:color w:val="auto"/>
              </w:rPr>
              <w:t>63</w:t>
            </w:r>
          </w:p>
        </w:tc>
        <w:tc>
          <w:tcPr>
            <w:tcW w:w="160" w:type="dxa"/>
            <w:vAlign w:val="bottom"/>
          </w:tcPr>
          <w:p>
            <w:pPr>
              <w:spacing w:after="0"/>
              <w:rPr>
                <w:sz w:val="16"/>
                <w:szCs w:val="16"/>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6"/>
                <w:szCs w:val="16"/>
                <w:color w:val="auto"/>
              </w:rPr>
              <w:t>305</w:t>
            </w:r>
          </w:p>
        </w:tc>
      </w:tr>
      <w:tr>
        <w:trPr>
          <w:trHeight w:val="170"/>
        </w:trPr>
        <w:tc>
          <w:tcPr>
            <w:tcW w:w="1060" w:type="dxa"/>
            <w:vAlign w:val="bottom"/>
          </w:tcPr>
          <w:p>
            <w:pPr>
              <w:spacing w:after="0"/>
              <w:rPr>
                <w:sz w:val="14"/>
                <w:szCs w:val="14"/>
                <w:color w:val="auto"/>
              </w:rPr>
            </w:pPr>
          </w:p>
        </w:tc>
        <w:tc>
          <w:tcPr>
            <w:tcW w:w="4220" w:type="dxa"/>
            <w:vAlign w:val="bottom"/>
          </w:tcPr>
          <w:p>
            <w:pPr>
              <w:ind w:left="60"/>
              <w:spacing w:after="0" w:line="167" w:lineRule="exact"/>
              <w:rPr>
                <w:sz w:val="20"/>
                <w:szCs w:val="20"/>
                <w:color w:val="auto"/>
              </w:rPr>
            </w:pPr>
            <w:r>
              <w:rPr>
                <w:rFonts w:ascii="Arial" w:cs="Arial" w:eastAsia="Arial" w:hAnsi="Arial"/>
                <w:sz w:val="16"/>
                <w:szCs w:val="16"/>
                <w:b w:val="1"/>
                <w:bCs w:val="1"/>
                <w:color w:val="auto"/>
              </w:rPr>
              <w:t>Net carrying amount</w:t>
            </w:r>
          </w:p>
        </w:tc>
        <w:tc>
          <w:tcPr>
            <w:tcW w:w="31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102,655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109,006</w:t>
            </w:r>
          </w:p>
        </w:tc>
        <w:tc>
          <w:tcPr>
            <w:tcW w:w="620" w:type="dxa"/>
            <w:vAlign w:val="bottom"/>
          </w:tcPr>
          <w:p>
            <w:pPr>
              <w:spacing w:after="0"/>
              <w:rPr>
                <w:sz w:val="14"/>
                <w:szCs w:val="14"/>
                <w:color w:val="auto"/>
              </w:rPr>
            </w:pPr>
          </w:p>
        </w:tc>
      </w:tr>
      <w:tr>
        <w:trPr>
          <w:trHeight w:val="365"/>
        </w:trPr>
        <w:tc>
          <w:tcPr>
            <w:tcW w:w="5280" w:type="dxa"/>
            <w:vAlign w:val="bottom"/>
            <w:gridSpan w:val="2"/>
          </w:tcPr>
          <w:p>
            <w:pPr>
              <w:ind w:left="840"/>
              <w:spacing w:after="0"/>
              <w:rPr>
                <w:sz w:val="20"/>
                <w:szCs w:val="20"/>
                <w:color w:val="auto"/>
              </w:rPr>
            </w:pPr>
            <w:r>
              <w:rPr>
                <w:rFonts w:ascii="Arial" w:cs="Arial" w:eastAsia="Arial" w:hAnsi="Arial"/>
                <w:sz w:val="16"/>
                <w:szCs w:val="16"/>
                <w:color w:val="auto"/>
              </w:rPr>
              <w:t>(iii) Fund management contract –</w:t>
            </w:r>
          </w:p>
        </w:tc>
        <w:tc>
          <w:tcPr>
            <w:tcW w:w="3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5"/>
        </w:trPr>
        <w:tc>
          <w:tcPr>
            <w:tcW w:w="10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140" w:type="dxa"/>
            <w:vAlign w:val="bottom"/>
            <w:gridSpan w:val="2"/>
          </w:tcPr>
          <w:p>
            <w:pPr>
              <w:jc w:val="right"/>
              <w:ind w:right="58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22"/>
              <w:spacing w:after="0"/>
              <w:rPr>
                <w:sz w:val="20"/>
                <w:szCs w:val="20"/>
                <w:color w:val="auto"/>
              </w:rPr>
            </w:pPr>
            <w:r>
              <w:rPr>
                <w:rFonts w:ascii="Arial" w:cs="Arial" w:eastAsia="Arial" w:hAnsi="Arial"/>
                <w:sz w:val="16"/>
                <w:szCs w:val="16"/>
                <w:b w:val="1"/>
                <w:bCs w:val="1"/>
                <w:color w:val="auto"/>
                <w:w w:val="89"/>
              </w:rPr>
              <w:t>2023</w:t>
            </w:r>
          </w:p>
        </w:tc>
        <w:tc>
          <w:tcPr>
            <w:tcW w:w="620" w:type="dxa"/>
            <w:vAlign w:val="bottom"/>
          </w:tcPr>
          <w:p>
            <w:pPr>
              <w:spacing w:after="0"/>
              <w:rPr>
                <w:sz w:val="24"/>
                <w:szCs w:val="24"/>
                <w:color w:val="auto"/>
              </w:rPr>
            </w:pPr>
          </w:p>
        </w:tc>
      </w:tr>
      <w:tr>
        <w:trPr>
          <w:trHeight w:val="206"/>
        </w:trPr>
        <w:tc>
          <w:tcPr>
            <w:tcW w:w="10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620" w:type="dxa"/>
            <w:vAlign w:val="bottom"/>
          </w:tcPr>
          <w:p>
            <w:pPr>
              <w:spacing w:after="0"/>
              <w:rPr>
                <w:sz w:val="17"/>
                <w:szCs w:val="17"/>
                <w:color w:val="auto"/>
              </w:rPr>
            </w:pPr>
          </w:p>
        </w:tc>
      </w:tr>
      <w:tr>
        <w:trPr>
          <w:trHeight w:val="296"/>
        </w:trPr>
        <w:tc>
          <w:tcPr>
            <w:tcW w:w="106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6"/>
                <w:szCs w:val="16"/>
                <w:color w:val="auto"/>
              </w:rPr>
              <w:t>Credicorp Capital Holding Chile - Inversiones IMT</w:t>
            </w:r>
          </w:p>
        </w:tc>
        <w:tc>
          <w:tcPr>
            <w:tcW w:w="4160" w:type="dxa"/>
            <w:vAlign w:val="bottom"/>
            <w:gridSpan w:val="3"/>
          </w:tcPr>
          <w:p>
            <w:pPr>
              <w:jc w:val="right"/>
              <w:ind w:right="20"/>
              <w:spacing w:after="0"/>
              <w:rPr>
                <w:sz w:val="20"/>
                <w:szCs w:val="20"/>
                <w:color w:val="auto"/>
              </w:rPr>
            </w:pPr>
            <w:r>
              <w:rPr>
                <w:rFonts w:ascii="Arial" w:cs="Arial" w:eastAsia="Arial" w:hAnsi="Arial"/>
                <w:sz w:val="16"/>
                <w:szCs w:val="16"/>
                <w:color w:val="auto"/>
              </w:rPr>
              <w:t>23,183</w:t>
            </w:r>
          </w:p>
        </w:tc>
        <w:tc>
          <w:tcPr>
            <w:tcW w:w="160" w:type="dxa"/>
            <w:vAlign w:val="bottom"/>
          </w:tcPr>
          <w:p>
            <w:pPr>
              <w:spacing w:after="0"/>
              <w:rPr>
                <w:sz w:val="24"/>
                <w:szCs w:val="2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6"/>
                <w:szCs w:val="16"/>
                <w:color w:val="auto"/>
              </w:rPr>
              <w:t>29,553</w:t>
            </w:r>
          </w:p>
        </w:tc>
      </w:tr>
      <w:tr>
        <w:trPr>
          <w:trHeight w:val="175"/>
        </w:trPr>
        <w:tc>
          <w:tcPr>
            <w:tcW w:w="1060" w:type="dxa"/>
            <w:vAlign w:val="bottom"/>
          </w:tcPr>
          <w:p>
            <w:pPr>
              <w:spacing w:after="0"/>
              <w:rPr>
                <w:sz w:val="15"/>
                <w:szCs w:val="15"/>
                <w:color w:val="auto"/>
              </w:rPr>
            </w:pPr>
          </w:p>
        </w:tc>
        <w:tc>
          <w:tcPr>
            <w:tcW w:w="4220" w:type="dxa"/>
            <w:vAlign w:val="bottom"/>
          </w:tcPr>
          <w:p>
            <w:pPr>
              <w:ind w:left="60"/>
              <w:spacing w:after="0" w:line="175" w:lineRule="exact"/>
              <w:rPr>
                <w:sz w:val="20"/>
                <w:szCs w:val="20"/>
                <w:color w:val="auto"/>
              </w:rPr>
            </w:pPr>
            <w:r>
              <w:rPr>
                <w:rFonts w:ascii="Arial" w:cs="Arial" w:eastAsia="Arial" w:hAnsi="Arial"/>
                <w:sz w:val="16"/>
                <w:szCs w:val="16"/>
                <w:color w:val="auto"/>
              </w:rPr>
              <w:t>Credicorp Capital Colombia</w:t>
            </w:r>
          </w:p>
        </w:tc>
        <w:tc>
          <w:tcPr>
            <w:tcW w:w="41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26,071</w:t>
            </w:r>
          </w:p>
        </w:tc>
        <w:tc>
          <w:tcPr>
            <w:tcW w:w="160" w:type="dxa"/>
            <w:vAlign w:val="bottom"/>
          </w:tcPr>
          <w:p>
            <w:pPr>
              <w:spacing w:after="0"/>
              <w:rPr>
                <w:sz w:val="15"/>
                <w:szCs w:val="15"/>
                <w:color w:val="auto"/>
              </w:rPr>
            </w:pPr>
          </w:p>
        </w:tc>
        <w:tc>
          <w:tcPr>
            <w:tcW w:w="1660" w:type="dxa"/>
            <w:vAlign w:val="bottom"/>
            <w:gridSpan w:val="2"/>
          </w:tcPr>
          <w:p>
            <w:pPr>
              <w:jc w:val="right"/>
              <w:ind w:right="620"/>
              <w:spacing w:after="0" w:line="175" w:lineRule="exact"/>
              <w:rPr>
                <w:sz w:val="20"/>
                <w:szCs w:val="20"/>
                <w:color w:val="auto"/>
              </w:rPr>
            </w:pPr>
            <w:r>
              <w:rPr>
                <w:rFonts w:ascii="Arial" w:cs="Arial" w:eastAsia="Arial" w:hAnsi="Arial"/>
                <w:sz w:val="16"/>
                <w:szCs w:val="16"/>
                <w:color w:val="auto"/>
              </w:rPr>
              <w:t>29,229</w:t>
            </w:r>
          </w:p>
        </w:tc>
      </w:tr>
      <w:tr>
        <w:trPr>
          <w:trHeight w:val="190"/>
        </w:trPr>
        <w:tc>
          <w:tcPr>
            <w:tcW w:w="1060" w:type="dxa"/>
            <w:vAlign w:val="bottom"/>
          </w:tcPr>
          <w:p>
            <w:pPr>
              <w:spacing w:after="0"/>
              <w:rPr>
                <w:sz w:val="16"/>
                <w:szCs w:val="16"/>
                <w:color w:val="auto"/>
              </w:rPr>
            </w:pPr>
          </w:p>
        </w:tc>
        <w:tc>
          <w:tcPr>
            <w:tcW w:w="4220" w:type="dxa"/>
            <w:vAlign w:val="bottom"/>
          </w:tcPr>
          <w:p>
            <w:pPr>
              <w:ind w:left="60"/>
              <w:spacing w:after="0"/>
              <w:rPr>
                <w:sz w:val="20"/>
                <w:szCs w:val="20"/>
                <w:color w:val="auto"/>
              </w:rPr>
            </w:pPr>
            <w:r>
              <w:rPr>
                <w:rFonts w:ascii="Arial" w:cs="Arial" w:eastAsia="Arial" w:hAnsi="Arial"/>
                <w:sz w:val="16"/>
                <w:szCs w:val="16"/>
                <w:color w:val="auto"/>
              </w:rPr>
              <w:t>Ultrasefinco S.A.</w:t>
            </w:r>
          </w:p>
        </w:tc>
        <w:tc>
          <w:tcPr>
            <w:tcW w:w="4160" w:type="dxa"/>
            <w:vAlign w:val="bottom"/>
            <w:gridSpan w:val="3"/>
          </w:tcPr>
          <w:p>
            <w:pPr>
              <w:jc w:val="right"/>
              <w:ind w:right="20"/>
              <w:spacing w:after="0"/>
              <w:rPr>
                <w:sz w:val="20"/>
                <w:szCs w:val="20"/>
                <w:color w:val="auto"/>
              </w:rPr>
            </w:pPr>
            <w:r>
              <w:rPr>
                <w:rFonts w:ascii="Arial" w:cs="Arial" w:eastAsia="Arial" w:hAnsi="Arial"/>
                <w:sz w:val="16"/>
                <w:szCs w:val="16"/>
                <w:color w:val="auto"/>
              </w:rPr>
              <w:t>2,125</w:t>
            </w:r>
          </w:p>
        </w:tc>
        <w:tc>
          <w:tcPr>
            <w:tcW w:w="160" w:type="dxa"/>
            <w:vAlign w:val="bottom"/>
          </w:tcPr>
          <w:p>
            <w:pPr>
              <w:spacing w:after="0"/>
              <w:rPr>
                <w:sz w:val="16"/>
                <w:szCs w:val="16"/>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6"/>
                <w:szCs w:val="16"/>
                <w:color w:val="auto"/>
              </w:rPr>
              <w:t>2,560</w:t>
            </w:r>
          </w:p>
        </w:tc>
      </w:tr>
      <w:tr>
        <w:trPr>
          <w:trHeight w:val="170"/>
        </w:trPr>
        <w:tc>
          <w:tcPr>
            <w:tcW w:w="1060" w:type="dxa"/>
            <w:vAlign w:val="bottom"/>
          </w:tcPr>
          <w:p>
            <w:pPr>
              <w:spacing w:after="0"/>
              <w:rPr>
                <w:sz w:val="14"/>
                <w:szCs w:val="14"/>
                <w:color w:val="auto"/>
              </w:rPr>
            </w:pPr>
          </w:p>
        </w:tc>
        <w:tc>
          <w:tcPr>
            <w:tcW w:w="4220" w:type="dxa"/>
            <w:vAlign w:val="bottom"/>
          </w:tcPr>
          <w:p>
            <w:pPr>
              <w:ind w:left="60"/>
              <w:spacing w:after="0" w:line="167" w:lineRule="exact"/>
              <w:rPr>
                <w:sz w:val="20"/>
                <w:szCs w:val="20"/>
                <w:color w:val="auto"/>
              </w:rPr>
            </w:pPr>
            <w:r>
              <w:rPr>
                <w:rFonts w:ascii="Arial" w:cs="Arial" w:eastAsia="Arial" w:hAnsi="Arial"/>
                <w:sz w:val="16"/>
                <w:szCs w:val="16"/>
                <w:b w:val="1"/>
                <w:bCs w:val="1"/>
                <w:color w:val="auto"/>
              </w:rPr>
              <w:t>Net carrying amount</w:t>
            </w:r>
          </w:p>
        </w:tc>
        <w:tc>
          <w:tcPr>
            <w:tcW w:w="3120" w:type="dxa"/>
            <w:vAlign w:val="bottom"/>
          </w:tcPr>
          <w:p>
            <w:pPr>
              <w:spacing w:after="0"/>
              <w:rPr>
                <w:sz w:val="14"/>
                <w:szCs w:val="14"/>
                <w:color w:val="auto"/>
              </w:rPr>
            </w:pPr>
          </w:p>
        </w:tc>
        <w:tc>
          <w:tcPr>
            <w:tcW w:w="104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51,379</w:t>
            </w:r>
          </w:p>
        </w:tc>
        <w:tc>
          <w:tcPr>
            <w:tcW w:w="160" w:type="dxa"/>
            <w:vAlign w:val="bottom"/>
          </w:tcPr>
          <w:p>
            <w:pPr>
              <w:spacing w:after="0"/>
              <w:rPr>
                <w:sz w:val="14"/>
                <w:szCs w:val="14"/>
                <w:color w:val="auto"/>
              </w:rPr>
            </w:pPr>
          </w:p>
        </w:tc>
        <w:tc>
          <w:tcPr>
            <w:tcW w:w="10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61,342</w:t>
            </w:r>
          </w:p>
        </w:tc>
        <w:tc>
          <w:tcPr>
            <w:tcW w:w="620" w:type="dxa"/>
            <w:vAlign w:val="bottom"/>
          </w:tcPr>
          <w:p>
            <w:pPr>
              <w:spacing w:after="0"/>
              <w:rPr>
                <w:sz w:val="14"/>
                <w:szCs w:val="14"/>
                <w:color w:val="auto"/>
              </w:rPr>
            </w:pPr>
          </w:p>
        </w:tc>
      </w:tr>
      <w:tr>
        <w:trPr>
          <w:trHeight w:val="483"/>
        </w:trPr>
        <w:tc>
          <w:tcPr>
            <w:tcW w:w="10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20" w:type="dxa"/>
            <w:vAlign w:val="bottom"/>
          </w:tcPr>
          <w:p>
            <w:pPr>
              <w:jc w:val="right"/>
              <w:ind w:right="2583"/>
              <w:spacing w:after="0"/>
              <w:rPr>
                <w:sz w:val="20"/>
                <w:szCs w:val="20"/>
                <w:color w:val="auto"/>
              </w:rPr>
            </w:pPr>
            <w:r>
              <w:rPr>
                <w:rFonts w:ascii="Arial" w:cs="Arial" w:eastAsia="Arial" w:hAnsi="Arial"/>
                <w:sz w:val="12"/>
                <w:szCs w:val="12"/>
                <w:color w:val="auto"/>
              </w:rPr>
              <w:t>-78-</w:t>
            </w: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30"/>
        </w:trPr>
        <w:tc>
          <w:tcPr>
            <w:tcW w:w="106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81" w:name="page82"/>
    <w:bookmarkEnd w:id="81"/>
    <w:p>
      <w:pPr>
        <w:ind w:left="346" w:hanging="346"/>
        <w:spacing w:after="0"/>
        <w:tabs>
          <w:tab w:leader="none" w:pos="346" w:val="left"/>
        </w:tabs>
        <w:numPr>
          <w:ilvl w:val="0"/>
          <w:numId w:val="99"/>
        </w:numPr>
        <w:rPr>
          <w:rFonts w:ascii="Arial" w:cs="Arial" w:eastAsia="Arial" w:hAnsi="Arial"/>
          <w:sz w:val="16"/>
          <w:szCs w:val="16"/>
          <w:color w:val="auto"/>
        </w:rPr>
      </w:pPr>
      <w:r>
        <w:rPr>
          <w:rFonts w:ascii="Arial" w:cs="Arial" w:eastAsia="Arial" w:hAnsi="Arial"/>
          <w:sz w:val="16"/>
          <w:szCs w:val="16"/>
          <w:color w:val="auto"/>
        </w:rPr>
        <w:t>Goodwill -</w:t>
      </w:r>
    </w:p>
    <w:p>
      <w:pPr>
        <w:spacing w:after="0" w:line="167" w:lineRule="exact"/>
        <w:rPr>
          <w:sz w:val="20"/>
          <w:szCs w:val="20"/>
          <w:color w:val="auto"/>
        </w:rPr>
      </w:pPr>
    </w:p>
    <w:p>
      <w:pPr>
        <w:ind w:left="286" w:right="40"/>
        <w:spacing w:after="0" w:line="255" w:lineRule="auto"/>
        <w:rPr>
          <w:sz w:val="20"/>
          <w:szCs w:val="20"/>
          <w:color w:val="auto"/>
        </w:rPr>
      </w:pPr>
      <w:r>
        <w:rPr>
          <w:rFonts w:ascii="Arial" w:cs="Arial" w:eastAsia="Arial" w:hAnsi="Arial"/>
          <w:sz w:val="16"/>
          <w:szCs w:val="16"/>
          <w:color w:val="auto"/>
        </w:rPr>
        <w:t>Goodwill acquired through business combinations has been allocated to each subsidiary or groups of them, which are also identified as a CGUs for the purposes of impairment testing.</w:t>
      </w:r>
    </w:p>
    <w:p>
      <w:pPr>
        <w:spacing w:after="0" w:line="132" w:lineRule="exact"/>
        <w:rPr>
          <w:sz w:val="20"/>
          <w:szCs w:val="20"/>
          <w:color w:val="auto"/>
        </w:rPr>
      </w:pPr>
    </w:p>
    <w:tbl>
      <w:tblPr>
        <w:tblLayout w:type="fixed"/>
        <w:tblInd w:w="286"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86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6"/>
                <w:szCs w:val="16"/>
                <w:color w:val="auto"/>
              </w:rPr>
            </w:pPr>
          </w:p>
        </w:tc>
      </w:tr>
      <w:tr>
        <w:trPr>
          <w:trHeight w:val="152"/>
        </w:trPr>
        <w:tc>
          <w:tcPr>
            <w:tcW w:w="56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Borders>
              <w:top w:val="single" w:sz="8" w:color="auto"/>
            </w:tcBorders>
          </w:tcPr>
          <w:p>
            <w:pPr>
              <w:jc w:val="right"/>
              <w:ind w:right="342"/>
              <w:spacing w:after="0" w:line="152"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3"/>
                <w:szCs w:val="13"/>
                <w:color w:val="auto"/>
              </w:rPr>
            </w:pPr>
          </w:p>
        </w:tc>
        <w:tc>
          <w:tcPr>
            <w:tcW w:w="1060" w:type="dxa"/>
            <w:vAlign w:val="bottom"/>
            <w:tcBorders>
              <w:top w:val="single" w:sz="8" w:color="auto"/>
            </w:tcBorders>
          </w:tcPr>
          <w:p>
            <w:pPr>
              <w:jc w:val="right"/>
              <w:ind w:right="382"/>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MiBanco - Edyficar Perú</w:t>
            </w:r>
          </w:p>
        </w:tc>
        <w:tc>
          <w:tcPr>
            <w:tcW w:w="2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273,694</w:t>
            </w:r>
          </w:p>
        </w:tc>
        <w:tc>
          <w:tcPr>
            <w:tcW w:w="18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273,694</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Prima AFP - AFP Unión Vida</w:t>
            </w:r>
          </w:p>
        </w:tc>
        <w:tc>
          <w:tcPr>
            <w:tcW w:w="2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124,641</w:t>
            </w:r>
          </w:p>
        </w:tc>
        <w:tc>
          <w:tcPr>
            <w:tcW w:w="18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124,641</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Credicorp Capital Colombia</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99,841</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111,799</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Banco de Crédito del Perú</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52,359</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52,359</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MiBanco Colombia</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44,229</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49,629</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Pacífico Seguros</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36,354</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36,354</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Atlantic Security Holding Corporation</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29,795</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29,795</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Monokera S.A.S.</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22,656</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22,656</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Tenpo SpA</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20,927</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22,697</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Tenpo Technologies SpA</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9,945</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11,719</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Joinnus S.A.C.</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7,824</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35,700</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Crediseguro Seguros Personales</w:t>
            </w:r>
          </w:p>
        </w:tc>
        <w:tc>
          <w:tcPr>
            <w:tcW w:w="304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96</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96</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Compañía Incubadora de Soluciones Móviles S.A.-Culqi</w:t>
            </w:r>
          </w:p>
        </w:tc>
        <w:tc>
          <w:tcPr>
            <w:tcW w:w="2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2,297</w:t>
            </w: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Wally POS S.A.C.</w:t>
            </w:r>
          </w:p>
        </w:tc>
        <w:tc>
          <w:tcPr>
            <w:tcW w:w="2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21,046</w:t>
            </w:r>
          </w:p>
        </w:tc>
      </w:tr>
      <w:tr>
        <w:trPr>
          <w:trHeight w:val="205"/>
        </w:trPr>
        <w:tc>
          <w:tcPr>
            <w:tcW w:w="5680" w:type="dxa"/>
            <w:vAlign w:val="bottom"/>
          </w:tcPr>
          <w:p>
            <w:pPr>
              <w:spacing w:after="0"/>
              <w:rPr>
                <w:sz w:val="20"/>
                <w:szCs w:val="20"/>
                <w:color w:val="auto"/>
              </w:rPr>
            </w:pPr>
            <w:r>
              <w:rPr>
                <w:rFonts w:ascii="Arial" w:cs="Arial" w:eastAsia="Arial" w:hAnsi="Arial"/>
                <w:sz w:val="16"/>
                <w:szCs w:val="16"/>
                <w:color w:val="auto"/>
              </w:rPr>
              <w:t>Sami Shop S.A.C.</w:t>
            </w:r>
          </w:p>
        </w:tc>
        <w:tc>
          <w:tcPr>
            <w:tcW w:w="2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4,000</w:t>
            </w:r>
          </w:p>
        </w:tc>
      </w:tr>
      <w:tr>
        <w:trPr>
          <w:trHeight w:val="338"/>
        </w:trPr>
        <w:tc>
          <w:tcPr>
            <w:tcW w:w="5680" w:type="dxa"/>
            <w:vAlign w:val="bottom"/>
          </w:tcPr>
          <w:p>
            <w:pPr>
              <w:spacing w:after="0"/>
              <w:rPr>
                <w:sz w:val="20"/>
                <w:szCs w:val="20"/>
                <w:color w:val="auto"/>
              </w:rPr>
            </w:pPr>
            <w:r>
              <w:rPr>
                <w:rFonts w:ascii="Arial" w:cs="Arial" w:eastAsia="Arial" w:hAnsi="Arial"/>
                <w:sz w:val="16"/>
                <w:szCs w:val="16"/>
                <w:b w:val="1"/>
                <w:bCs w:val="1"/>
                <w:color w:val="auto"/>
              </w:rPr>
              <w:t>Net carrying amount</w:t>
            </w:r>
          </w:p>
        </w:tc>
        <w:tc>
          <w:tcPr>
            <w:tcW w:w="18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722,361</w:t>
            </w:r>
          </w:p>
        </w:tc>
        <w:tc>
          <w:tcPr>
            <w:tcW w:w="1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798,482</w:t>
            </w:r>
          </w:p>
        </w:tc>
        <w:tc>
          <w:tcPr>
            <w:tcW w:w="20" w:type="dxa"/>
            <w:vAlign w:val="bottom"/>
          </w:tcPr>
          <w:p>
            <w:pPr>
              <w:spacing w:after="0"/>
              <w:rPr>
                <w:sz w:val="24"/>
                <w:szCs w:val="24"/>
                <w:color w:val="auto"/>
              </w:rPr>
            </w:pPr>
          </w:p>
        </w:tc>
      </w:tr>
    </w:tbl>
    <w:p>
      <w:pPr>
        <w:spacing w:after="0" w:line="160" w:lineRule="exact"/>
        <w:rPr>
          <w:sz w:val="20"/>
          <w:szCs w:val="20"/>
          <w:color w:val="auto"/>
        </w:rPr>
      </w:pPr>
    </w:p>
    <w:p>
      <w:pPr>
        <w:ind w:left="286" w:right="380"/>
        <w:spacing w:after="0" w:line="255" w:lineRule="auto"/>
        <w:rPr>
          <w:sz w:val="20"/>
          <w:szCs w:val="20"/>
          <w:color w:val="auto"/>
        </w:rPr>
      </w:pPr>
      <w:r>
        <w:rPr>
          <w:rFonts w:ascii="Arial" w:cs="Arial" w:eastAsia="Arial" w:hAnsi="Arial"/>
          <w:sz w:val="16"/>
          <w:szCs w:val="16"/>
          <w:color w:val="auto"/>
        </w:rPr>
        <w:t>The recoverable amount of all of the CGUs has been determined based in the present value of the discounted cash flows or dividends determined principally with assumptions of revenue and expenses projection (based on efficiency ratios).</w:t>
      </w:r>
    </w:p>
    <w:p>
      <w:pPr>
        <w:spacing w:after="0" w:line="134" w:lineRule="exact"/>
        <w:rPr>
          <w:sz w:val="20"/>
          <w:szCs w:val="20"/>
          <w:color w:val="auto"/>
        </w:rPr>
      </w:pPr>
    </w:p>
    <w:p>
      <w:pPr>
        <w:ind w:left="286"/>
        <w:spacing w:after="0" w:line="326" w:lineRule="auto"/>
        <w:rPr>
          <w:sz w:val="20"/>
          <w:szCs w:val="20"/>
          <w:color w:val="auto"/>
        </w:rPr>
      </w:pPr>
      <w:r>
        <w:rPr>
          <w:rFonts w:ascii="Arial" w:cs="Arial" w:eastAsia="Arial" w:hAnsi="Arial"/>
          <w:sz w:val="14"/>
          <w:szCs w:val="14"/>
          <w:color w:val="auto"/>
        </w:rPr>
        <w:t>Goodwill balance of Credicorp Capital Colombia S.A., Mibanco Colombia, Tenpo SPA and Tenpo Technologies SpA. is affected by the effect of the local exchange rate currency of the country in which they operate against the exchange rate of functional currency of Credicorp Ltd. and subsidiaries.</w:t>
      </w:r>
    </w:p>
    <w:p>
      <w:pPr>
        <w:spacing w:after="0" w:line="88" w:lineRule="exact"/>
        <w:rPr>
          <w:sz w:val="20"/>
          <w:szCs w:val="20"/>
          <w:color w:val="auto"/>
        </w:rPr>
      </w:pPr>
    </w:p>
    <w:p>
      <w:pPr>
        <w:ind w:left="286" w:right="240"/>
        <w:spacing w:after="0" w:line="255" w:lineRule="auto"/>
        <w:rPr>
          <w:sz w:val="20"/>
          <w:szCs w:val="20"/>
          <w:color w:val="auto"/>
        </w:rPr>
      </w:pPr>
      <w:r>
        <w:rPr>
          <w:rFonts w:ascii="Arial" w:cs="Arial" w:eastAsia="Arial" w:hAnsi="Arial"/>
          <w:sz w:val="16"/>
          <w:szCs w:val="16"/>
          <w:color w:val="auto"/>
        </w:rPr>
        <w:t>For the year 2024, the Group recorded an impairment in the following companies: Joinnus S.A. for S/12.0 million, Wally POS S.A.C for S/9.0 million, Sami Shop for S/4.0 million and Compañía Incubadora de Soluciones Móviles S.A. for S/2.3 million.</w:t>
      </w:r>
    </w:p>
    <w:p>
      <w:pPr>
        <w:spacing w:after="0" w:line="134" w:lineRule="exact"/>
        <w:rPr>
          <w:sz w:val="20"/>
          <w:szCs w:val="20"/>
          <w:color w:val="auto"/>
        </w:rPr>
      </w:pPr>
    </w:p>
    <w:p>
      <w:pPr>
        <w:ind w:left="286" w:right="240"/>
        <w:spacing w:after="0" w:line="238" w:lineRule="auto"/>
        <w:rPr>
          <w:sz w:val="20"/>
          <w:szCs w:val="20"/>
          <w:color w:val="auto"/>
        </w:rPr>
      </w:pPr>
      <w:r>
        <w:rPr>
          <w:rFonts w:ascii="Arial" w:cs="Arial" w:eastAsia="Arial" w:hAnsi="Arial"/>
          <w:sz w:val="16"/>
          <w:szCs w:val="16"/>
          <w:color w:val="auto"/>
        </w:rPr>
        <w:t>During 2023, the Group recorded an impairment of MiBanco Colombia (formerly Banco Compartir S.A) for $75,199 Colombian pesos, equivalent to S/64.1 million and S/7.8 million of minority interest. To determine this impairment, a fair value of $438,259 Colombian pesos, equivalent to US$113.2 million, and a book value of $513,458 Colombian pesos, equivalent to US$132.5 million, were estimated. For the estimate, a discount rate of 15.1 percent and a growth rate in perpetuity of 6.8 percent were used as assumptions.</w:t>
      </w:r>
    </w:p>
    <w:p>
      <w:pPr>
        <w:spacing w:after="0" w:line="304" w:lineRule="exact"/>
        <w:rPr>
          <w:sz w:val="20"/>
          <w:szCs w:val="20"/>
          <w:color w:val="auto"/>
        </w:rPr>
      </w:pPr>
    </w:p>
    <w:p>
      <w:pPr>
        <w:jc w:val="center"/>
        <w:ind w:right="534"/>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82" w:name="page83"/>
    <w:bookmarkEnd w:id="82"/>
    <w:p>
      <w:pPr>
        <w:ind w:left="6"/>
        <w:spacing w:after="0"/>
        <w:rPr>
          <w:sz w:val="20"/>
          <w:szCs w:val="20"/>
          <w:color w:val="auto"/>
        </w:rPr>
      </w:pPr>
      <w:r>
        <w:rPr>
          <w:rFonts w:ascii="Arial" w:cs="Arial" w:eastAsia="Arial" w:hAnsi="Arial"/>
          <w:sz w:val="16"/>
          <w:szCs w:val="16"/>
          <w:color w:val="auto"/>
        </w:rPr>
        <w:t>The following table summarizes the key assumptions used to determine the present value for 2024 and 2023:</w:t>
      </w:r>
    </w:p>
    <w:p>
      <w:pPr>
        <w:spacing w:after="0" w:line="165"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1360" w:type="dxa"/>
            <w:vAlign w:val="bottom"/>
            <w:tcBorders>
              <w:bottom w:val="single" w:sz="8" w:color="auto"/>
            </w:tcBorders>
          </w:tcPr>
          <w:p>
            <w:pPr>
              <w:spacing w:after="0"/>
              <w:rPr>
                <w:sz w:val="16"/>
                <w:szCs w:val="16"/>
                <w:color w:val="auto"/>
              </w:rPr>
            </w:pPr>
          </w:p>
        </w:tc>
      </w:tr>
      <w:tr>
        <w:trPr>
          <w:trHeight w:val="150"/>
        </w:trPr>
        <w:tc>
          <w:tcPr>
            <w:tcW w:w="7400" w:type="dxa"/>
            <w:vAlign w:val="bottom"/>
          </w:tcPr>
          <w:p>
            <w:pPr>
              <w:spacing w:after="0"/>
              <w:rPr>
                <w:sz w:val="13"/>
                <w:szCs w:val="13"/>
                <w:color w:val="auto"/>
              </w:rPr>
            </w:pPr>
          </w:p>
        </w:tc>
        <w:tc>
          <w:tcPr>
            <w:tcW w:w="1020" w:type="dxa"/>
            <w:vAlign w:val="bottom"/>
          </w:tcPr>
          <w:p>
            <w:pPr>
              <w:spacing w:after="0" w:line="150" w:lineRule="exact"/>
              <w:rPr>
                <w:sz w:val="20"/>
                <w:szCs w:val="20"/>
                <w:color w:val="auto"/>
              </w:rPr>
            </w:pPr>
            <w:r>
              <w:rPr>
                <w:rFonts w:ascii="Arial" w:cs="Arial" w:eastAsia="Arial" w:hAnsi="Arial"/>
                <w:sz w:val="16"/>
                <w:szCs w:val="16"/>
                <w:b w:val="1"/>
                <w:bCs w:val="1"/>
                <w:color w:val="auto"/>
              </w:rPr>
              <w:t>Perpetual</w:t>
            </w:r>
          </w:p>
        </w:tc>
        <w:tc>
          <w:tcPr>
            <w:tcW w:w="1360" w:type="dxa"/>
            <w:vAlign w:val="bottom"/>
          </w:tcPr>
          <w:p>
            <w:pPr>
              <w:spacing w:after="0"/>
              <w:rPr>
                <w:sz w:val="13"/>
                <w:szCs w:val="13"/>
                <w:color w:val="auto"/>
              </w:rPr>
            </w:pPr>
          </w:p>
        </w:tc>
      </w:tr>
      <w:tr>
        <w:trPr>
          <w:trHeight w:val="192"/>
        </w:trPr>
        <w:tc>
          <w:tcPr>
            <w:tcW w:w="7400" w:type="dxa"/>
            <w:vAlign w:val="bottom"/>
          </w:tcPr>
          <w:p>
            <w:pPr>
              <w:spacing w:after="0"/>
              <w:rPr>
                <w:sz w:val="20"/>
                <w:szCs w:val="20"/>
                <w:color w:val="auto"/>
              </w:rPr>
            </w:pPr>
            <w:r>
              <w:rPr>
                <w:rFonts w:ascii="Arial" w:cs="Arial" w:eastAsia="Arial" w:hAnsi="Arial"/>
                <w:sz w:val="16"/>
                <w:szCs w:val="16"/>
                <w:b w:val="1"/>
                <w:bCs w:val="1"/>
                <w:color w:val="auto"/>
              </w:rPr>
              <w:t>Descripción</w:t>
            </w:r>
          </w:p>
        </w:tc>
        <w:tc>
          <w:tcPr>
            <w:tcW w:w="1020" w:type="dxa"/>
            <w:vAlign w:val="bottom"/>
          </w:tcPr>
          <w:p>
            <w:pPr>
              <w:spacing w:after="0"/>
              <w:rPr>
                <w:sz w:val="20"/>
                <w:szCs w:val="20"/>
                <w:color w:val="auto"/>
              </w:rPr>
            </w:pPr>
            <w:r>
              <w:rPr>
                <w:rFonts w:ascii="Arial" w:cs="Arial" w:eastAsia="Arial" w:hAnsi="Arial"/>
                <w:sz w:val="16"/>
                <w:szCs w:val="16"/>
                <w:b w:val="1"/>
                <w:bCs w:val="1"/>
                <w:color w:val="auto"/>
              </w:rPr>
              <w:t>growth rate</w:t>
            </w:r>
          </w:p>
        </w:tc>
        <w:tc>
          <w:tcPr>
            <w:tcW w:w="1360" w:type="dxa"/>
            <w:vAlign w:val="bottom"/>
          </w:tcPr>
          <w:p>
            <w:pPr>
              <w:ind w:left="180"/>
              <w:spacing w:after="0"/>
              <w:rPr>
                <w:sz w:val="20"/>
                <w:szCs w:val="20"/>
                <w:color w:val="auto"/>
              </w:rPr>
            </w:pPr>
            <w:r>
              <w:rPr>
                <w:rFonts w:ascii="Arial" w:cs="Arial" w:eastAsia="Arial" w:hAnsi="Arial"/>
                <w:sz w:val="16"/>
                <w:szCs w:val="16"/>
                <w:b w:val="1"/>
                <w:bCs w:val="1"/>
                <w:color w:val="auto"/>
              </w:rPr>
              <w:t>Discount rate</w:t>
            </w:r>
          </w:p>
        </w:tc>
      </w:tr>
    </w:tbl>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52"/>
        </w:trPr>
        <w:tc>
          <w:tcPr>
            <w:tcW w:w="740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362"/>
              <w:spacing w:after="0" w:line="15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top w:val="single" w:sz="8" w:color="auto"/>
            </w:tcBorders>
            <w:gridSpan w:val="2"/>
          </w:tcPr>
          <w:p>
            <w:pPr>
              <w:jc w:val="right"/>
              <w:ind w:right="442"/>
              <w:spacing w:after="0" w:line="15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MiBanco - Edyficar Perú</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5.60</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11.90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Prima AFP - AFP Unión Vida</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1.60</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14.20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Credicorp Capital Colombia</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3.80</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14.40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Banco de Crédito del Perú</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4.60</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10.90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Mibanco Colombia</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6.10</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13.80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Pacífico Seguros (*)</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4.60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w w:val="98"/>
              </w:rPr>
              <w:t>10.70 and 12.30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Atlantic Security Holding Corporation</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2.30</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11.30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Monokera S.A.S.</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30.00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Tenpo</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25.00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Joinnus S.A.C.</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25.00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Compañía Incubadora de Soluciones Móviles S.A-Culqi</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30.00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Wally POS S.A.C.</w:t>
            </w:r>
          </w:p>
        </w:tc>
        <w:tc>
          <w:tcPr>
            <w:tcW w:w="10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25.00</w:t>
            </w:r>
          </w:p>
        </w:tc>
      </w:tr>
      <w:tr>
        <w:trPr>
          <w:trHeight w:val="205"/>
        </w:trPr>
        <w:tc>
          <w:tcPr>
            <w:tcW w:w="7400" w:type="dxa"/>
            <w:vAlign w:val="bottom"/>
          </w:tcPr>
          <w:p>
            <w:pPr>
              <w:spacing w:after="0"/>
              <w:rPr>
                <w:sz w:val="20"/>
                <w:szCs w:val="20"/>
                <w:color w:val="auto"/>
              </w:rPr>
            </w:pPr>
            <w:r>
              <w:rPr>
                <w:rFonts w:ascii="Arial" w:cs="Arial" w:eastAsia="Arial" w:hAnsi="Arial"/>
                <w:sz w:val="16"/>
                <w:szCs w:val="16"/>
                <w:color w:val="auto"/>
              </w:rPr>
              <w:t>Sami Shop S.A.C.</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25.00</w:t>
            </w:r>
          </w:p>
        </w:tc>
      </w:tr>
      <w:tr>
        <w:trPr>
          <w:trHeight w:val="335"/>
        </w:trPr>
        <w:tc>
          <w:tcPr>
            <w:tcW w:w="74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0"/>
        </w:trPr>
        <w:tc>
          <w:tcPr>
            <w:tcW w:w="7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6"/>
                <w:szCs w:val="16"/>
                <w:b w:val="1"/>
                <w:bCs w:val="1"/>
                <w:color w:val="auto"/>
              </w:rPr>
              <w:t>Perpetual</w:t>
            </w:r>
          </w:p>
        </w:tc>
        <w:tc>
          <w:tcPr>
            <w:tcW w:w="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7400" w:type="dxa"/>
            <w:vAlign w:val="bottom"/>
          </w:tcPr>
          <w:p>
            <w:pPr>
              <w:spacing w:after="0"/>
              <w:rPr>
                <w:sz w:val="20"/>
                <w:szCs w:val="20"/>
                <w:color w:val="auto"/>
              </w:rPr>
            </w:pPr>
            <w:r>
              <w:rPr>
                <w:rFonts w:ascii="Arial" w:cs="Arial" w:eastAsia="Arial" w:hAnsi="Arial"/>
                <w:sz w:val="16"/>
                <w:szCs w:val="16"/>
                <w:b w:val="1"/>
                <w:bCs w:val="1"/>
                <w:color w:val="auto"/>
              </w:rPr>
              <w:t>Descripción</w:t>
            </w:r>
          </w:p>
        </w:tc>
        <w:tc>
          <w:tcPr>
            <w:tcW w:w="2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growth rate</w:t>
            </w:r>
          </w:p>
        </w:tc>
        <w:tc>
          <w:tcPr>
            <w:tcW w:w="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Discount rate</w:t>
            </w:r>
          </w:p>
        </w:tc>
      </w:tr>
      <w:tr>
        <w:trPr>
          <w:trHeight w:val="152"/>
        </w:trPr>
        <w:tc>
          <w:tcPr>
            <w:tcW w:w="7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top w:val="single" w:sz="8" w:color="auto"/>
            </w:tcBorders>
          </w:tcPr>
          <w:p>
            <w:pPr>
              <w:jc w:val="right"/>
              <w:ind w:right="342"/>
              <w:spacing w:after="0" w:line="152" w:lineRule="exact"/>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auto"/>
            </w:tcBorders>
          </w:tcPr>
          <w:p>
            <w:pPr>
              <w:jc w:val="right"/>
              <w:ind w:right="422"/>
              <w:spacing w:after="0" w:line="152"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3"/>
                <w:szCs w:val="13"/>
                <w:color w:val="auto"/>
              </w:rPr>
            </w:pP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MiBanco - Edyficar Perú</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5.60</w:t>
            </w: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13.10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Prima AFP - AFP Unión Vida</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1.60</w:t>
            </w: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15.50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MiBanco Colombia</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6.80</w:t>
            </w: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15.10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Credicorp Capital Colombia</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4.60</w:t>
            </w: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14.90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Banco de Crédito del Perú</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4.60</w:t>
            </w: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12.40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Pacífico Seguros (*)</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4.60</w:t>
            </w:r>
          </w:p>
        </w:tc>
        <w:tc>
          <w:tcPr>
            <w:tcW w:w="20" w:type="dxa"/>
            <w:vAlign w:val="bottom"/>
          </w:tcPr>
          <w:p>
            <w:pPr>
              <w:spacing w:after="0"/>
              <w:rPr>
                <w:sz w:val="15"/>
                <w:szCs w:val="15"/>
                <w:color w:val="auto"/>
              </w:rPr>
            </w:pPr>
          </w:p>
        </w:tc>
        <w:tc>
          <w:tcPr>
            <w:tcW w:w="11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w w:val="98"/>
              </w:rPr>
              <w:t>11.80 and 13.90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Atlantic Security Holding Corporation</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2.30</w:t>
            </w: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12.60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Tenpo</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25.00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Compañía Incubadora de Soluciones Móviles S.A-Culqi</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25.00</w:t>
            </w:r>
          </w:p>
        </w:tc>
      </w:tr>
      <w:tr>
        <w:trPr>
          <w:trHeight w:val="175"/>
        </w:trPr>
        <w:tc>
          <w:tcPr>
            <w:tcW w:w="7400" w:type="dxa"/>
            <w:vAlign w:val="bottom"/>
          </w:tcPr>
          <w:p>
            <w:pPr>
              <w:spacing w:after="0" w:line="175" w:lineRule="exact"/>
              <w:rPr>
                <w:sz w:val="20"/>
                <w:szCs w:val="20"/>
                <w:color w:val="auto"/>
              </w:rPr>
            </w:pPr>
            <w:r>
              <w:rPr>
                <w:rFonts w:ascii="Arial" w:cs="Arial" w:eastAsia="Arial" w:hAnsi="Arial"/>
                <w:sz w:val="16"/>
                <w:szCs w:val="16"/>
                <w:color w:val="auto"/>
              </w:rPr>
              <w:t>Wally POS S.A.C</w:t>
            </w:r>
          </w:p>
        </w:tc>
        <w:tc>
          <w:tcPr>
            <w:tcW w:w="12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25.00</w:t>
            </w:r>
          </w:p>
        </w:tc>
      </w:tr>
      <w:tr>
        <w:trPr>
          <w:trHeight w:val="205"/>
        </w:trPr>
        <w:tc>
          <w:tcPr>
            <w:tcW w:w="7400" w:type="dxa"/>
            <w:vAlign w:val="bottom"/>
          </w:tcPr>
          <w:p>
            <w:pPr>
              <w:spacing w:after="0"/>
              <w:rPr>
                <w:sz w:val="20"/>
                <w:szCs w:val="20"/>
                <w:color w:val="auto"/>
              </w:rPr>
            </w:pPr>
            <w:r>
              <w:rPr>
                <w:rFonts w:ascii="Arial" w:cs="Arial" w:eastAsia="Arial" w:hAnsi="Arial"/>
                <w:sz w:val="16"/>
                <w:szCs w:val="16"/>
                <w:color w:val="auto"/>
              </w:rPr>
              <w:t>Sami Shop S.A.C</w:t>
            </w:r>
          </w:p>
        </w:tc>
        <w:tc>
          <w:tcPr>
            <w:tcW w:w="120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6"/>
                <w:szCs w:val="16"/>
                <w:color w:val="auto"/>
              </w:rPr>
              <w:t>25.00</w:t>
            </w:r>
          </w:p>
        </w:tc>
      </w:tr>
    </w:tbl>
    <w:p>
      <w:pPr>
        <w:spacing w:after="0" w:line="145" w:lineRule="exact"/>
        <w:rPr>
          <w:sz w:val="20"/>
          <w:szCs w:val="20"/>
          <w:color w:val="auto"/>
        </w:rPr>
      </w:pPr>
    </w:p>
    <w:p>
      <w:pPr>
        <w:ind w:left="286" w:right="600" w:hanging="286"/>
        <w:spacing w:after="0" w:line="255" w:lineRule="auto"/>
        <w:tabs>
          <w:tab w:leader="none" w:pos="28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As of December 31, 2024, and 2023, it corresponds to the discount rates used to determine the recoverable value of the cash flows that correspond to the general and life insurance business lines.</w:t>
      </w:r>
    </w:p>
    <w:p>
      <w:pPr>
        <w:spacing w:after="0" w:line="134" w:lineRule="exact"/>
        <w:rPr>
          <w:sz w:val="20"/>
          <w:szCs w:val="20"/>
          <w:color w:val="auto"/>
        </w:rPr>
      </w:pPr>
    </w:p>
    <w:p>
      <w:pPr>
        <w:ind w:left="6"/>
        <w:spacing w:after="0" w:line="241" w:lineRule="auto"/>
        <w:rPr>
          <w:sz w:val="20"/>
          <w:szCs w:val="20"/>
          <w:color w:val="auto"/>
        </w:rPr>
      </w:pPr>
      <w:r>
        <w:rPr>
          <w:rFonts w:ascii="Arial" w:cs="Arial" w:eastAsia="Arial" w:hAnsi="Arial"/>
          <w:sz w:val="16"/>
          <w:szCs w:val="16"/>
          <w:color w:val="auto"/>
        </w:rPr>
        <w:t>Five or ten years of cash flows, depending on the business maturity, were included in the discounted cash flow model. The growth rate estimates are based on historic performance and management’s expectations of market development. A long-term growth rate to perpetuity has been determined taking into account forecasts included in industry reports.</w:t>
      </w:r>
    </w:p>
    <w:p>
      <w:pPr>
        <w:spacing w:after="0" w:line="304" w:lineRule="exact"/>
        <w:rPr>
          <w:sz w:val="20"/>
          <w:szCs w:val="20"/>
          <w:color w:val="auto"/>
        </w:rPr>
      </w:pPr>
    </w:p>
    <w:p>
      <w:pPr>
        <w:ind w:left="4686"/>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206"/>
          </w:cols>
          <w:pgMar w:left="1154" w:top="124" w:right="539" w:bottom="1440" w:gutter="0" w:footer="0" w:header="0"/>
        </w:sectPr>
      </w:pPr>
    </w:p>
    <w:bookmarkStart w:id="83" w:name="page84"/>
    <w:bookmarkEnd w:id="83"/>
    <w:p>
      <w:pPr>
        <w:ind w:right="180"/>
        <w:spacing w:after="0" w:line="238" w:lineRule="auto"/>
        <w:rPr>
          <w:sz w:val="20"/>
          <w:szCs w:val="20"/>
          <w:color w:val="auto"/>
        </w:rPr>
      </w:pPr>
      <w:r>
        <w:rPr>
          <w:rFonts w:ascii="Arial" w:cs="Arial" w:eastAsia="Arial" w:hAnsi="Arial"/>
          <w:sz w:val="16"/>
          <w:szCs w:val="16"/>
          <w:color w:val="auto"/>
        </w:rPr>
        <w:t>The discount rates represent the assessment of the specific risks of the cash-generating unit. The discount rate originates from the financial asset pricing model (MVAF). The cost of capital is derived from the returns that the Group's investors expect to obtain, the specific risk incorporated by applying individual comparable beta factors adjusted to the debt structure of each CGU and the specific country and market risk premiums for each CGU. The beta factors are evaluated annually based on available market information.</w:t>
      </w:r>
    </w:p>
    <w:p>
      <w:pPr>
        <w:spacing w:after="0" w:line="14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key assumptions described above may change if market and economic conditions change. As of December 31, 2024 and 2023, the Group estimates that the reasonableness of these possible changes in these assumptions would not cause the recoverable amount of all CGU's to decrease to below their carrying value.</w:t>
      </w:r>
    </w:p>
    <w:p>
      <w:pPr>
        <w:spacing w:after="0" w:line="304" w:lineRule="exact"/>
        <w:rPr>
          <w:sz w:val="20"/>
          <w:szCs w:val="20"/>
          <w:color w:val="auto"/>
        </w:rPr>
      </w:pPr>
    </w:p>
    <w:p>
      <w:pPr>
        <w:ind w:left="4680"/>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36195</wp:posOffset>
            </wp:positionV>
            <wp:extent cx="71507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280"/>
          </w:cols>
          <w:pgMar w:left="1160" w:top="124" w:right="459" w:bottom="1440" w:gutter="0" w:footer="0" w:header="0"/>
        </w:sectPr>
      </w:pPr>
    </w:p>
    <w:bookmarkStart w:id="84" w:name="page85"/>
    <w:bookmarkEnd w:id="84"/>
    <w:p>
      <w:pPr>
        <w:ind w:left="567" w:hanging="567"/>
        <w:spacing w:after="0"/>
        <w:tabs>
          <w:tab w:leader="none" w:pos="567"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RIGHT-OF-USE ASSETS AND LEASE LIABILITES</w:t>
      </w:r>
    </w:p>
    <w:p>
      <w:pPr>
        <w:spacing w:after="0" w:line="167" w:lineRule="exact"/>
        <w:rPr>
          <w:rFonts w:ascii="Arial" w:cs="Arial" w:eastAsia="Arial" w:hAnsi="Arial"/>
          <w:sz w:val="16"/>
          <w:szCs w:val="16"/>
          <w:b w:val="1"/>
          <w:bCs w:val="1"/>
          <w:color w:val="auto"/>
        </w:rPr>
      </w:pPr>
    </w:p>
    <w:p>
      <w:pPr>
        <w:ind w:left="847" w:hanging="286"/>
        <w:spacing w:after="0"/>
        <w:tabs>
          <w:tab w:leader="none" w:pos="84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Right-of-use</w:t>
      </w:r>
    </w:p>
    <w:p>
      <w:pPr>
        <w:spacing w:after="0" w:line="166" w:lineRule="exact"/>
        <w:rPr>
          <w:rFonts w:ascii="Arial" w:cs="Arial" w:eastAsia="Arial" w:hAnsi="Arial"/>
          <w:sz w:val="16"/>
          <w:szCs w:val="16"/>
          <w:color w:val="auto"/>
        </w:rPr>
      </w:pPr>
    </w:p>
    <w:p>
      <w:pPr>
        <w:ind w:left="847"/>
        <w:spacing w:after="0"/>
        <w:rPr>
          <w:rFonts w:ascii="Arial" w:cs="Arial" w:eastAsia="Arial" w:hAnsi="Arial"/>
          <w:sz w:val="16"/>
          <w:szCs w:val="16"/>
          <w:color w:val="auto"/>
        </w:rPr>
      </w:pPr>
      <w:r>
        <w:rPr>
          <w:rFonts w:ascii="Arial" w:cs="Arial" w:eastAsia="Arial" w:hAnsi="Arial"/>
          <w:sz w:val="16"/>
          <w:szCs w:val="16"/>
          <w:color w:val="auto"/>
        </w:rPr>
        <w:t>The Group has leased agreements according to the following composition:</w:t>
      </w:r>
    </w:p>
    <w:p>
      <w:pPr>
        <w:spacing w:after="0" w:line="155" w:lineRule="exact"/>
        <w:rPr>
          <w:sz w:val="20"/>
          <w:szCs w:val="20"/>
          <w:color w:val="auto"/>
        </w:rPr>
      </w:pPr>
    </w:p>
    <w:tbl>
      <w:tblPr>
        <w:tblLayout w:type="fixed"/>
        <w:tblInd w:w="3747" w:type="dxa"/>
        <w:tblCellMar>
          <w:top w:w="0" w:type="dxa"/>
          <w:left w:w="0" w:type="dxa"/>
          <w:bottom w:w="0" w:type="dxa"/>
          <w:right w:w="0" w:type="dxa"/>
        </w:tblCellMar>
      </w:tblPr>
      <w:tr>
        <w:trPr>
          <w:trHeight w:val="184"/>
        </w:trPr>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Property,</w:t>
            </w:r>
          </w:p>
        </w:tc>
        <w:tc>
          <w:tcPr>
            <w:tcW w:w="900" w:type="dxa"/>
            <w:vAlign w:val="bottom"/>
          </w:tcPr>
          <w:p>
            <w:pPr>
              <w:spacing w:after="0"/>
              <w:rPr>
                <w:sz w:val="20"/>
                <w:szCs w:val="20"/>
                <w:color w:val="auto"/>
              </w:rPr>
            </w:pPr>
            <w:r>
              <w:rPr>
                <w:rFonts w:ascii="Arial" w:cs="Arial" w:eastAsia="Arial" w:hAnsi="Arial"/>
                <w:sz w:val="16"/>
                <w:szCs w:val="16"/>
                <w:b w:val="1"/>
                <w:bCs w:val="1"/>
                <w:color w:val="auto"/>
                <w:w w:val="96"/>
              </w:rPr>
              <w:t>Servers and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Agencies and</w:t>
            </w:r>
          </w:p>
        </w:tc>
        <w:tc>
          <w:tcPr>
            <w:tcW w:w="900" w:type="dxa"/>
            <w:vAlign w:val="bottom"/>
          </w:tcPr>
          <w:p>
            <w:pPr>
              <w:spacing w:after="0" w:line="175" w:lineRule="exact"/>
              <w:rPr>
                <w:sz w:val="20"/>
                <w:szCs w:val="20"/>
                <w:color w:val="auto"/>
              </w:rPr>
            </w:pPr>
            <w:r>
              <w:rPr>
                <w:rFonts w:ascii="Arial" w:cs="Arial" w:eastAsia="Arial" w:hAnsi="Arial"/>
                <w:sz w:val="16"/>
                <w:szCs w:val="16"/>
                <w:b w:val="1"/>
                <w:bCs w:val="1"/>
                <w:color w:val="auto"/>
              </w:rPr>
              <w:t>technology</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2"/>
        </w:trPr>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offices</w:t>
            </w:r>
          </w:p>
        </w:tc>
        <w:tc>
          <w:tcPr>
            <w:tcW w:w="900" w:type="dxa"/>
            <w:vAlign w:val="bottom"/>
          </w:tcPr>
          <w:p>
            <w:pPr>
              <w:spacing w:after="0"/>
              <w:rPr>
                <w:sz w:val="20"/>
                <w:szCs w:val="20"/>
                <w:color w:val="auto"/>
              </w:rPr>
            </w:pPr>
            <w:r>
              <w:rPr>
                <w:rFonts w:ascii="Arial" w:cs="Arial" w:eastAsia="Arial" w:hAnsi="Arial"/>
                <w:sz w:val="16"/>
                <w:szCs w:val="16"/>
                <w:b w:val="1"/>
                <w:bCs w:val="1"/>
                <w:color w:val="auto"/>
              </w:rPr>
              <w:t>platforms</w:t>
            </w: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w w:val="95"/>
              </w:rPr>
              <w:t>Transport units</w:t>
            </w: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w w:val="95"/>
              </w:rPr>
              <w:t>Other leases</w:t>
            </w: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2022</w:t>
            </w:r>
          </w:p>
        </w:tc>
      </w:tr>
      <w:tr>
        <w:trPr>
          <w:trHeight w:val="206"/>
        </w:trPr>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r>
    </w:tbl>
    <w:p>
      <w:pPr>
        <w:spacing w:after="0" w:line="112" w:lineRule="exact"/>
        <w:rPr>
          <w:sz w:val="20"/>
          <w:szCs w:val="20"/>
          <w:color w:val="auto"/>
        </w:rPr>
      </w:pPr>
    </w:p>
    <w:tbl>
      <w:tblPr>
        <w:tblLayout w:type="fixed"/>
        <w:tblInd w:w="847" w:type="dxa"/>
        <w:tblCellMar>
          <w:top w:w="0" w:type="dxa"/>
          <w:left w:w="0" w:type="dxa"/>
          <w:bottom w:w="0" w:type="dxa"/>
          <w:right w:w="0" w:type="dxa"/>
        </w:tblCellMar>
      </w:tblPr>
      <w:tr>
        <w:trPr>
          <w:trHeight w:val="184"/>
        </w:trPr>
        <w:tc>
          <w:tcPr>
            <w:tcW w:w="2900" w:type="dxa"/>
            <w:vAlign w:val="bottom"/>
          </w:tcPr>
          <w:p>
            <w:pPr>
              <w:spacing w:after="0"/>
              <w:rPr>
                <w:sz w:val="20"/>
                <w:szCs w:val="20"/>
                <w:color w:val="auto"/>
              </w:rPr>
            </w:pPr>
            <w:r>
              <w:rPr>
                <w:rFonts w:ascii="Arial" w:cs="Arial" w:eastAsia="Arial" w:hAnsi="Arial"/>
                <w:sz w:val="16"/>
                <w:szCs w:val="16"/>
                <w:b w:val="1"/>
                <w:bCs w:val="1"/>
                <w:color w:val="auto"/>
              </w:rPr>
              <w:t>Cost -</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line="175" w:lineRule="exact"/>
              <w:rPr>
                <w:sz w:val="20"/>
                <w:szCs w:val="20"/>
                <w:color w:val="auto"/>
              </w:rPr>
            </w:pPr>
            <w:r>
              <w:rPr>
                <w:rFonts w:ascii="Arial" w:cs="Arial" w:eastAsia="Arial" w:hAnsi="Arial"/>
                <w:sz w:val="16"/>
                <w:szCs w:val="16"/>
                <w:color w:val="auto"/>
              </w:rPr>
              <w:t>Balance as of January 1</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847,254</w:t>
            </w:r>
          </w:p>
        </w:tc>
        <w:tc>
          <w:tcPr>
            <w:tcW w:w="80" w:type="dxa"/>
            <w:vAlign w:val="bottom"/>
          </w:tcPr>
          <w:p>
            <w:pPr>
              <w:spacing w:after="0"/>
              <w:rPr>
                <w:sz w:val="15"/>
                <w:szCs w:val="15"/>
                <w:color w:val="auto"/>
              </w:rPr>
            </w:pPr>
          </w:p>
        </w:tc>
        <w:tc>
          <w:tcPr>
            <w:tcW w:w="10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152,371</w:t>
            </w:r>
          </w:p>
        </w:tc>
        <w:tc>
          <w:tcPr>
            <w:tcW w:w="12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6,108</w:t>
            </w:r>
          </w:p>
        </w:tc>
        <w:tc>
          <w:tcPr>
            <w:tcW w:w="10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79,510</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1,085,243</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1,026,891</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969,355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line="175" w:lineRule="exact"/>
              <w:rPr>
                <w:sz w:val="20"/>
                <w:szCs w:val="20"/>
                <w:color w:val="auto"/>
              </w:rPr>
            </w:pPr>
            <w:r>
              <w:rPr>
                <w:rFonts w:ascii="Arial" w:cs="Arial" w:eastAsia="Arial" w:hAnsi="Arial"/>
                <w:sz w:val="16"/>
                <w:szCs w:val="16"/>
                <w:color w:val="auto"/>
              </w:rPr>
              <w:t>Additions</w:t>
            </w:r>
          </w:p>
        </w:tc>
        <w:tc>
          <w:tcPr>
            <w:tcW w:w="11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49,827</w:t>
            </w:r>
          </w:p>
        </w:tc>
        <w:tc>
          <w:tcPr>
            <w:tcW w:w="10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590</w:t>
            </w:r>
          </w:p>
        </w:tc>
        <w:tc>
          <w:tcPr>
            <w:tcW w:w="12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2,024</w:t>
            </w:r>
          </w:p>
        </w:tc>
        <w:tc>
          <w:tcPr>
            <w:tcW w:w="10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52,441</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122,841</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113,948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00" w:type="dxa"/>
            <w:vAlign w:val="bottom"/>
          </w:tcPr>
          <w:p>
            <w:pPr>
              <w:spacing w:after="0"/>
              <w:rPr>
                <w:sz w:val="20"/>
                <w:szCs w:val="20"/>
                <w:color w:val="auto"/>
              </w:rPr>
            </w:pPr>
            <w:r>
              <w:rPr>
                <w:rFonts w:ascii="Arial" w:cs="Arial" w:eastAsia="Arial" w:hAnsi="Arial"/>
                <w:sz w:val="16"/>
                <w:szCs w:val="16"/>
                <w:color w:val="auto"/>
              </w:rPr>
              <w:t>Disposal and others</w:t>
            </w:r>
          </w:p>
        </w:tc>
        <w:tc>
          <w:tcPr>
            <w:tcW w:w="1020" w:type="dxa"/>
            <w:vAlign w:val="bottom"/>
          </w:tcPr>
          <w:p>
            <w:pPr>
              <w:jc w:val="right"/>
              <w:spacing w:after="0"/>
              <w:rPr>
                <w:sz w:val="20"/>
                <w:szCs w:val="20"/>
                <w:color w:val="auto"/>
              </w:rPr>
            </w:pPr>
            <w:r>
              <w:rPr>
                <w:rFonts w:ascii="Arial" w:cs="Arial" w:eastAsia="Arial" w:hAnsi="Arial"/>
                <w:sz w:val="16"/>
                <w:szCs w:val="16"/>
                <w:color w:val="auto"/>
              </w:rPr>
              <w:t>(36,986)</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(2,193)</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(82)</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(210)</w:t>
            </w:r>
          </w:p>
        </w:tc>
        <w:tc>
          <w:tcPr>
            <w:tcW w:w="760" w:type="dxa"/>
            <w:vAlign w:val="bottom"/>
          </w:tcPr>
          <w:p>
            <w:pPr>
              <w:jc w:val="right"/>
              <w:spacing w:after="0"/>
              <w:rPr>
                <w:sz w:val="20"/>
                <w:szCs w:val="20"/>
                <w:color w:val="auto"/>
              </w:rPr>
            </w:pPr>
            <w:r>
              <w:rPr>
                <w:rFonts w:ascii="Arial" w:cs="Arial" w:eastAsia="Arial" w:hAnsi="Arial"/>
                <w:sz w:val="16"/>
                <w:szCs w:val="16"/>
                <w:color w:val="auto"/>
              </w:rPr>
              <w:t>(39,471)</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(64,489)</w:t>
            </w:r>
          </w:p>
        </w:tc>
        <w:tc>
          <w:tcPr>
            <w:tcW w:w="780" w:type="dxa"/>
            <w:vAlign w:val="bottom"/>
          </w:tcPr>
          <w:p>
            <w:pPr>
              <w:jc w:val="right"/>
              <w:spacing w:after="0"/>
              <w:rPr>
                <w:sz w:val="20"/>
                <w:szCs w:val="20"/>
                <w:color w:val="auto"/>
              </w:rPr>
            </w:pPr>
            <w:r>
              <w:rPr>
                <w:rFonts w:ascii="Arial" w:cs="Arial" w:eastAsia="Arial" w:hAnsi="Arial"/>
                <w:sz w:val="16"/>
                <w:szCs w:val="16"/>
                <w:color w:val="auto"/>
              </w:rPr>
              <w:t>(56,412)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900" w:type="dxa"/>
            <w:vAlign w:val="bottom"/>
          </w:tcPr>
          <w:p>
            <w:pPr>
              <w:spacing w:after="0" w:line="178" w:lineRule="exact"/>
              <w:rPr>
                <w:sz w:val="20"/>
                <w:szCs w:val="20"/>
                <w:color w:val="auto"/>
              </w:rPr>
            </w:pPr>
            <w:r>
              <w:rPr>
                <w:rFonts w:ascii="Arial" w:cs="Arial" w:eastAsia="Arial" w:hAnsi="Arial"/>
                <w:sz w:val="16"/>
                <w:szCs w:val="16"/>
                <w:b w:val="1"/>
                <w:bCs w:val="1"/>
                <w:color w:val="auto"/>
              </w:rPr>
              <w:t>Balance as of December 31</w:t>
            </w:r>
          </w:p>
        </w:tc>
        <w:tc>
          <w:tcPr>
            <w:tcW w:w="10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860,095</w:t>
            </w:r>
          </w:p>
        </w:tc>
        <w:tc>
          <w:tcPr>
            <w:tcW w:w="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150,768</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8,050</w:t>
            </w:r>
          </w:p>
        </w:tc>
        <w:tc>
          <w:tcPr>
            <w:tcW w:w="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79,300</w:t>
            </w:r>
          </w:p>
        </w:tc>
        <w:tc>
          <w:tcPr>
            <w:tcW w:w="1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1,098,213</w:t>
            </w:r>
          </w:p>
        </w:tc>
        <w:tc>
          <w:tcPr>
            <w:tcW w:w="1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1,085,243</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1,026,891</w:t>
            </w:r>
          </w:p>
        </w:tc>
        <w:tc>
          <w:tcPr>
            <w:tcW w:w="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900" w:type="dxa"/>
            <w:vAlign w:val="bottom"/>
          </w:tcPr>
          <w:p>
            <w:pPr>
              <w:spacing w:after="0"/>
              <w:rPr>
                <w:sz w:val="20"/>
                <w:szCs w:val="20"/>
                <w:color w:val="auto"/>
              </w:rPr>
            </w:pPr>
            <w:r>
              <w:rPr>
                <w:rFonts w:ascii="Arial" w:cs="Arial" w:eastAsia="Arial" w:hAnsi="Arial"/>
                <w:sz w:val="16"/>
                <w:szCs w:val="16"/>
                <w:b w:val="1"/>
                <w:bCs w:val="1"/>
                <w:color w:val="auto"/>
              </w:rPr>
              <w:t>Accumulated depreciation -</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line="175" w:lineRule="exact"/>
              <w:rPr>
                <w:sz w:val="20"/>
                <w:szCs w:val="20"/>
                <w:color w:val="auto"/>
              </w:rPr>
            </w:pPr>
            <w:r>
              <w:rPr>
                <w:rFonts w:ascii="Arial" w:cs="Arial" w:eastAsia="Arial" w:hAnsi="Arial"/>
                <w:sz w:val="16"/>
                <w:szCs w:val="16"/>
                <w:color w:val="auto"/>
              </w:rPr>
              <w:t>Balance as of January 1</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448,657</w:t>
            </w:r>
          </w:p>
        </w:tc>
        <w:tc>
          <w:tcPr>
            <w:tcW w:w="80" w:type="dxa"/>
            <w:vAlign w:val="bottom"/>
          </w:tcPr>
          <w:p>
            <w:pPr>
              <w:spacing w:after="0"/>
              <w:rPr>
                <w:sz w:val="15"/>
                <w:szCs w:val="15"/>
                <w:color w:val="auto"/>
              </w:rPr>
            </w:pPr>
          </w:p>
        </w:tc>
        <w:tc>
          <w:tcPr>
            <w:tcW w:w="10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97,096</w:t>
            </w:r>
          </w:p>
        </w:tc>
        <w:tc>
          <w:tcPr>
            <w:tcW w:w="12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2,232</w:t>
            </w:r>
          </w:p>
        </w:tc>
        <w:tc>
          <w:tcPr>
            <w:tcW w:w="10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37,543</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585,528</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483,058</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382,938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line="175" w:lineRule="exact"/>
              <w:rPr>
                <w:sz w:val="20"/>
                <w:szCs w:val="20"/>
                <w:color w:val="auto"/>
              </w:rPr>
            </w:pPr>
            <w:r>
              <w:rPr>
                <w:rFonts w:ascii="Arial" w:cs="Arial" w:eastAsia="Arial" w:hAnsi="Arial"/>
                <w:sz w:val="16"/>
                <w:szCs w:val="16"/>
                <w:color w:val="auto"/>
              </w:rPr>
              <w:t>Depreciation of the period</w:t>
            </w:r>
          </w:p>
        </w:tc>
        <w:tc>
          <w:tcPr>
            <w:tcW w:w="11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98,977</w:t>
            </w:r>
          </w:p>
        </w:tc>
        <w:tc>
          <w:tcPr>
            <w:tcW w:w="10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27,650</w:t>
            </w:r>
          </w:p>
        </w:tc>
        <w:tc>
          <w:tcPr>
            <w:tcW w:w="12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1,124</w:t>
            </w:r>
          </w:p>
        </w:tc>
        <w:tc>
          <w:tcPr>
            <w:tcW w:w="10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14,889</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142,640</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147,833</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151,335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00" w:type="dxa"/>
            <w:vAlign w:val="bottom"/>
          </w:tcPr>
          <w:p>
            <w:pPr>
              <w:spacing w:after="0"/>
              <w:rPr>
                <w:sz w:val="20"/>
                <w:szCs w:val="20"/>
                <w:color w:val="auto"/>
              </w:rPr>
            </w:pPr>
            <w:r>
              <w:rPr>
                <w:rFonts w:ascii="Arial" w:cs="Arial" w:eastAsia="Arial" w:hAnsi="Arial"/>
                <w:sz w:val="16"/>
                <w:szCs w:val="16"/>
                <w:color w:val="auto"/>
              </w:rPr>
              <w:t>Disposal and others</w:t>
            </w:r>
          </w:p>
        </w:tc>
        <w:tc>
          <w:tcPr>
            <w:tcW w:w="1020" w:type="dxa"/>
            <w:vAlign w:val="bottom"/>
          </w:tcPr>
          <w:p>
            <w:pPr>
              <w:jc w:val="right"/>
              <w:spacing w:after="0"/>
              <w:rPr>
                <w:sz w:val="20"/>
                <w:szCs w:val="20"/>
                <w:color w:val="auto"/>
              </w:rPr>
            </w:pPr>
            <w:r>
              <w:rPr>
                <w:rFonts w:ascii="Arial" w:cs="Arial" w:eastAsia="Arial" w:hAnsi="Arial"/>
                <w:sz w:val="16"/>
                <w:szCs w:val="16"/>
                <w:color w:val="auto"/>
              </w:rPr>
              <w:t>(31,170)</w:t>
            </w: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(1,105)</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(186)</w:t>
            </w:r>
          </w:p>
        </w:tc>
        <w:tc>
          <w:tcPr>
            <w:tcW w:w="760" w:type="dxa"/>
            <w:vAlign w:val="bottom"/>
          </w:tcPr>
          <w:p>
            <w:pPr>
              <w:jc w:val="right"/>
              <w:spacing w:after="0"/>
              <w:rPr>
                <w:sz w:val="20"/>
                <w:szCs w:val="20"/>
                <w:color w:val="auto"/>
              </w:rPr>
            </w:pPr>
            <w:r>
              <w:rPr>
                <w:rFonts w:ascii="Arial" w:cs="Arial" w:eastAsia="Arial" w:hAnsi="Arial"/>
                <w:sz w:val="16"/>
                <w:szCs w:val="16"/>
                <w:color w:val="auto"/>
              </w:rPr>
              <w:t>(32,493)</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(45,363)</w:t>
            </w:r>
          </w:p>
        </w:tc>
        <w:tc>
          <w:tcPr>
            <w:tcW w:w="780" w:type="dxa"/>
            <w:vAlign w:val="bottom"/>
          </w:tcPr>
          <w:p>
            <w:pPr>
              <w:jc w:val="right"/>
              <w:spacing w:after="0"/>
              <w:rPr>
                <w:sz w:val="20"/>
                <w:szCs w:val="20"/>
                <w:color w:val="auto"/>
              </w:rPr>
            </w:pPr>
            <w:r>
              <w:rPr>
                <w:rFonts w:ascii="Arial" w:cs="Arial" w:eastAsia="Arial" w:hAnsi="Arial"/>
                <w:sz w:val="16"/>
                <w:szCs w:val="16"/>
                <w:color w:val="auto"/>
              </w:rPr>
              <w:t>(51,215)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900" w:type="dxa"/>
            <w:vAlign w:val="bottom"/>
          </w:tcPr>
          <w:p>
            <w:pPr>
              <w:spacing w:after="0" w:line="178" w:lineRule="exact"/>
              <w:rPr>
                <w:sz w:val="20"/>
                <w:szCs w:val="20"/>
                <w:color w:val="auto"/>
              </w:rPr>
            </w:pPr>
            <w:r>
              <w:rPr>
                <w:rFonts w:ascii="Arial" w:cs="Arial" w:eastAsia="Arial" w:hAnsi="Arial"/>
                <w:sz w:val="16"/>
                <w:szCs w:val="16"/>
                <w:b w:val="1"/>
                <w:bCs w:val="1"/>
                <w:color w:val="auto"/>
              </w:rPr>
              <w:t>Balance as of December 31</w:t>
            </w:r>
          </w:p>
        </w:tc>
        <w:tc>
          <w:tcPr>
            <w:tcW w:w="10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516,464</w:t>
            </w:r>
          </w:p>
        </w:tc>
        <w:tc>
          <w:tcPr>
            <w:tcW w:w="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123,641</w:t>
            </w: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3,324</w:t>
            </w:r>
          </w:p>
        </w:tc>
        <w:tc>
          <w:tcPr>
            <w:tcW w:w="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52,246</w:t>
            </w:r>
          </w:p>
        </w:tc>
        <w:tc>
          <w:tcPr>
            <w:tcW w:w="1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695,675</w:t>
            </w:r>
          </w:p>
        </w:tc>
        <w:tc>
          <w:tcPr>
            <w:tcW w:w="1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585,528</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483,058</w:t>
            </w:r>
          </w:p>
        </w:tc>
        <w:tc>
          <w:tcPr>
            <w:tcW w:w="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00" w:type="dxa"/>
            <w:vAlign w:val="bottom"/>
            <w:vMerge w:val="restart"/>
          </w:tcPr>
          <w:p>
            <w:pPr>
              <w:spacing w:after="0"/>
              <w:rPr>
                <w:sz w:val="20"/>
                <w:szCs w:val="20"/>
                <w:color w:val="auto"/>
              </w:rPr>
            </w:pPr>
            <w:r>
              <w:rPr>
                <w:rFonts w:ascii="Arial" w:cs="Arial" w:eastAsia="Arial" w:hAnsi="Arial"/>
                <w:sz w:val="16"/>
                <w:szCs w:val="16"/>
                <w:b w:val="1"/>
                <w:bCs w:val="1"/>
                <w:color w:val="auto"/>
              </w:rPr>
              <w:t>Net carrying amount</w:t>
            </w: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00" w:type="dxa"/>
            <w:vAlign w:val="bottom"/>
            <w:vMerge w:val="continue"/>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343,631</w:t>
            </w: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27,127</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4,726</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27,054</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402,538</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499,715</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543,833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47" w:right="220"/>
        <w:spacing w:after="0" w:line="255" w:lineRule="auto"/>
        <w:rPr>
          <w:sz w:val="20"/>
          <w:szCs w:val="20"/>
          <w:color w:val="auto"/>
        </w:rPr>
      </w:pPr>
      <w:r>
        <w:rPr>
          <w:rFonts w:ascii="Arial" w:cs="Arial" w:eastAsia="Arial" w:hAnsi="Arial"/>
          <w:sz w:val="16"/>
          <w:szCs w:val="16"/>
          <w:color w:val="auto"/>
        </w:rPr>
        <w:t>The Group maintains contracts, with certain renewal options and for which the Group has reasonable certainty that this option will be exercised. In these cases, the period of lease used to measure the liability and assets corresponds to an estimation of future renovations.</w:t>
      </w:r>
    </w:p>
    <w:p>
      <w:pPr>
        <w:spacing w:after="0" w:line="134" w:lineRule="exact"/>
        <w:rPr>
          <w:sz w:val="20"/>
          <w:szCs w:val="20"/>
          <w:color w:val="auto"/>
        </w:rPr>
      </w:pPr>
    </w:p>
    <w:p>
      <w:pPr>
        <w:ind w:left="847" w:hanging="286"/>
        <w:spacing w:after="0"/>
        <w:tabs>
          <w:tab w:leader="none" w:pos="8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Lease Liabilities</w:t>
      </w:r>
    </w:p>
    <w:p>
      <w:pPr>
        <w:spacing w:after="0" w:line="166" w:lineRule="exact"/>
        <w:rPr>
          <w:rFonts w:ascii="Arial" w:cs="Arial" w:eastAsia="Arial" w:hAnsi="Arial"/>
          <w:sz w:val="16"/>
          <w:szCs w:val="16"/>
          <w:color w:val="auto"/>
        </w:rPr>
      </w:pPr>
    </w:p>
    <w:p>
      <w:pPr>
        <w:ind w:left="847" w:right="580"/>
        <w:spacing w:after="0" w:line="255" w:lineRule="auto"/>
        <w:rPr>
          <w:rFonts w:ascii="Arial" w:cs="Arial" w:eastAsia="Arial" w:hAnsi="Arial"/>
          <w:sz w:val="16"/>
          <w:szCs w:val="16"/>
          <w:color w:val="auto"/>
        </w:rPr>
      </w:pPr>
      <w:r>
        <w:rPr>
          <w:rFonts w:ascii="Arial" w:cs="Arial" w:eastAsia="Arial" w:hAnsi="Arial"/>
          <w:sz w:val="16"/>
          <w:szCs w:val="16"/>
          <w:color w:val="auto"/>
        </w:rPr>
        <w:t>Lease liabilities include the present value of fixed payments and variable lease payments. Lease payments made under renewal options with reasonable certainty of being exercised are included in the measurement of the liability.</w:t>
      </w:r>
    </w:p>
    <w:p>
      <w:pPr>
        <w:spacing w:after="0" w:line="134" w:lineRule="exact"/>
        <w:rPr>
          <w:rFonts w:ascii="Arial" w:cs="Arial" w:eastAsia="Arial" w:hAnsi="Arial"/>
          <w:sz w:val="16"/>
          <w:szCs w:val="16"/>
          <w:color w:val="auto"/>
        </w:rPr>
      </w:pPr>
    </w:p>
    <w:p>
      <w:pPr>
        <w:jc w:val="both"/>
        <w:ind w:left="847"/>
        <w:spacing w:after="0" w:line="241" w:lineRule="auto"/>
        <w:rPr>
          <w:rFonts w:ascii="Arial" w:cs="Arial" w:eastAsia="Arial" w:hAnsi="Arial"/>
          <w:sz w:val="16"/>
          <w:szCs w:val="16"/>
          <w:color w:val="auto"/>
        </w:rPr>
      </w:pPr>
      <w:r>
        <w:rPr>
          <w:rFonts w:ascii="Arial" w:cs="Arial" w:eastAsia="Arial" w:hAnsi="Arial"/>
          <w:sz w:val="16"/>
          <w:szCs w:val="16"/>
          <w:color w:val="auto"/>
        </w:rPr>
        <w:t>Lease payments are discounted using the interest rate implicit in the lease, if that rate could be readily determined, or the interest rate that the lessee would have to pay to borrow the funds necessary to obtain an asset of similar value to the right-of-use asset, for a similar term, in a similar economic environment with similar terms, guarantees and conditions.</w:t>
      </w:r>
    </w:p>
    <w:p>
      <w:pPr>
        <w:spacing w:after="0" w:line="145" w:lineRule="exact"/>
        <w:rPr>
          <w:rFonts w:ascii="Arial" w:cs="Arial" w:eastAsia="Arial" w:hAnsi="Arial"/>
          <w:sz w:val="16"/>
          <w:szCs w:val="16"/>
          <w:color w:val="auto"/>
        </w:rPr>
      </w:pPr>
    </w:p>
    <w:p>
      <w:pPr>
        <w:ind w:left="847" w:right="280"/>
        <w:spacing w:after="0" w:line="255" w:lineRule="auto"/>
        <w:rPr>
          <w:rFonts w:ascii="Arial" w:cs="Arial" w:eastAsia="Arial" w:hAnsi="Arial"/>
          <w:sz w:val="16"/>
          <w:szCs w:val="16"/>
          <w:color w:val="auto"/>
        </w:rPr>
      </w:pPr>
      <w:r>
        <w:rPr>
          <w:rFonts w:ascii="Arial" w:cs="Arial" w:eastAsia="Arial" w:hAnsi="Arial"/>
          <w:sz w:val="16"/>
          <w:szCs w:val="16"/>
          <w:color w:val="auto"/>
        </w:rPr>
        <w:t>Lease liabilities are recorded at amortized cost, recognizing the interest in the caption “Interest, income and similar expenses” in the consolidated statement of income, and the installments that are paid will be subtracted.</w:t>
      </w:r>
    </w:p>
    <w:p>
      <w:pPr>
        <w:spacing w:after="0" w:line="134" w:lineRule="exact"/>
        <w:rPr>
          <w:rFonts w:ascii="Arial" w:cs="Arial" w:eastAsia="Arial" w:hAnsi="Arial"/>
          <w:sz w:val="16"/>
          <w:szCs w:val="16"/>
          <w:color w:val="auto"/>
        </w:rPr>
      </w:pPr>
    </w:p>
    <w:p>
      <w:pPr>
        <w:ind w:left="847"/>
        <w:spacing w:after="0"/>
        <w:rPr>
          <w:rFonts w:ascii="Arial" w:cs="Arial" w:eastAsia="Arial" w:hAnsi="Arial"/>
          <w:sz w:val="16"/>
          <w:szCs w:val="16"/>
          <w:color w:val="auto"/>
        </w:rPr>
      </w:pPr>
      <w:r>
        <w:rPr>
          <w:rFonts w:ascii="Arial" w:cs="Arial" w:eastAsia="Arial" w:hAnsi="Arial"/>
          <w:sz w:val="16"/>
          <w:szCs w:val="16"/>
          <w:color w:val="auto"/>
        </w:rPr>
        <w:t>As of December 31, 2024 and 2023, financial lease liability amounts to S/404.8 million and S/512.6 million, respectively.</w:t>
      </w:r>
    </w:p>
    <w:p>
      <w:pPr>
        <w:spacing w:after="0" w:line="325" w:lineRule="exact"/>
        <w:rPr>
          <w:sz w:val="20"/>
          <w:szCs w:val="20"/>
          <w:color w:val="auto"/>
        </w:rPr>
      </w:pPr>
    </w:p>
    <w:p>
      <w:pPr>
        <w:jc w:val="center"/>
        <w:ind w:right="-186"/>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087"/>
          </w:cols>
          <w:pgMar w:left="313" w:top="124" w:right="4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4"/>
        </w:trPr>
        <w:tc>
          <w:tcPr>
            <w:tcW w:w="360" w:type="dxa"/>
            <w:vAlign w:val="bottom"/>
          </w:tcPr>
          <w:p>
            <w:pPr>
              <w:jc w:val="right"/>
              <w:ind w:right="122"/>
              <w:spacing w:after="0"/>
              <w:rPr>
                <w:sz w:val="20"/>
                <w:szCs w:val="20"/>
                <w:color w:val="auto"/>
              </w:rPr>
            </w:pPr>
            <w:r>
              <w:rPr>
                <w:rFonts w:ascii="Arial" w:cs="Arial" w:eastAsia="Arial" w:hAnsi="Arial"/>
                <w:sz w:val="16"/>
                <w:szCs w:val="16"/>
                <w:b w:val="1"/>
                <w:bCs w:val="1"/>
                <w:color w:val="auto"/>
                <w:w w:val="78"/>
              </w:rPr>
              <w:t>12</w:t>
            </w:r>
          </w:p>
        </w:tc>
        <w:tc>
          <w:tcPr>
            <w:tcW w:w="6020" w:type="dxa"/>
            <w:vAlign w:val="bottom"/>
          </w:tcPr>
          <w:p>
            <w:pPr>
              <w:ind w:left="200"/>
              <w:spacing w:after="0"/>
              <w:rPr>
                <w:sz w:val="20"/>
                <w:szCs w:val="20"/>
                <w:color w:val="auto"/>
              </w:rPr>
            </w:pPr>
            <w:r>
              <w:rPr>
                <w:rFonts w:ascii="Arial" w:cs="Arial" w:eastAsia="Arial" w:hAnsi="Arial"/>
                <w:sz w:val="16"/>
                <w:szCs w:val="16"/>
                <w:b w:val="1"/>
                <w:bCs w:val="1"/>
                <w:color w:val="auto"/>
              </w:rPr>
              <w:t>OTHER ASSETS AND OTHER LIABILITIES</w:t>
            </w: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60" w:type="dxa"/>
            <w:vAlign w:val="bottom"/>
          </w:tcPr>
          <w:p>
            <w:pPr>
              <w:spacing w:after="0"/>
              <w:rPr>
                <w:sz w:val="24"/>
                <w:szCs w:val="24"/>
                <w:color w:val="auto"/>
              </w:rPr>
            </w:pPr>
          </w:p>
        </w:tc>
        <w:tc>
          <w:tcPr>
            <w:tcW w:w="6020" w:type="dxa"/>
            <w:vAlign w:val="bottom"/>
          </w:tcPr>
          <w:p>
            <w:pPr>
              <w:ind w:left="200"/>
              <w:spacing w:after="0"/>
              <w:rPr>
                <w:sz w:val="20"/>
                <w:szCs w:val="20"/>
                <w:color w:val="auto"/>
              </w:rPr>
            </w:pPr>
            <w:r>
              <w:rPr>
                <w:rFonts w:ascii="Arial" w:cs="Arial" w:eastAsia="Arial" w:hAnsi="Arial"/>
                <w:sz w:val="16"/>
                <w:szCs w:val="16"/>
                <w:color w:val="auto"/>
              </w:rPr>
              <w:t>a)  This item consists of the following:</w:t>
            </w: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00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602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Other assets -</w:t>
            </w:r>
          </w:p>
        </w:tc>
        <w:tc>
          <w:tcPr>
            <w:tcW w:w="196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02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60" w:type="dxa"/>
            <w:vAlign w:val="bottom"/>
          </w:tcPr>
          <w:p>
            <w:pPr>
              <w:spacing w:after="0"/>
              <w:rPr>
                <w:sz w:val="15"/>
                <w:szCs w:val="15"/>
                <w:color w:val="auto"/>
              </w:rPr>
            </w:pPr>
          </w:p>
        </w:tc>
        <w:tc>
          <w:tcPr>
            <w:tcW w:w="6020" w:type="dxa"/>
            <w:vAlign w:val="bottom"/>
          </w:tcPr>
          <w:p>
            <w:pPr>
              <w:ind w:left="480"/>
              <w:spacing w:after="0" w:line="177" w:lineRule="exact"/>
              <w:rPr>
                <w:sz w:val="20"/>
                <w:szCs w:val="20"/>
                <w:color w:val="auto"/>
              </w:rPr>
            </w:pPr>
            <w:r>
              <w:rPr>
                <w:rFonts w:ascii="Arial" w:cs="Arial" w:eastAsia="Arial" w:hAnsi="Arial"/>
                <w:sz w:val="16"/>
                <w:szCs w:val="16"/>
                <w:b w:val="1"/>
                <w:bCs w:val="1"/>
                <w:color w:val="auto"/>
              </w:rPr>
              <w:t>Financial instruments:</w:t>
            </w:r>
          </w:p>
        </w:tc>
        <w:tc>
          <w:tcPr>
            <w:tcW w:w="1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Receivables (b)</w:t>
            </w:r>
          </w:p>
        </w:tc>
        <w:tc>
          <w:tcPr>
            <w:tcW w:w="30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1,225,171</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1,319,569</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Margin Call</w:t>
            </w:r>
          </w:p>
        </w:tc>
        <w:tc>
          <w:tcPr>
            <w:tcW w:w="30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1,087,831</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203,483</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Derivatives receivable (c)</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904,791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987,663</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Receivables from sale of investments (d)</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824,988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411,599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020" w:type="dxa"/>
            <w:vAlign w:val="bottom"/>
          </w:tcPr>
          <w:p>
            <w:pPr>
              <w:ind w:left="480"/>
              <w:spacing w:after="0"/>
              <w:rPr>
                <w:sz w:val="20"/>
                <w:szCs w:val="20"/>
                <w:color w:val="auto"/>
              </w:rPr>
            </w:pPr>
            <w:r>
              <w:rPr>
                <w:rFonts w:ascii="Arial" w:cs="Arial" w:eastAsia="Arial" w:hAnsi="Arial"/>
                <w:sz w:val="16"/>
                <w:szCs w:val="16"/>
                <w:color w:val="auto"/>
              </w:rPr>
              <w:t>Operations in process (e)</w:t>
            </w:r>
          </w:p>
        </w:tc>
        <w:tc>
          <w:tcPr>
            <w:tcW w:w="3000" w:type="dxa"/>
            <w:vAlign w:val="bottom"/>
            <w:gridSpan w:val="2"/>
          </w:tcPr>
          <w:p>
            <w:pPr>
              <w:jc w:val="right"/>
              <w:spacing w:after="0"/>
              <w:rPr>
                <w:sz w:val="20"/>
                <w:szCs w:val="20"/>
                <w:color w:val="auto"/>
              </w:rPr>
            </w:pPr>
            <w:r>
              <w:rPr>
                <w:rFonts w:ascii="Arial" w:cs="Arial" w:eastAsia="Arial" w:hAnsi="Arial"/>
                <w:sz w:val="16"/>
                <w:szCs w:val="16"/>
                <w:color w:val="auto"/>
              </w:rPr>
              <w:t>131,029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137,952</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4,173,810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3,060,266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360" w:type="dxa"/>
            <w:vAlign w:val="bottom"/>
          </w:tcPr>
          <w:p>
            <w:pPr>
              <w:spacing w:after="0"/>
              <w:rPr>
                <w:sz w:val="24"/>
                <w:szCs w:val="24"/>
                <w:color w:val="auto"/>
              </w:rPr>
            </w:pPr>
          </w:p>
        </w:tc>
        <w:tc>
          <w:tcPr>
            <w:tcW w:w="6020" w:type="dxa"/>
            <w:vAlign w:val="bottom"/>
          </w:tcPr>
          <w:p>
            <w:pPr>
              <w:ind w:left="480"/>
              <w:spacing w:after="0"/>
              <w:rPr>
                <w:sz w:val="20"/>
                <w:szCs w:val="20"/>
                <w:color w:val="auto"/>
              </w:rPr>
            </w:pPr>
            <w:r>
              <w:rPr>
                <w:rFonts w:ascii="Arial" w:cs="Arial" w:eastAsia="Arial" w:hAnsi="Arial"/>
                <w:sz w:val="16"/>
                <w:szCs w:val="16"/>
                <w:b w:val="1"/>
                <w:bCs w:val="1"/>
                <w:color w:val="auto"/>
              </w:rPr>
              <w:t>Non-financial instruments:</w:t>
            </w: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Deferred fees (f)</w:t>
            </w:r>
          </w:p>
        </w:tc>
        <w:tc>
          <w:tcPr>
            <w:tcW w:w="30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1,026,896</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1,197,457</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Investment in associates (g)</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763,918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748,663</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Investment properties, net (h)</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625,105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565,274</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Income tax prepayments, net</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226,847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348,578</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Adjudicated assets, net</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166,179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107,562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Improvements in leased premises</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149,298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100,919</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VAT (IGV) tax credit</w:t>
            </w:r>
          </w:p>
        </w:tc>
        <w:tc>
          <w:tcPr>
            <w:tcW w:w="30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70,339</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86,661</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020" w:type="dxa"/>
            <w:vAlign w:val="bottom"/>
          </w:tcPr>
          <w:p>
            <w:pPr>
              <w:ind w:left="480"/>
              <w:spacing w:after="0"/>
              <w:rPr>
                <w:sz w:val="20"/>
                <w:szCs w:val="20"/>
                <w:color w:val="auto"/>
              </w:rPr>
            </w:pPr>
            <w:r>
              <w:rPr>
                <w:rFonts w:ascii="Arial" w:cs="Arial" w:eastAsia="Arial" w:hAnsi="Arial"/>
                <w:sz w:val="16"/>
                <w:szCs w:val="16"/>
                <w:color w:val="auto"/>
              </w:rPr>
              <w:t>Others</w:t>
            </w:r>
          </w:p>
        </w:tc>
        <w:tc>
          <w:tcPr>
            <w:tcW w:w="3020" w:type="dxa"/>
            <w:vAlign w:val="bottom"/>
            <w:gridSpan w:val="3"/>
          </w:tcPr>
          <w:p>
            <w:pPr>
              <w:jc w:val="right"/>
              <w:ind w:right="20"/>
              <w:spacing w:after="0"/>
              <w:rPr>
                <w:sz w:val="20"/>
                <w:szCs w:val="20"/>
                <w:color w:val="auto"/>
              </w:rPr>
            </w:pPr>
            <w:r>
              <w:rPr>
                <w:rFonts w:ascii="Arial" w:cs="Arial" w:eastAsia="Arial" w:hAnsi="Arial"/>
                <w:sz w:val="16"/>
                <w:szCs w:val="16"/>
                <w:color w:val="auto"/>
              </w:rPr>
              <w:t>31,763</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9,237</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602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Total</w:t>
            </w:r>
          </w:p>
        </w:tc>
        <w:tc>
          <w:tcPr>
            <w:tcW w:w="1960" w:type="dxa"/>
            <w:vAlign w:val="bottom"/>
          </w:tcPr>
          <w:p>
            <w:pPr>
              <w:spacing w:after="0"/>
              <w:rPr>
                <w:sz w:val="14"/>
                <w:szCs w:val="14"/>
                <w:color w:val="auto"/>
              </w:rPr>
            </w:pPr>
          </w:p>
        </w:tc>
        <w:tc>
          <w:tcPr>
            <w:tcW w:w="106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3,060,345</w:t>
            </w: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3,164,351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602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7,234,155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6,224,617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00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602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Other liabilities -</w:t>
            </w:r>
          </w:p>
        </w:tc>
        <w:tc>
          <w:tcPr>
            <w:tcW w:w="196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180" w:type="dxa"/>
            <w:vAlign w:val="bottom"/>
            <w:gridSpan w:val="2"/>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02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60" w:type="dxa"/>
            <w:vAlign w:val="bottom"/>
          </w:tcPr>
          <w:p>
            <w:pPr>
              <w:spacing w:after="0"/>
              <w:rPr>
                <w:sz w:val="15"/>
                <w:szCs w:val="15"/>
                <w:color w:val="auto"/>
              </w:rPr>
            </w:pPr>
          </w:p>
        </w:tc>
        <w:tc>
          <w:tcPr>
            <w:tcW w:w="6020" w:type="dxa"/>
            <w:vAlign w:val="bottom"/>
          </w:tcPr>
          <w:p>
            <w:pPr>
              <w:ind w:left="480"/>
              <w:spacing w:after="0" w:line="177" w:lineRule="exact"/>
              <w:rPr>
                <w:sz w:val="20"/>
                <w:szCs w:val="20"/>
                <w:color w:val="auto"/>
              </w:rPr>
            </w:pPr>
            <w:r>
              <w:rPr>
                <w:rFonts w:ascii="Arial" w:cs="Arial" w:eastAsia="Arial" w:hAnsi="Arial"/>
                <w:sz w:val="16"/>
                <w:szCs w:val="16"/>
                <w:b w:val="1"/>
                <w:bCs w:val="1"/>
                <w:color w:val="auto"/>
              </w:rPr>
              <w:t>Financial instruments:</w:t>
            </w:r>
          </w:p>
        </w:tc>
        <w:tc>
          <w:tcPr>
            <w:tcW w:w="1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Accounts payable (i)</w:t>
            </w:r>
          </w:p>
        </w:tc>
        <w:tc>
          <w:tcPr>
            <w:tcW w:w="30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2,366,147</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2,367,204</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Salaries and other personnel expenses</w:t>
            </w:r>
          </w:p>
        </w:tc>
        <w:tc>
          <w:tcPr>
            <w:tcW w:w="30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1,335,800</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1,082,059</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Accounts payable for acquisitions of investments (d)</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832,530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448,046</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Derivatives payable (c)</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819,473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891,999</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Operations in process (e)</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227,549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258,197</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Allowance for indirect loan losses, Note 7(c)</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383,918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368,029</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020" w:type="dxa"/>
            <w:vAlign w:val="bottom"/>
          </w:tcPr>
          <w:p>
            <w:pPr>
              <w:ind w:left="480"/>
              <w:spacing w:after="0"/>
              <w:rPr>
                <w:sz w:val="20"/>
                <w:szCs w:val="20"/>
                <w:color w:val="auto"/>
              </w:rPr>
            </w:pPr>
            <w:r>
              <w:rPr>
                <w:rFonts w:ascii="Arial" w:cs="Arial" w:eastAsia="Arial" w:hAnsi="Arial"/>
                <w:sz w:val="16"/>
                <w:szCs w:val="16"/>
                <w:color w:val="auto"/>
              </w:rPr>
              <w:t>Dividends payable</w:t>
            </w:r>
          </w:p>
        </w:tc>
        <w:tc>
          <w:tcPr>
            <w:tcW w:w="3020" w:type="dxa"/>
            <w:vAlign w:val="bottom"/>
            <w:gridSpan w:val="3"/>
          </w:tcPr>
          <w:p>
            <w:pPr>
              <w:jc w:val="right"/>
              <w:ind w:right="20"/>
              <w:spacing w:after="0"/>
              <w:rPr>
                <w:sz w:val="20"/>
                <w:szCs w:val="20"/>
                <w:color w:val="auto"/>
              </w:rPr>
            </w:pPr>
            <w:r>
              <w:rPr>
                <w:rFonts w:ascii="Arial" w:cs="Arial" w:eastAsia="Arial" w:hAnsi="Arial"/>
                <w:sz w:val="16"/>
                <w:szCs w:val="16"/>
                <w:color w:val="auto"/>
              </w:rPr>
              <w:t>74,183</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62,976</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602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Non-financial instruments:</w:t>
            </w:r>
          </w:p>
        </w:tc>
        <w:tc>
          <w:tcPr>
            <w:tcW w:w="196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6,039,600</w:t>
            </w:r>
          </w:p>
        </w:tc>
        <w:tc>
          <w:tcPr>
            <w:tcW w:w="160" w:type="dxa"/>
            <w:vAlign w:val="bottom"/>
          </w:tcPr>
          <w:p>
            <w:pPr>
              <w:spacing w:after="0"/>
              <w:rPr>
                <w:sz w:val="14"/>
                <w:szCs w:val="14"/>
                <w:color w:val="auto"/>
              </w:rPr>
            </w:pPr>
          </w:p>
        </w:tc>
        <w:tc>
          <w:tcPr>
            <w:tcW w:w="10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5,478,510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020" w:type="dxa"/>
            <w:vAlign w:val="bottom"/>
            <w:vMerge w:val="continue"/>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Taxes</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786,659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727,052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020" w:type="dxa"/>
            <w:vAlign w:val="bottom"/>
          </w:tcPr>
          <w:p>
            <w:pPr>
              <w:ind w:left="480"/>
              <w:spacing w:after="0" w:line="175" w:lineRule="exact"/>
              <w:rPr>
                <w:sz w:val="20"/>
                <w:szCs w:val="20"/>
                <w:color w:val="auto"/>
              </w:rPr>
            </w:pPr>
            <w:r>
              <w:rPr>
                <w:rFonts w:ascii="Arial" w:cs="Arial" w:eastAsia="Arial" w:hAnsi="Arial"/>
                <w:sz w:val="16"/>
                <w:szCs w:val="16"/>
                <w:color w:val="auto"/>
              </w:rPr>
              <w:t>Provision for sundry risks (j)</w:t>
            </w:r>
          </w:p>
        </w:tc>
        <w:tc>
          <w:tcPr>
            <w:tcW w:w="30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646,739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642,520</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020" w:type="dxa"/>
            <w:vAlign w:val="bottom"/>
          </w:tcPr>
          <w:p>
            <w:pPr>
              <w:ind w:left="480"/>
              <w:spacing w:after="0"/>
              <w:rPr>
                <w:sz w:val="20"/>
                <w:szCs w:val="20"/>
                <w:color w:val="auto"/>
              </w:rPr>
            </w:pPr>
            <w:r>
              <w:rPr>
                <w:rFonts w:ascii="Arial" w:cs="Arial" w:eastAsia="Arial" w:hAnsi="Arial"/>
                <w:sz w:val="16"/>
                <w:szCs w:val="16"/>
                <w:color w:val="auto"/>
              </w:rPr>
              <w:t>Others</w:t>
            </w:r>
          </w:p>
        </w:tc>
        <w:tc>
          <w:tcPr>
            <w:tcW w:w="3000" w:type="dxa"/>
            <w:vAlign w:val="bottom"/>
            <w:gridSpan w:val="2"/>
          </w:tcPr>
          <w:p>
            <w:pPr>
              <w:jc w:val="right"/>
              <w:spacing w:after="0"/>
              <w:rPr>
                <w:sz w:val="20"/>
                <w:szCs w:val="20"/>
                <w:color w:val="auto"/>
              </w:rPr>
            </w:pPr>
            <w:r>
              <w:rPr>
                <w:rFonts w:ascii="Arial" w:cs="Arial" w:eastAsia="Arial" w:hAnsi="Arial"/>
                <w:sz w:val="16"/>
                <w:szCs w:val="16"/>
                <w:color w:val="auto"/>
              </w:rPr>
              <w:t>147,308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145,609</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602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Total</w:t>
            </w:r>
          </w:p>
        </w:tc>
        <w:tc>
          <w:tcPr>
            <w:tcW w:w="19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1,580,706</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1,515,181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602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7,620,306</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6,993,691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40" w:hanging="286"/>
        <w:spacing w:after="0" w:line="238" w:lineRule="auto"/>
        <w:tabs>
          <w:tab w:leader="none" w:pos="8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of December 31, 2024 and 2023, the balance is mainly composed of trade accounts receivable, from the sale of goods and services, accounts receivable from the sale of foreign currency, unsettled transactions, funds restricted by the Central Reserve Bank of Bolivia, tax work, accounts paid by third parties, commissions receivable, premium receivable from payment protection insurance, accounts receivable from customers for stock exchange transactions, advances to personnel, dividends receivable, rents, among others.</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86" w:name="page87"/>
    <w:bookmarkEnd w:id="86"/>
    <w:p>
      <w:pPr>
        <w:ind w:left="286" w:right="540" w:hanging="286"/>
        <w:spacing w:after="0" w:line="257" w:lineRule="auto"/>
        <w:tabs>
          <w:tab w:leader="none" w:pos="28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risk in derivative contracts arises from the possibility of the counterparty failing to comply with the terms and conditions agreed and that the reference rates at which the transactions took place change.</w:t>
      </w:r>
    </w:p>
    <w:p>
      <w:pPr>
        <w:spacing w:after="0" w:line="132" w:lineRule="exact"/>
        <w:rPr>
          <w:rFonts w:ascii="Arial" w:cs="Arial" w:eastAsia="Arial" w:hAnsi="Arial"/>
          <w:sz w:val="16"/>
          <w:szCs w:val="16"/>
          <w:color w:val="auto"/>
        </w:rPr>
      </w:pPr>
    </w:p>
    <w:p>
      <w:pPr>
        <w:ind w:left="286"/>
        <w:spacing w:after="0" w:line="241" w:lineRule="auto"/>
        <w:rPr>
          <w:rFonts w:ascii="Arial" w:cs="Arial" w:eastAsia="Arial" w:hAnsi="Arial"/>
          <w:sz w:val="16"/>
          <w:szCs w:val="16"/>
          <w:color w:val="auto"/>
        </w:rPr>
      </w:pPr>
      <w:r>
        <w:rPr>
          <w:rFonts w:ascii="Arial" w:cs="Arial" w:eastAsia="Arial" w:hAnsi="Arial"/>
          <w:sz w:val="16"/>
          <w:szCs w:val="16"/>
          <w:color w:val="auto"/>
        </w:rPr>
        <w:t>The table below shows as of December 31, 2024, and 2023 the fair value of derivative financial instruments, recorded as an asset or a liability, together with their notional amounts and maturities. The nominal amount, recorded gross, is the amount of a derivative’s underlying asset and is the basis upon which fair value of derivatives is measured.</w:t>
      </w:r>
    </w:p>
    <w:p>
      <w:pPr>
        <w:spacing w:after="0" w:line="135" w:lineRule="exact"/>
        <w:rPr>
          <w:sz w:val="20"/>
          <w:szCs w:val="20"/>
          <w:color w:val="auto"/>
        </w:rPr>
      </w:pPr>
    </w:p>
    <w:tbl>
      <w:tblPr>
        <w:tblLayout w:type="fixed"/>
        <w:tblInd w:w="286"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6"/>
                <w:szCs w:val="16"/>
                <w:b w:val="1"/>
                <w:bCs w:val="1"/>
                <w:color w:val="auto"/>
              </w:rPr>
              <w:t>2024 and</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50"/>
        </w:trPr>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6"/>
                <w:szCs w:val="16"/>
                <w:b w:val="1"/>
                <w:bCs w:val="1"/>
                <w:color w:val="auto"/>
              </w:rPr>
              <w:t>Notional</w:t>
            </w: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ind w:left="40"/>
              <w:spacing w:after="0" w:line="150" w:lineRule="exact"/>
              <w:rPr>
                <w:sz w:val="20"/>
                <w:szCs w:val="20"/>
                <w:color w:val="auto"/>
              </w:rPr>
            </w:pPr>
            <w:r>
              <w:rPr>
                <w:rFonts w:ascii="Arial" w:cs="Arial" w:eastAsia="Arial" w:hAnsi="Arial"/>
                <w:sz w:val="16"/>
                <w:szCs w:val="16"/>
                <w:b w:val="1"/>
                <w:bCs w:val="1"/>
                <w:color w:val="auto"/>
              </w:rPr>
              <w:t>Notional</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Related</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6"/>
                <w:szCs w:val="16"/>
                <w:b w:val="1"/>
                <w:bCs w:val="1"/>
                <w:color w:val="auto"/>
              </w:rPr>
              <w:t>Note</w:t>
            </w:r>
          </w:p>
        </w:tc>
        <w:tc>
          <w:tcPr>
            <w:tcW w:w="6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Assets</w:t>
            </w:r>
          </w:p>
        </w:tc>
        <w:tc>
          <w:tcPr>
            <w:tcW w:w="8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7"/>
              </w:rPr>
              <w:t>Liabilities</w:t>
            </w:r>
          </w:p>
        </w:tc>
        <w:tc>
          <w:tcPr>
            <w:tcW w:w="90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920" w:type="dxa"/>
            <w:vAlign w:val="bottom"/>
          </w:tcPr>
          <w:p>
            <w:pPr>
              <w:spacing w:after="0"/>
              <w:rPr>
                <w:sz w:val="20"/>
                <w:szCs w:val="20"/>
                <w:color w:val="auto"/>
              </w:rPr>
            </w:pPr>
            <w:r>
              <w:rPr>
                <w:rFonts w:ascii="Arial" w:cs="Arial" w:eastAsia="Arial" w:hAnsi="Arial"/>
                <w:sz w:val="16"/>
                <w:szCs w:val="16"/>
                <w:b w:val="1"/>
                <w:bCs w:val="1"/>
                <w:color w:val="auto"/>
              </w:rPr>
              <w:t>Maturity</w:t>
            </w:r>
          </w:p>
        </w:tc>
        <w:tc>
          <w:tcPr>
            <w:tcW w:w="700" w:type="dxa"/>
            <w:vAlign w:val="bottom"/>
            <w:gridSpan w:val="3"/>
          </w:tcPr>
          <w:p>
            <w:pPr>
              <w:ind w:left="60"/>
              <w:spacing w:after="0"/>
              <w:rPr>
                <w:sz w:val="20"/>
                <w:szCs w:val="20"/>
                <w:color w:val="auto"/>
              </w:rPr>
            </w:pPr>
            <w:r>
              <w:rPr>
                <w:rFonts w:ascii="Arial" w:cs="Arial" w:eastAsia="Arial" w:hAnsi="Arial"/>
                <w:sz w:val="16"/>
                <w:szCs w:val="16"/>
                <w:b w:val="1"/>
                <w:bCs w:val="1"/>
                <w:color w:val="auto"/>
              </w:rPr>
              <w:t>Assets</w:t>
            </w: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Liabilities</w:t>
            </w: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ind w:left="80"/>
              <w:spacing w:after="0"/>
              <w:rPr>
                <w:sz w:val="20"/>
                <w:szCs w:val="20"/>
                <w:color w:val="auto"/>
              </w:rPr>
            </w:pPr>
            <w:r>
              <w:rPr>
                <w:rFonts w:ascii="Arial" w:cs="Arial" w:eastAsia="Arial" w:hAnsi="Arial"/>
                <w:sz w:val="16"/>
                <w:szCs w:val="16"/>
                <w:b w:val="1"/>
                <w:bCs w:val="1"/>
                <w:color w:val="auto"/>
              </w:rPr>
              <w:t>Maturity</w:t>
            </w: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6"/>
                <w:szCs w:val="16"/>
                <w:b w:val="1"/>
                <w:bCs w:val="1"/>
                <w:color w:val="auto"/>
              </w:rPr>
              <w:t>instruments</w:t>
            </w: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1"/>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500" w:type="dxa"/>
            <w:vAlign w:val="bottom"/>
          </w:tcPr>
          <w:p>
            <w:pPr>
              <w:spacing w:after="0"/>
              <w:rPr>
                <w:sz w:val="20"/>
                <w:szCs w:val="20"/>
                <w:color w:val="auto"/>
              </w:rPr>
            </w:pPr>
            <w:r>
              <w:rPr>
                <w:rFonts w:ascii="Arial" w:cs="Arial" w:eastAsia="Arial" w:hAnsi="Arial"/>
                <w:sz w:val="16"/>
                <w:szCs w:val="16"/>
                <w:b w:val="1"/>
                <w:bCs w:val="1"/>
                <w:color w:val="auto"/>
                <w:w w:val="99"/>
              </w:rPr>
              <w:t>Derivatives held for</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00" w:type="dxa"/>
            <w:vAlign w:val="bottom"/>
          </w:tcPr>
          <w:p>
            <w:pPr>
              <w:spacing w:after="0"/>
              <w:rPr>
                <w:sz w:val="20"/>
                <w:szCs w:val="20"/>
                <w:color w:val="auto"/>
              </w:rPr>
            </w:pPr>
            <w:r>
              <w:rPr>
                <w:rFonts w:ascii="Arial" w:cs="Arial" w:eastAsia="Arial" w:hAnsi="Arial"/>
                <w:sz w:val="16"/>
                <w:szCs w:val="16"/>
                <w:b w:val="1"/>
                <w:bCs w:val="1"/>
                <w:color w:val="auto"/>
              </w:rPr>
              <w:t>trading (i) -</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restart"/>
          </w:tcPr>
          <w:p>
            <w:pPr>
              <w:spacing w:after="0"/>
              <w:rPr>
                <w:sz w:val="20"/>
                <w:szCs w:val="20"/>
                <w:color w:val="auto"/>
              </w:rPr>
            </w:pPr>
            <w:r>
              <w:rPr>
                <w:rFonts w:ascii="Arial" w:cs="Arial" w:eastAsia="Arial" w:hAnsi="Arial"/>
                <w:sz w:val="16"/>
                <w:szCs w:val="16"/>
                <w:color w:val="auto"/>
              </w:rPr>
              <w:t>January</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vMerge w:val="restart"/>
          </w:tcPr>
          <w:p>
            <w:pPr>
              <w:ind w:left="80"/>
              <w:spacing w:after="0"/>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2024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January</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September</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Interest rate swaps</w:t>
            </w:r>
          </w:p>
        </w:tc>
        <w:tc>
          <w:tcPr>
            <w:tcW w:w="700" w:type="dxa"/>
            <w:vAlign w:val="bottom"/>
          </w:tcPr>
          <w:p>
            <w:pPr>
              <w:spacing w:after="0"/>
              <w:rPr>
                <w:sz w:val="15"/>
                <w:szCs w:val="15"/>
                <w:color w:val="auto"/>
              </w:rPr>
            </w:pPr>
          </w:p>
        </w:tc>
        <w:tc>
          <w:tcPr>
            <w:tcW w:w="6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456,575</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352,677</w:t>
            </w:r>
          </w:p>
        </w:tc>
        <w:tc>
          <w:tcPr>
            <w:tcW w:w="40" w:type="dxa"/>
            <w:vAlign w:val="bottom"/>
          </w:tcPr>
          <w:p>
            <w:pPr>
              <w:spacing w:after="0"/>
              <w:rPr>
                <w:sz w:val="15"/>
                <w:szCs w:val="15"/>
                <w:color w:val="auto"/>
              </w:rPr>
            </w:pPr>
          </w:p>
        </w:tc>
        <w:tc>
          <w:tcPr>
            <w:tcW w:w="9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48,119,429</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2035</w:t>
            </w:r>
          </w:p>
        </w:tc>
        <w:tc>
          <w:tcPr>
            <w:tcW w:w="7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341,898</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204,775</w:t>
            </w:r>
          </w:p>
        </w:tc>
        <w:tc>
          <w:tcPr>
            <w:tcW w:w="4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w w:val="99"/>
              </w:rPr>
              <w:t>17,471,629</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2033</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January</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Foreign currency</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 / April</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w w:val="94"/>
              </w:rPr>
              <w:t>2024 / March</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forwards</w:t>
            </w:r>
          </w:p>
        </w:tc>
        <w:tc>
          <w:tcPr>
            <w:tcW w:w="700" w:type="dxa"/>
            <w:vAlign w:val="bottom"/>
          </w:tcPr>
          <w:p>
            <w:pPr>
              <w:spacing w:after="0"/>
              <w:rPr>
                <w:sz w:val="15"/>
                <w:szCs w:val="15"/>
                <w:color w:val="auto"/>
              </w:rPr>
            </w:pPr>
          </w:p>
        </w:tc>
        <w:tc>
          <w:tcPr>
            <w:tcW w:w="6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161,495</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210,947</w:t>
            </w:r>
          </w:p>
        </w:tc>
        <w:tc>
          <w:tcPr>
            <w:tcW w:w="40" w:type="dxa"/>
            <w:vAlign w:val="bottom"/>
          </w:tcPr>
          <w:p>
            <w:pPr>
              <w:spacing w:after="0"/>
              <w:rPr>
                <w:sz w:val="15"/>
                <w:szCs w:val="15"/>
                <w:color w:val="auto"/>
              </w:rPr>
            </w:pP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w w:val="99"/>
              </w:rPr>
              <w:t>33,716,473</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2027</w:t>
            </w:r>
          </w:p>
        </w:tc>
        <w:tc>
          <w:tcPr>
            <w:tcW w:w="7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334,505</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205,341</w:t>
            </w:r>
          </w:p>
        </w:tc>
        <w:tc>
          <w:tcPr>
            <w:tcW w:w="4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w w:val="99"/>
              </w:rPr>
              <w:t>32,206,841</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2026</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January</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November</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2024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Currency swaps</w:t>
            </w:r>
          </w:p>
        </w:tc>
        <w:tc>
          <w:tcPr>
            <w:tcW w:w="700" w:type="dxa"/>
            <w:vAlign w:val="bottom"/>
          </w:tcPr>
          <w:p>
            <w:pPr>
              <w:spacing w:after="0"/>
              <w:rPr>
                <w:sz w:val="15"/>
                <w:szCs w:val="15"/>
                <w:color w:val="auto"/>
              </w:rPr>
            </w:pPr>
          </w:p>
        </w:tc>
        <w:tc>
          <w:tcPr>
            <w:tcW w:w="6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219,648</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230,848</w:t>
            </w:r>
          </w:p>
        </w:tc>
        <w:tc>
          <w:tcPr>
            <w:tcW w:w="40" w:type="dxa"/>
            <w:vAlign w:val="bottom"/>
          </w:tcPr>
          <w:p>
            <w:pPr>
              <w:spacing w:after="0"/>
              <w:rPr>
                <w:sz w:val="15"/>
                <w:szCs w:val="15"/>
                <w:color w:val="auto"/>
              </w:rPr>
            </w:pP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w w:val="99"/>
              </w:rPr>
              <w:t>13,625,101</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2034</w:t>
            </w:r>
          </w:p>
        </w:tc>
        <w:tc>
          <w:tcPr>
            <w:tcW w:w="7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230,818</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429,365</w:t>
            </w:r>
          </w:p>
        </w:tc>
        <w:tc>
          <w:tcPr>
            <w:tcW w:w="4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w w:val="99"/>
              </w:rPr>
              <w:t>12,895,649</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w w:val="97"/>
              </w:rPr>
              <w:t>August 2033</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January</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Foreign exchange</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 April</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w w:val="94"/>
              </w:rPr>
              <w:t>2024 / March</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options</w:t>
            </w:r>
          </w:p>
        </w:tc>
        <w:tc>
          <w:tcPr>
            <w:tcW w:w="700" w:type="dxa"/>
            <w:vAlign w:val="bottom"/>
          </w:tcPr>
          <w:p>
            <w:pPr>
              <w:spacing w:after="0"/>
              <w:rPr>
                <w:sz w:val="15"/>
                <w:szCs w:val="15"/>
                <w:color w:val="auto"/>
              </w:rPr>
            </w:pPr>
          </w:p>
        </w:tc>
        <w:tc>
          <w:tcPr>
            <w:tcW w:w="6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3,018</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8,420</w:t>
            </w:r>
          </w:p>
        </w:tc>
        <w:tc>
          <w:tcPr>
            <w:tcW w:w="40" w:type="dxa"/>
            <w:vAlign w:val="bottom"/>
          </w:tcPr>
          <w:p>
            <w:pPr>
              <w:spacing w:after="0"/>
              <w:rPr>
                <w:sz w:val="15"/>
                <w:szCs w:val="15"/>
                <w:color w:val="auto"/>
              </w:rPr>
            </w:pP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743,202</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2026</w:t>
            </w:r>
          </w:p>
        </w:tc>
        <w:tc>
          <w:tcPr>
            <w:tcW w:w="7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1,104</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4,002</w:t>
            </w:r>
          </w:p>
        </w:tc>
        <w:tc>
          <w:tcPr>
            <w:tcW w:w="4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501,189</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Arial" w:cs="Arial" w:eastAsia="Arial" w:hAnsi="Arial"/>
                <w:sz w:val="16"/>
                <w:szCs w:val="16"/>
                <w:color w:val="auto"/>
              </w:rPr>
              <w:t>Futures</w:t>
            </w:r>
          </w:p>
        </w:tc>
        <w:tc>
          <w:tcPr>
            <w:tcW w:w="70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1,477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4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23,713</w:t>
            </w:r>
          </w:p>
        </w:tc>
        <w:tc>
          <w:tcPr>
            <w:tcW w:w="920" w:type="dxa"/>
            <w:vAlign w:val="bottom"/>
          </w:tcPr>
          <w:p>
            <w:pPr>
              <w:spacing w:after="0"/>
              <w:rPr>
                <w:sz w:val="20"/>
                <w:szCs w:val="20"/>
                <w:color w:val="auto"/>
              </w:rPr>
            </w:pPr>
            <w:r>
              <w:rPr>
                <w:rFonts w:ascii="Arial" w:cs="Arial" w:eastAsia="Arial" w:hAnsi="Arial"/>
                <w:sz w:val="16"/>
                <w:szCs w:val="16"/>
                <w:color w:val="auto"/>
              </w:rPr>
              <w:t>March 2025</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1,187</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1,618</w:t>
            </w:r>
          </w:p>
        </w:tc>
        <w:tc>
          <w:tcPr>
            <w:tcW w:w="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40,428</w:t>
            </w:r>
          </w:p>
        </w:tc>
        <w:tc>
          <w:tcPr>
            <w:tcW w:w="980" w:type="dxa"/>
            <w:vAlign w:val="bottom"/>
          </w:tcPr>
          <w:p>
            <w:pPr>
              <w:ind w:left="80"/>
              <w:spacing w:after="0"/>
              <w:rPr>
                <w:sz w:val="20"/>
                <w:szCs w:val="20"/>
                <w:color w:val="auto"/>
              </w:rPr>
            </w:pPr>
            <w:r>
              <w:rPr>
                <w:rFonts w:ascii="Arial" w:cs="Arial" w:eastAsia="Arial" w:hAnsi="Arial"/>
                <w:sz w:val="16"/>
                <w:szCs w:val="16"/>
                <w:color w:val="auto"/>
              </w:rPr>
              <w:t>March 2024</w:t>
            </w: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1500" w:type="dxa"/>
            <w:vAlign w:val="bottom"/>
            <w:vMerge w:val="restart"/>
          </w:tcPr>
          <w:p>
            <w:pPr>
              <w:spacing w:after="0"/>
              <w:rPr>
                <w:sz w:val="20"/>
                <w:szCs w:val="20"/>
                <w:color w:val="auto"/>
              </w:rPr>
            </w:pPr>
            <w:r>
              <w:rPr>
                <w:rFonts w:ascii="Arial" w:cs="Arial" w:eastAsia="Arial" w:hAnsi="Arial"/>
                <w:sz w:val="16"/>
                <w:szCs w:val="16"/>
                <w:b w:val="1"/>
                <w:bCs w:val="1"/>
                <w:color w:val="auto"/>
              </w:rPr>
              <w:t>Derivatives held as</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842,213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803,012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96,227,918</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909,512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845,101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63,115,736</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5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b w:val="1"/>
                <w:bCs w:val="1"/>
                <w:color w:val="auto"/>
              </w:rPr>
              <w:t>hedges</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Pr>
          <w:p>
            <w:pPr>
              <w:spacing w:after="0" w:line="177" w:lineRule="exact"/>
              <w:rPr>
                <w:sz w:val="20"/>
                <w:szCs w:val="20"/>
                <w:color w:val="auto"/>
              </w:rPr>
            </w:pPr>
            <w:r>
              <w:rPr>
                <w:rFonts w:ascii="Arial" w:cs="Arial" w:eastAsia="Arial" w:hAnsi="Arial"/>
                <w:sz w:val="16"/>
                <w:szCs w:val="16"/>
                <w:b w:val="1"/>
                <w:bCs w:val="1"/>
                <w:color w:val="auto"/>
              </w:rPr>
              <w:t>Cash flow hedges -</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Cross currency</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January</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swaps (CCS)</w:t>
            </w:r>
          </w:p>
        </w:tc>
        <w:tc>
          <w:tcPr>
            <w:tcW w:w="700" w:type="dxa"/>
            <w:vAlign w:val="bottom"/>
          </w:tcPr>
          <w:p>
            <w:pPr>
              <w:jc w:val="center"/>
              <w:spacing w:after="0" w:line="175" w:lineRule="exact"/>
              <w:rPr>
                <w:sz w:val="20"/>
                <w:szCs w:val="20"/>
                <w:color w:val="auto"/>
              </w:rPr>
            </w:pPr>
            <w:r>
              <w:rPr>
                <w:rFonts w:ascii="Arial" w:cs="Arial" w:eastAsia="Arial" w:hAnsi="Arial"/>
                <w:sz w:val="16"/>
                <w:szCs w:val="16"/>
                <w:color w:val="auto"/>
                <w:w w:val="96"/>
              </w:rPr>
              <w:t>15(a)(i)</w:t>
            </w:r>
          </w:p>
        </w:tc>
        <w:tc>
          <w:tcPr>
            <w:tcW w:w="6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18,993</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2,359</w:t>
            </w:r>
          </w:p>
        </w:tc>
        <w:tc>
          <w:tcPr>
            <w:tcW w:w="40" w:type="dxa"/>
            <w:vAlign w:val="bottom"/>
          </w:tcPr>
          <w:p>
            <w:pPr>
              <w:spacing w:after="0"/>
              <w:rPr>
                <w:sz w:val="15"/>
                <w:szCs w:val="15"/>
                <w:color w:val="auto"/>
              </w:rPr>
            </w:pP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828,080</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7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13,843</w:t>
            </w:r>
          </w:p>
        </w:tc>
        <w:tc>
          <w:tcPr>
            <w:tcW w:w="8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25,524</w:t>
            </w: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815,980</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Bonds issued</w:t>
            </w: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Cross interest rate</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April 2026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April 2026 /</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w w:val="98"/>
              </w:rPr>
              <w:t>Cash and due</w:t>
            </w: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swaps (IRS)</w:t>
            </w:r>
          </w:p>
        </w:tc>
        <w:tc>
          <w:tcPr>
            <w:tcW w:w="700" w:type="dxa"/>
            <w:vAlign w:val="bottom"/>
          </w:tcPr>
          <w:p>
            <w:pPr>
              <w:ind w:left="180"/>
              <w:spacing w:after="0" w:line="175" w:lineRule="exact"/>
              <w:rPr>
                <w:sz w:val="20"/>
                <w:szCs w:val="20"/>
                <w:color w:val="auto"/>
              </w:rPr>
            </w:pPr>
            <w:r>
              <w:rPr>
                <w:rFonts w:ascii="Arial" w:cs="Arial" w:eastAsia="Arial" w:hAnsi="Arial"/>
                <w:sz w:val="16"/>
                <w:szCs w:val="16"/>
                <w:color w:val="auto"/>
              </w:rPr>
              <w:t>4(b)(i)</w:t>
            </w:r>
          </w:p>
        </w:tc>
        <w:tc>
          <w:tcPr>
            <w:tcW w:w="40" w:type="dxa"/>
            <w:vAlign w:val="bottom"/>
          </w:tcPr>
          <w:p>
            <w:pPr>
              <w:spacing w:after="0"/>
              <w:rPr>
                <w:sz w:val="15"/>
                <w:szCs w:val="15"/>
                <w:color w:val="auto"/>
              </w:rPr>
            </w:pPr>
          </w:p>
        </w:tc>
        <w:tc>
          <w:tcPr>
            <w:tcW w:w="6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970</w:t>
            </w:r>
          </w:p>
        </w:tc>
        <w:tc>
          <w:tcPr>
            <w:tcW w:w="40" w:type="dxa"/>
            <w:vAlign w:val="bottom"/>
          </w:tcPr>
          <w:p>
            <w:pPr>
              <w:spacing w:after="0"/>
              <w:rPr>
                <w:sz w:val="15"/>
                <w:szCs w:val="15"/>
                <w:color w:val="auto"/>
              </w:rPr>
            </w:pP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564,600</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May 2026</w:t>
            </w:r>
          </w:p>
        </w:tc>
        <w:tc>
          <w:tcPr>
            <w:tcW w:w="7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786</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337</w:t>
            </w:r>
          </w:p>
        </w:tc>
        <w:tc>
          <w:tcPr>
            <w:tcW w:w="4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556,350</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May 2026</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from banks</w:t>
            </w: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Cross currency</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May 2025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May 2025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swaps (CCS)</w:t>
            </w:r>
          </w:p>
        </w:tc>
        <w:tc>
          <w:tcPr>
            <w:tcW w:w="700" w:type="dxa"/>
            <w:vAlign w:val="bottom"/>
          </w:tcPr>
          <w:p>
            <w:pPr>
              <w:jc w:val="center"/>
              <w:spacing w:after="0" w:line="175" w:lineRule="exact"/>
              <w:rPr>
                <w:sz w:val="20"/>
                <w:szCs w:val="20"/>
                <w:color w:val="auto"/>
              </w:rPr>
            </w:pPr>
            <w:r>
              <w:rPr>
                <w:rFonts w:ascii="Arial" w:cs="Arial" w:eastAsia="Arial" w:hAnsi="Arial"/>
                <w:sz w:val="16"/>
                <w:szCs w:val="16"/>
                <w:color w:val="auto"/>
                <w:w w:val="96"/>
              </w:rPr>
              <w:t>14(b)(i)</w:t>
            </w:r>
          </w:p>
        </w:tc>
        <w:tc>
          <w:tcPr>
            <w:tcW w:w="40" w:type="dxa"/>
            <w:vAlign w:val="bottom"/>
          </w:tcPr>
          <w:p>
            <w:pPr>
              <w:spacing w:after="0"/>
              <w:rPr>
                <w:sz w:val="15"/>
                <w:szCs w:val="15"/>
                <w:color w:val="auto"/>
              </w:rPr>
            </w:pPr>
          </w:p>
        </w:tc>
        <w:tc>
          <w:tcPr>
            <w:tcW w:w="6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5,242</w:t>
            </w:r>
          </w:p>
        </w:tc>
        <w:tc>
          <w:tcPr>
            <w:tcW w:w="40" w:type="dxa"/>
            <w:vAlign w:val="bottom"/>
          </w:tcPr>
          <w:p>
            <w:pPr>
              <w:spacing w:after="0"/>
              <w:rPr>
                <w:sz w:val="15"/>
                <w:szCs w:val="15"/>
                <w:color w:val="auto"/>
              </w:rPr>
            </w:pP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225,840</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June 2025</w:t>
            </w:r>
          </w:p>
        </w:tc>
        <w:tc>
          <w:tcPr>
            <w:tcW w:w="60" w:type="dxa"/>
            <w:vAlign w:val="bottom"/>
          </w:tcPr>
          <w:p>
            <w:pPr>
              <w:spacing w:after="0"/>
              <w:rPr>
                <w:sz w:val="15"/>
                <w:szCs w:val="15"/>
                <w:color w:val="auto"/>
              </w:rPr>
            </w:pPr>
          </w:p>
        </w:tc>
        <w:tc>
          <w:tcPr>
            <w:tcW w:w="6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11,253</w:t>
            </w: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222,540</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June 2025</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w w:val="99"/>
              </w:rPr>
              <w:t>Debts to bank</w:t>
            </w: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Cross currency</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November</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November</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Bonds issued</w:t>
            </w: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swaps (CCS)</w:t>
            </w:r>
          </w:p>
        </w:tc>
        <w:tc>
          <w:tcPr>
            <w:tcW w:w="700" w:type="dxa"/>
            <w:vAlign w:val="bottom"/>
          </w:tcPr>
          <w:p>
            <w:pPr>
              <w:jc w:val="center"/>
              <w:spacing w:after="0" w:line="175" w:lineRule="exact"/>
              <w:rPr>
                <w:sz w:val="20"/>
                <w:szCs w:val="20"/>
                <w:color w:val="auto"/>
              </w:rPr>
            </w:pPr>
            <w:r>
              <w:rPr>
                <w:rFonts w:ascii="Arial" w:cs="Arial" w:eastAsia="Arial" w:hAnsi="Arial"/>
                <w:sz w:val="16"/>
                <w:szCs w:val="16"/>
                <w:color w:val="auto"/>
                <w:w w:val="99"/>
              </w:rPr>
              <w:t>15(a)(v)</w:t>
            </w:r>
          </w:p>
        </w:tc>
        <w:tc>
          <w:tcPr>
            <w:tcW w:w="40" w:type="dxa"/>
            <w:vAlign w:val="bottom"/>
          </w:tcPr>
          <w:p>
            <w:pPr>
              <w:spacing w:after="0"/>
              <w:rPr>
                <w:sz w:val="15"/>
                <w:szCs w:val="15"/>
                <w:color w:val="auto"/>
              </w:rPr>
            </w:pPr>
          </w:p>
        </w:tc>
        <w:tc>
          <w:tcPr>
            <w:tcW w:w="6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5,937</w:t>
            </w:r>
          </w:p>
        </w:tc>
        <w:tc>
          <w:tcPr>
            <w:tcW w:w="40" w:type="dxa"/>
            <w:vAlign w:val="bottom"/>
          </w:tcPr>
          <w:p>
            <w:pPr>
              <w:spacing w:after="0"/>
              <w:rPr>
                <w:sz w:val="15"/>
                <w:szCs w:val="15"/>
                <w:color w:val="auto"/>
              </w:rPr>
            </w:pPr>
          </w:p>
        </w:tc>
        <w:tc>
          <w:tcPr>
            <w:tcW w:w="9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71,940</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7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1,552</w:t>
            </w:r>
          </w:p>
        </w:tc>
        <w:tc>
          <w:tcPr>
            <w:tcW w:w="2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78,969</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 loans(**)</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February</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January</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2024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Cross currency</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 / April</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Investments</w:t>
            </w: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swaps (CCS)</w:t>
            </w:r>
          </w:p>
        </w:tc>
        <w:tc>
          <w:tcPr>
            <w:tcW w:w="700" w:type="dxa"/>
            <w:vAlign w:val="bottom"/>
          </w:tcPr>
          <w:p>
            <w:pPr>
              <w:ind w:left="180"/>
              <w:spacing w:after="0" w:line="175" w:lineRule="exact"/>
              <w:rPr>
                <w:sz w:val="20"/>
                <w:szCs w:val="20"/>
                <w:color w:val="auto"/>
              </w:rPr>
            </w:pPr>
            <w:r>
              <w:rPr>
                <w:rFonts w:ascii="Arial" w:cs="Arial" w:eastAsia="Arial" w:hAnsi="Arial"/>
                <w:sz w:val="16"/>
                <w:szCs w:val="16"/>
                <w:color w:val="auto"/>
              </w:rPr>
              <w:t>6(b)(i)</w:t>
            </w:r>
          </w:p>
        </w:tc>
        <w:tc>
          <w:tcPr>
            <w:tcW w:w="6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1,802</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1,852</w:t>
            </w:r>
          </w:p>
        </w:tc>
        <w:tc>
          <w:tcPr>
            <w:tcW w:w="40" w:type="dxa"/>
            <w:vAlign w:val="bottom"/>
          </w:tcPr>
          <w:p>
            <w:pPr>
              <w:spacing w:after="0"/>
              <w:rPr>
                <w:sz w:val="15"/>
                <w:szCs w:val="15"/>
                <w:color w:val="auto"/>
              </w:rPr>
            </w:pPr>
          </w:p>
        </w:tc>
        <w:tc>
          <w:tcPr>
            <w:tcW w:w="9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46,970</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7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20,359</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9,784</w:t>
            </w:r>
          </w:p>
        </w:tc>
        <w:tc>
          <w:tcPr>
            <w:tcW w:w="40" w:type="dxa"/>
            <w:vAlign w:val="bottom"/>
          </w:tcPr>
          <w:p>
            <w:pPr>
              <w:spacing w:after="0"/>
              <w:rPr>
                <w:sz w:val="15"/>
                <w:szCs w:val="15"/>
                <w:color w:val="auto"/>
              </w:rPr>
            </w:pPr>
          </w:p>
        </w:tc>
        <w:tc>
          <w:tcPr>
            <w:tcW w:w="8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126,624</w:t>
            </w: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2025</w:t>
            </w:r>
          </w:p>
        </w:tc>
        <w:tc>
          <w:tcPr>
            <w:tcW w:w="10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January</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Foreign currency</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February</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Investments</w:t>
            </w: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forwards</w:t>
            </w:r>
          </w:p>
        </w:tc>
        <w:tc>
          <w:tcPr>
            <w:tcW w:w="700" w:type="dxa"/>
            <w:vAlign w:val="bottom"/>
          </w:tcPr>
          <w:p>
            <w:pPr>
              <w:spacing w:after="0"/>
              <w:rPr>
                <w:sz w:val="15"/>
                <w:szCs w:val="15"/>
                <w:color w:val="auto"/>
              </w:rPr>
            </w:pPr>
          </w:p>
        </w:tc>
        <w:tc>
          <w:tcPr>
            <w:tcW w:w="6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5,597</w:t>
            </w:r>
          </w:p>
        </w:tc>
        <w:tc>
          <w:tcPr>
            <w:tcW w:w="8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98</w:t>
            </w: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125,173</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2026</w:t>
            </w:r>
          </w:p>
        </w:tc>
        <w:tc>
          <w:tcPr>
            <w:tcW w:w="60" w:type="dxa"/>
            <w:vAlign w:val="bottom"/>
          </w:tcPr>
          <w:p>
            <w:pPr>
              <w:spacing w:after="0"/>
              <w:rPr>
                <w:sz w:val="15"/>
                <w:szCs w:val="15"/>
                <w:color w:val="auto"/>
              </w:rPr>
            </w:pPr>
          </w:p>
        </w:tc>
        <w:tc>
          <w:tcPr>
            <w:tcW w:w="6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760" w:type="dxa"/>
            <w:vAlign w:val="bottom"/>
            <w:gridSpan w:val="2"/>
          </w:tcPr>
          <w:p>
            <w:pPr>
              <w:ind w:left="700"/>
              <w:spacing w:after="0" w:line="175" w:lineRule="exact"/>
              <w:rPr>
                <w:sz w:val="20"/>
                <w:szCs w:val="20"/>
                <w:color w:val="auto"/>
              </w:rPr>
            </w:pPr>
            <w:r>
              <w:rPr>
                <w:rFonts w:ascii="Arial" w:cs="Arial" w:eastAsia="Arial" w:hAnsi="Arial"/>
                <w:sz w:val="16"/>
                <w:szCs w:val="16"/>
                <w:color w:val="auto"/>
              </w:rPr>
              <w:t>− −</w:t>
            </w:r>
          </w:p>
        </w:tc>
        <w:tc>
          <w:tcPr>
            <w:tcW w:w="10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w w:val="96"/>
              </w:rPr>
              <w:t>March 2025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Foreign currency</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December</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forwards</w:t>
            </w:r>
          </w:p>
        </w:tc>
        <w:tc>
          <w:tcPr>
            <w:tcW w:w="700" w:type="dxa"/>
            <w:vAlign w:val="bottom"/>
          </w:tcPr>
          <w:p>
            <w:pPr>
              <w:spacing w:after="0"/>
              <w:rPr>
                <w:sz w:val="15"/>
                <w:szCs w:val="15"/>
                <w:color w:val="auto"/>
              </w:rPr>
            </w:pPr>
          </w:p>
        </w:tc>
        <w:tc>
          <w:tcPr>
            <w:tcW w:w="6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3,159</w:t>
            </w:r>
          </w:p>
        </w:tc>
        <w:tc>
          <w:tcPr>
            <w:tcW w:w="7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w:t>
            </w:r>
          </w:p>
        </w:tc>
        <w:tc>
          <w:tcPr>
            <w:tcW w:w="40" w:type="dxa"/>
            <w:vAlign w:val="bottom"/>
          </w:tcPr>
          <w:p>
            <w:pPr>
              <w:spacing w:after="0"/>
              <w:rPr>
                <w:sz w:val="15"/>
                <w:szCs w:val="15"/>
                <w:color w:val="auto"/>
              </w:rPr>
            </w:pP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136,603</w:t>
            </w:r>
          </w:p>
        </w:tc>
        <w:tc>
          <w:tcPr>
            <w:tcW w:w="92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60" w:type="dxa"/>
            <w:vAlign w:val="bottom"/>
          </w:tcPr>
          <w:p>
            <w:pPr>
              <w:spacing w:after="0"/>
              <w:rPr>
                <w:sz w:val="15"/>
                <w:szCs w:val="15"/>
                <w:color w:val="auto"/>
              </w:rPr>
            </w:pPr>
          </w:p>
        </w:tc>
        <w:tc>
          <w:tcPr>
            <w:tcW w:w="6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760" w:type="dxa"/>
            <w:vAlign w:val="bottom"/>
            <w:gridSpan w:val="2"/>
          </w:tcPr>
          <w:p>
            <w:pPr>
              <w:ind w:left="700"/>
              <w:spacing w:after="0" w:line="175" w:lineRule="exact"/>
              <w:rPr>
                <w:sz w:val="20"/>
                <w:szCs w:val="20"/>
                <w:color w:val="auto"/>
              </w:rPr>
            </w:pPr>
            <w:r>
              <w:rPr>
                <w:rFonts w:ascii="Arial" w:cs="Arial" w:eastAsia="Arial" w:hAnsi="Arial"/>
                <w:sz w:val="16"/>
                <w:szCs w:val="16"/>
                <w:color w:val="auto"/>
              </w:rPr>
              <w:t>− −</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Loans</w:t>
            </w: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Foreign currency</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line="173" w:lineRule="exact"/>
              <w:rPr>
                <w:sz w:val="20"/>
                <w:szCs w:val="20"/>
                <w:color w:val="auto"/>
              </w:rPr>
            </w:pPr>
            <w:r>
              <w:rPr>
                <w:rFonts w:ascii="Arial" w:cs="Arial" w:eastAsia="Arial" w:hAnsi="Arial"/>
                <w:sz w:val="16"/>
                <w:szCs w:val="16"/>
                <w:color w:val="auto"/>
              </w:rPr>
              <w:t>forwards</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76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780" w:type="dxa"/>
            <w:vAlign w:val="bottom"/>
            <w:gridSpan w:val="3"/>
          </w:tcPr>
          <w:p>
            <w:pPr>
              <w:ind w:left="700"/>
              <w:spacing w:after="0" w:line="173" w:lineRule="exact"/>
              <w:rPr>
                <w:sz w:val="20"/>
                <w:szCs w:val="20"/>
                <w:color w:val="auto"/>
              </w:rPr>
            </w:pPr>
            <w:r>
              <w:rPr>
                <w:rFonts w:ascii="Arial" w:cs="Arial" w:eastAsia="Arial" w:hAnsi="Arial"/>
                <w:sz w:val="16"/>
                <w:szCs w:val="16"/>
                <w:color w:val="auto"/>
              </w:rPr>
              <w:t>− −</w:t>
            </w:r>
          </w:p>
        </w:tc>
        <w:tc>
          <w:tcPr>
            <w:tcW w:w="700" w:type="dxa"/>
            <w:vAlign w:val="bottom"/>
            <w:gridSpan w:val="3"/>
          </w:tcPr>
          <w:p>
            <w:pPr>
              <w:jc w:val="right"/>
              <w:ind w:right="40"/>
              <w:spacing w:after="0" w:line="173" w:lineRule="exact"/>
              <w:rPr>
                <w:sz w:val="20"/>
                <w:szCs w:val="20"/>
                <w:color w:val="auto"/>
              </w:rPr>
            </w:pPr>
            <w:r>
              <w:rPr>
                <w:rFonts w:ascii="Arial" w:cs="Arial" w:eastAsia="Arial" w:hAnsi="Arial"/>
                <w:sz w:val="16"/>
                <w:szCs w:val="16"/>
                <w:color w:val="auto"/>
              </w:rPr>
              <w:t>57</w:t>
            </w:r>
          </w:p>
        </w:tc>
        <w:tc>
          <w:tcPr>
            <w:tcW w:w="20" w:type="dxa"/>
            <w:vAlign w:val="bottom"/>
          </w:tcPr>
          <w:p>
            <w:pPr>
              <w:spacing w:after="0"/>
              <w:rPr>
                <w:sz w:val="15"/>
                <w:szCs w:val="15"/>
                <w:color w:val="auto"/>
              </w:rPr>
            </w:pPr>
          </w:p>
        </w:tc>
        <w:tc>
          <w:tcPr>
            <w:tcW w:w="78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54,392</w:t>
            </w:r>
          </w:p>
        </w:tc>
        <w:tc>
          <w:tcPr>
            <w:tcW w:w="980" w:type="dxa"/>
            <w:vAlign w:val="bottom"/>
          </w:tcPr>
          <w:p>
            <w:pPr>
              <w:ind w:left="80"/>
              <w:spacing w:after="0" w:line="173" w:lineRule="exact"/>
              <w:rPr>
                <w:sz w:val="20"/>
                <w:szCs w:val="20"/>
                <w:color w:val="auto"/>
              </w:rPr>
            </w:pPr>
            <w:r>
              <w:rPr>
                <w:rFonts w:ascii="Arial" w:cs="Arial" w:eastAsia="Arial" w:hAnsi="Arial"/>
                <w:sz w:val="16"/>
                <w:szCs w:val="16"/>
                <w:color w:val="auto"/>
              </w:rPr>
              <w:t>June 2024</w:t>
            </w:r>
          </w:p>
        </w:tc>
        <w:tc>
          <w:tcPr>
            <w:tcW w:w="80" w:type="dxa"/>
            <w:vAlign w:val="bottom"/>
          </w:tcPr>
          <w:p>
            <w:pPr>
              <w:spacing w:after="0"/>
              <w:rPr>
                <w:sz w:val="15"/>
                <w:szCs w:val="15"/>
                <w:color w:val="auto"/>
              </w:rPr>
            </w:pPr>
          </w:p>
        </w:tc>
        <w:tc>
          <w:tcPr>
            <w:tcW w:w="1000" w:type="dxa"/>
            <w:vAlign w:val="bottom"/>
          </w:tcPr>
          <w:p>
            <w:pPr>
              <w:spacing w:after="0" w:line="173" w:lineRule="exact"/>
              <w:rPr>
                <w:sz w:val="20"/>
                <w:szCs w:val="20"/>
                <w:color w:val="auto"/>
              </w:rPr>
            </w:pPr>
            <w:r>
              <w:rPr>
                <w:rFonts w:ascii="Arial" w:cs="Arial" w:eastAsia="Arial" w:hAnsi="Arial"/>
                <w:sz w:val="16"/>
                <w:szCs w:val="16"/>
                <w:color w:val="auto"/>
                <w:w w:val="99"/>
              </w:rPr>
              <w:t>Debts to bank</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20"/>
                <w:szCs w:val="20"/>
                <w:color w:val="auto"/>
              </w:rPr>
            </w:pPr>
            <w:r>
              <w:rPr>
                <w:rFonts w:ascii="Arial" w:cs="Arial" w:eastAsia="Arial" w:hAnsi="Arial"/>
                <w:sz w:val="16"/>
                <w:szCs w:val="16"/>
                <w:b w:val="1"/>
                <w:bCs w:val="1"/>
                <w:color w:val="auto"/>
              </w:rPr>
              <w:t>Fair value hedges -</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restart"/>
          </w:tcPr>
          <w:p>
            <w:pPr>
              <w:spacing w:after="0"/>
              <w:rPr>
                <w:sz w:val="20"/>
                <w:szCs w:val="20"/>
                <w:color w:val="auto"/>
              </w:rPr>
            </w:pPr>
            <w:r>
              <w:rPr>
                <w:rFonts w:ascii="Arial" w:cs="Arial" w:eastAsia="Arial" w:hAnsi="Arial"/>
                <w:sz w:val="16"/>
                <w:szCs w:val="16"/>
                <w:color w:val="auto"/>
                <w:w w:val="96"/>
              </w:rPr>
              <w:t>March 2025 /</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vMerge w:val="restart"/>
          </w:tcPr>
          <w:p>
            <w:pPr>
              <w:ind w:left="80"/>
              <w:spacing w:after="0"/>
              <w:rPr>
                <w:sz w:val="20"/>
                <w:szCs w:val="20"/>
                <w:color w:val="auto"/>
              </w:rPr>
            </w:pPr>
            <w:r>
              <w:rPr>
                <w:rFonts w:ascii="Arial" w:cs="Arial" w:eastAsia="Arial" w:hAnsi="Arial"/>
                <w:sz w:val="16"/>
                <w:szCs w:val="16"/>
                <w:color w:val="auto"/>
                <w:w w:val="94"/>
              </w:rPr>
              <w:t>March 2025 /</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line="175" w:lineRule="exact"/>
              <w:rPr>
                <w:sz w:val="20"/>
                <w:szCs w:val="20"/>
                <w:color w:val="auto"/>
              </w:rPr>
            </w:pPr>
            <w:r>
              <w:rPr>
                <w:rFonts w:ascii="Arial" w:cs="Arial" w:eastAsia="Arial" w:hAnsi="Arial"/>
                <w:sz w:val="16"/>
                <w:szCs w:val="16"/>
                <w:color w:val="auto"/>
              </w:rPr>
              <w:t>Interest rate swaps</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line="175" w:lineRule="exact"/>
              <w:rPr>
                <w:sz w:val="20"/>
                <w:szCs w:val="20"/>
                <w:color w:val="auto"/>
              </w:rPr>
            </w:pPr>
            <w:r>
              <w:rPr>
                <w:rFonts w:ascii="Arial" w:cs="Arial" w:eastAsia="Arial" w:hAnsi="Arial"/>
                <w:sz w:val="16"/>
                <w:szCs w:val="16"/>
                <w:color w:val="auto"/>
              </w:rPr>
              <w:t>February</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ind w:left="80"/>
              <w:spacing w:after="0" w:line="175" w:lineRule="exact"/>
              <w:rPr>
                <w:sz w:val="20"/>
                <w:szCs w:val="20"/>
                <w:color w:val="auto"/>
              </w:rPr>
            </w:pPr>
            <w:r>
              <w:rPr>
                <w:rFonts w:ascii="Arial" w:cs="Arial" w:eastAsia="Arial" w:hAnsi="Arial"/>
                <w:sz w:val="16"/>
                <w:szCs w:val="16"/>
                <w:color w:val="auto"/>
              </w:rPr>
              <w:t>February</w:t>
            </w:r>
          </w:p>
        </w:tc>
        <w:tc>
          <w:tcPr>
            <w:tcW w:w="80" w:type="dxa"/>
            <w:vAlign w:val="bottom"/>
          </w:tcPr>
          <w:p>
            <w:pPr>
              <w:spacing w:after="0"/>
              <w:rPr>
                <w:sz w:val="15"/>
                <w:szCs w:val="15"/>
                <w:color w:val="auto"/>
              </w:rPr>
            </w:pPr>
          </w:p>
        </w:tc>
        <w:tc>
          <w:tcPr>
            <w:tcW w:w="1000" w:type="dxa"/>
            <w:vAlign w:val="bottom"/>
          </w:tcPr>
          <w:p>
            <w:pPr>
              <w:spacing w:after="0" w:line="175" w:lineRule="exact"/>
              <w:rPr>
                <w:sz w:val="20"/>
                <w:szCs w:val="20"/>
                <w:color w:val="auto"/>
              </w:rPr>
            </w:pPr>
            <w:r>
              <w:rPr>
                <w:rFonts w:ascii="Arial" w:cs="Arial" w:eastAsia="Arial" w:hAnsi="Arial"/>
                <w:sz w:val="16"/>
                <w:szCs w:val="16"/>
                <w:color w:val="auto"/>
              </w:rPr>
              <w:t>Investments</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Arial" w:cs="Arial" w:eastAsia="Arial" w:hAnsi="Arial"/>
                <w:sz w:val="16"/>
                <w:szCs w:val="16"/>
                <w:color w:val="auto"/>
              </w:rPr>
              <w:t>(IRS)</w:t>
            </w:r>
          </w:p>
        </w:tc>
        <w:tc>
          <w:tcPr>
            <w:tcW w:w="700" w:type="dxa"/>
            <w:vAlign w:val="bottom"/>
          </w:tcPr>
          <w:p>
            <w:pPr>
              <w:ind w:left="180"/>
              <w:spacing w:after="0"/>
              <w:rPr>
                <w:sz w:val="20"/>
                <w:szCs w:val="20"/>
                <w:color w:val="auto"/>
              </w:rPr>
            </w:pPr>
            <w:r>
              <w:rPr>
                <w:rFonts w:ascii="Arial" w:cs="Arial" w:eastAsia="Arial" w:hAnsi="Arial"/>
                <w:sz w:val="16"/>
                <w:szCs w:val="16"/>
                <w:color w:val="auto"/>
              </w:rPr>
              <w:t>6(b)(i)</w:t>
            </w: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33,027</w:t>
            </w:r>
          </w:p>
        </w:tc>
        <w:tc>
          <w:tcPr>
            <w:tcW w:w="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790,440</w:t>
            </w:r>
          </w:p>
        </w:tc>
        <w:tc>
          <w:tcPr>
            <w:tcW w:w="920" w:type="dxa"/>
            <w:vAlign w:val="bottom"/>
          </w:tcPr>
          <w:p>
            <w:pPr>
              <w:spacing w:after="0"/>
              <w:rPr>
                <w:sz w:val="20"/>
                <w:szCs w:val="20"/>
                <w:color w:val="auto"/>
              </w:rPr>
            </w:pPr>
            <w:r>
              <w:rPr>
                <w:rFonts w:ascii="Arial" w:cs="Arial" w:eastAsia="Arial" w:hAnsi="Arial"/>
                <w:sz w:val="16"/>
                <w:szCs w:val="16"/>
                <w:color w:val="auto"/>
              </w:rPr>
              <w:t>2028</w:t>
            </w:r>
          </w:p>
        </w:tc>
        <w:tc>
          <w:tcPr>
            <w:tcW w:w="700" w:type="dxa"/>
            <w:vAlign w:val="bottom"/>
            <w:gridSpan w:val="3"/>
          </w:tcPr>
          <w:p>
            <w:pPr>
              <w:jc w:val="right"/>
              <w:ind w:right="40"/>
              <w:spacing w:after="0"/>
              <w:rPr>
                <w:sz w:val="20"/>
                <w:szCs w:val="20"/>
                <w:color w:val="auto"/>
              </w:rPr>
            </w:pPr>
            <w:r>
              <w:rPr>
                <w:rFonts w:ascii="Arial" w:cs="Arial" w:eastAsia="Arial" w:hAnsi="Arial"/>
                <w:sz w:val="16"/>
                <w:szCs w:val="16"/>
                <w:color w:val="auto"/>
              </w:rPr>
              <w:t>41,554</w:t>
            </w:r>
          </w:p>
        </w:tc>
        <w:tc>
          <w:tcPr>
            <w:tcW w:w="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778,890</w:t>
            </w:r>
          </w:p>
        </w:tc>
        <w:tc>
          <w:tcPr>
            <w:tcW w:w="980" w:type="dxa"/>
            <w:vAlign w:val="bottom"/>
          </w:tcPr>
          <w:p>
            <w:pPr>
              <w:ind w:left="80"/>
              <w:spacing w:after="0"/>
              <w:rPr>
                <w:sz w:val="20"/>
                <w:szCs w:val="20"/>
                <w:color w:val="auto"/>
              </w:rPr>
            </w:pPr>
            <w:r>
              <w:rPr>
                <w:rFonts w:ascii="Arial" w:cs="Arial" w:eastAsia="Arial" w:hAnsi="Arial"/>
                <w:sz w:val="16"/>
                <w:szCs w:val="16"/>
                <w:color w:val="auto"/>
              </w:rPr>
              <w:t>2028</w:t>
            </w:r>
          </w:p>
        </w:tc>
        <w:tc>
          <w:tcPr>
            <w:tcW w:w="10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62,578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16,461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2,789,646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78,151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46,898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2,633,745</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904,791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819,473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99,017,564</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987,663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891,999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65,749,481</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06" w:hanging="426"/>
        <w:spacing w:after="0"/>
        <w:tabs>
          <w:tab w:leader="none" w:pos="70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Corresponds to investments classified at the fair value through other comprehensive income under IFRS 9 as of December 31, 2024 and 2023.</w:t>
      </w:r>
    </w:p>
    <w:p>
      <w:pPr>
        <w:spacing w:after="0" w:line="189" w:lineRule="exact"/>
        <w:rPr>
          <w:sz w:val="20"/>
          <w:szCs w:val="20"/>
          <w:color w:val="auto"/>
        </w:rPr>
      </w:pPr>
    </w:p>
    <w:p>
      <w:pPr>
        <w:ind w:left="706" w:right="300" w:hanging="426"/>
        <w:spacing w:after="0" w:line="238" w:lineRule="auto"/>
        <w:tabs>
          <w:tab w:leader="none" w:pos="70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As of December 31, 2024, the Group held cross-currency swap contracts (CCS) for a notional amount of ¥3,000.0 million equivalent to $19.1 million (for ¥3,000.0 million equivalent to $21.3 million, as of December 31, 2023), which were decomposed by risk variables into two cross-currency swaps (CCS) for the purpose of being designated as cash flow hedges and re-expressing the initial exposures in the functional currency, as follows:</w:t>
      </w:r>
    </w:p>
    <w:p>
      <w:pPr>
        <w:spacing w:after="0" w:line="145" w:lineRule="exact"/>
        <w:rPr>
          <w:rFonts w:ascii="Arial" w:cs="Arial" w:eastAsia="Arial" w:hAnsi="Arial"/>
          <w:sz w:val="16"/>
          <w:szCs w:val="16"/>
          <w:color w:val="auto"/>
        </w:rPr>
      </w:pPr>
    </w:p>
    <w:p>
      <w:pPr>
        <w:ind w:left="986" w:right="520" w:hanging="286"/>
        <w:spacing w:after="0" w:line="255" w:lineRule="auto"/>
        <w:tabs>
          <w:tab w:leader="none" w:pos="986" w:val="left"/>
        </w:tabs>
        <w:numPr>
          <w:ilvl w:val="1"/>
          <w:numId w:val="106"/>
        </w:numPr>
        <w:rPr>
          <w:rFonts w:ascii="Arial" w:cs="Arial" w:eastAsia="Arial" w:hAnsi="Arial"/>
          <w:sz w:val="16"/>
          <w:szCs w:val="16"/>
          <w:color w:val="auto"/>
        </w:rPr>
      </w:pPr>
      <w:r>
        <w:rPr>
          <w:rFonts w:ascii="Arial" w:cs="Arial" w:eastAsia="Arial" w:hAnsi="Arial"/>
          <w:sz w:val="16"/>
          <w:szCs w:val="16"/>
          <w:color w:val="auto"/>
        </w:rPr>
        <w:t>JPY-PEN for ¥3,000.0 million equivalent to S/71.9 million as of December 31, 2024 (¥3,000.0 million equivalent to S/79.0 million as of December 31, 2023) designated for cash flow hedges of bonds issued in yen.</w:t>
      </w:r>
    </w:p>
    <w:p>
      <w:pPr>
        <w:spacing w:after="0" w:line="134" w:lineRule="exact"/>
        <w:rPr>
          <w:rFonts w:ascii="Arial" w:cs="Arial" w:eastAsia="Arial" w:hAnsi="Arial"/>
          <w:sz w:val="16"/>
          <w:szCs w:val="16"/>
          <w:color w:val="auto"/>
        </w:rPr>
      </w:pPr>
    </w:p>
    <w:p>
      <w:pPr>
        <w:ind w:left="986" w:right="680" w:hanging="286"/>
        <w:spacing w:after="0" w:line="255" w:lineRule="auto"/>
        <w:tabs>
          <w:tab w:leader="none" w:pos="986" w:val="left"/>
        </w:tabs>
        <w:numPr>
          <w:ilvl w:val="1"/>
          <w:numId w:val="106"/>
        </w:numPr>
        <w:rPr>
          <w:rFonts w:ascii="Arial" w:cs="Arial" w:eastAsia="Arial" w:hAnsi="Arial"/>
          <w:sz w:val="16"/>
          <w:szCs w:val="16"/>
          <w:color w:val="auto"/>
        </w:rPr>
      </w:pPr>
      <w:r>
        <w:rPr>
          <w:rFonts w:ascii="Arial" w:cs="Arial" w:eastAsia="Arial" w:hAnsi="Arial"/>
          <w:sz w:val="16"/>
          <w:szCs w:val="16"/>
          <w:color w:val="auto"/>
        </w:rPr>
        <w:t>PEN-USD for $20.3 million equivalent to S/76.4 million as of December 31, 2024 (US$20.3 million equivalent to S/75.4 million as of December 31, 2023), designated for cash flow hedging of U.S. dollar placements up to that amount.</w:t>
      </w:r>
    </w:p>
    <w:p>
      <w:pPr>
        <w:sectPr>
          <w:pgSz w:w="11900" w:h="16838" w:orient="portrait"/>
          <w:cols w:equalWidth="0" w:num="1">
            <w:col w:w="10666"/>
          </w:cols>
          <w:pgMar w:left="874" w:top="124" w:right="359" w:bottom="1440" w:gutter="0" w:footer="0" w:header="0"/>
        </w:sectPr>
      </w:pPr>
    </w:p>
    <w:p>
      <w:pPr>
        <w:spacing w:after="0" w:line="293" w:lineRule="exact"/>
        <w:rPr>
          <w:sz w:val="20"/>
          <w:szCs w:val="20"/>
          <w:color w:val="auto"/>
        </w:rPr>
      </w:pPr>
    </w:p>
    <w:p>
      <w:pPr>
        <w:jc w:val="center"/>
        <w:ind w:right="514"/>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666"/>
          </w:cols>
          <w:pgMar w:left="874" w:top="124" w:right="359" w:bottom="1440" w:gutter="0" w:footer="0" w:header="0"/>
          <w:type w:val="continuous"/>
        </w:sectPr>
      </w:pPr>
    </w:p>
    <w:bookmarkStart w:id="87" w:name="page88"/>
    <w:bookmarkEnd w:id="87"/>
    <w:p>
      <w:pPr>
        <w:jc w:val="both"/>
        <w:ind w:left="286" w:right="160" w:hanging="286"/>
        <w:spacing w:after="0" w:line="242" w:lineRule="auto"/>
        <w:tabs>
          <w:tab w:leader="none" w:pos="28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Held-for-trading derivatives are principally negotiated to satisfy customers’ needs. On the other hand, the Group may also take positions with the expectation of profiting from favorable movements in prices or rates. Also, this caption includes any derivatives which do not comply with IFRS 9 hedge accounting requirements. Fair value of derivatives held for trading classified by contractual maturity is as follows:</w:t>
      </w:r>
    </w:p>
    <w:p>
      <w:pPr>
        <w:sectPr>
          <w:pgSz w:w="11900" w:h="16838" w:orient="portrait"/>
          <w:cols w:equalWidth="0" w:num="1">
            <w:col w:w="10346"/>
          </w:cols>
          <w:pgMar w:left="1154" w:top="12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86"/>
        <w:spacing w:after="0"/>
        <w:rPr>
          <w:sz w:val="20"/>
          <w:szCs w:val="20"/>
          <w:color w:val="auto"/>
        </w:rPr>
      </w:pPr>
      <w:r>
        <w:rPr>
          <w:rFonts w:ascii="Arial" w:cs="Arial" w:eastAsia="Arial" w:hAnsi="Arial"/>
          <w:sz w:val="14"/>
          <w:szCs w:val="14"/>
          <w:color w:val="auto"/>
        </w:rPr>
        <w:t>Interest rate swaps</w:t>
      </w:r>
    </w:p>
    <w:p>
      <w:pPr>
        <w:spacing w:after="0" w:line="19" w:lineRule="exact"/>
        <w:rPr>
          <w:sz w:val="20"/>
          <w:szCs w:val="20"/>
          <w:color w:val="auto"/>
        </w:rPr>
      </w:pPr>
    </w:p>
    <w:p>
      <w:pPr>
        <w:ind w:left="286"/>
        <w:spacing w:after="0"/>
        <w:rPr>
          <w:sz w:val="20"/>
          <w:szCs w:val="20"/>
          <w:color w:val="auto"/>
        </w:rPr>
      </w:pPr>
      <w:r>
        <w:rPr>
          <w:rFonts w:ascii="Arial" w:cs="Arial" w:eastAsia="Arial" w:hAnsi="Arial"/>
          <w:sz w:val="16"/>
          <w:szCs w:val="16"/>
          <w:color w:val="auto"/>
        </w:rPr>
        <w:t>Foreign currency</w:t>
      </w:r>
    </w:p>
    <w:p>
      <w:pPr>
        <w:ind w:left="286"/>
        <w:spacing w:after="0" w:line="228" w:lineRule="auto"/>
        <w:rPr>
          <w:sz w:val="20"/>
          <w:szCs w:val="20"/>
          <w:color w:val="auto"/>
        </w:rPr>
      </w:pPr>
      <w:r>
        <w:rPr>
          <w:rFonts w:ascii="Arial" w:cs="Arial" w:eastAsia="Arial" w:hAnsi="Arial"/>
          <w:sz w:val="16"/>
          <w:szCs w:val="16"/>
          <w:color w:val="auto"/>
        </w:rPr>
        <w:t>forwards</w:t>
      </w:r>
    </w:p>
    <w:p>
      <w:pPr>
        <w:ind w:left="286"/>
        <w:spacing w:after="0" w:line="228" w:lineRule="auto"/>
        <w:rPr>
          <w:sz w:val="20"/>
          <w:szCs w:val="20"/>
          <w:color w:val="auto"/>
        </w:rPr>
      </w:pPr>
      <w:r>
        <w:rPr>
          <w:rFonts w:ascii="Arial" w:cs="Arial" w:eastAsia="Arial" w:hAnsi="Arial"/>
          <w:sz w:val="16"/>
          <w:szCs w:val="16"/>
          <w:color w:val="auto"/>
        </w:rPr>
        <w:t>Currency swaps</w:t>
      </w:r>
    </w:p>
    <w:p>
      <w:pPr>
        <w:ind w:left="286"/>
        <w:spacing w:after="0" w:line="229" w:lineRule="auto"/>
        <w:rPr>
          <w:sz w:val="20"/>
          <w:szCs w:val="20"/>
          <w:color w:val="auto"/>
        </w:rPr>
      </w:pPr>
      <w:r>
        <w:rPr>
          <w:rFonts w:ascii="Arial" w:cs="Arial" w:eastAsia="Arial" w:hAnsi="Arial"/>
          <w:sz w:val="16"/>
          <w:szCs w:val="16"/>
          <w:color w:val="auto"/>
        </w:rPr>
        <w:t>Foreign exchange</w:t>
      </w:r>
    </w:p>
    <w:p>
      <w:pPr>
        <w:ind w:left="286"/>
        <w:spacing w:after="0" w:line="228" w:lineRule="auto"/>
        <w:rPr>
          <w:sz w:val="20"/>
          <w:szCs w:val="20"/>
          <w:color w:val="auto"/>
        </w:rPr>
      </w:pPr>
      <w:r>
        <w:rPr>
          <w:rFonts w:ascii="Arial" w:cs="Arial" w:eastAsia="Arial" w:hAnsi="Arial"/>
          <w:sz w:val="16"/>
          <w:szCs w:val="16"/>
          <w:color w:val="auto"/>
        </w:rPr>
        <w:t>options</w:t>
      </w:r>
    </w:p>
    <w:p>
      <w:pPr>
        <w:ind w:left="286"/>
        <w:spacing w:after="0" w:line="228" w:lineRule="auto"/>
        <w:rPr>
          <w:sz w:val="20"/>
          <w:szCs w:val="20"/>
          <w:color w:val="auto"/>
        </w:rPr>
      </w:pPr>
      <w:r>
        <w:rPr>
          <w:rFonts w:ascii="Arial" w:cs="Arial" w:eastAsia="Arial" w:hAnsi="Arial"/>
          <w:sz w:val="16"/>
          <w:szCs w:val="16"/>
          <w:color w:val="auto"/>
        </w:rPr>
        <w:t>Futures</w:t>
      </w:r>
    </w:p>
    <w:p>
      <w:pPr>
        <w:spacing w:after="0" w:line="1" w:lineRule="exact"/>
        <w:rPr>
          <w:sz w:val="20"/>
          <w:szCs w:val="20"/>
          <w:color w:val="auto"/>
        </w:rPr>
      </w:pPr>
    </w:p>
    <w:p>
      <w:pPr>
        <w:ind w:left="286"/>
        <w:spacing w:after="0"/>
        <w:rPr>
          <w:sz w:val="20"/>
          <w:szCs w:val="20"/>
          <w:color w:val="auto"/>
        </w:rPr>
      </w:pPr>
      <w:r>
        <w:rPr>
          <w:rFonts w:ascii="Arial" w:cs="Arial" w:eastAsia="Arial" w:hAnsi="Arial"/>
          <w:sz w:val="16"/>
          <w:szCs w:val="16"/>
          <w:b w:val="1"/>
          <w:bCs w:val="1"/>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86"/>
        <w:spacing w:after="0"/>
        <w:rPr>
          <w:sz w:val="20"/>
          <w:szCs w:val="20"/>
          <w:color w:val="auto"/>
        </w:rPr>
      </w:pPr>
      <w:r>
        <w:rPr>
          <w:rFonts w:ascii="Arial" w:cs="Arial" w:eastAsia="Arial" w:hAnsi="Arial"/>
          <w:sz w:val="14"/>
          <w:szCs w:val="14"/>
          <w:color w:val="auto"/>
        </w:rPr>
        <w:t>Interest rate swaps</w:t>
      </w:r>
    </w:p>
    <w:p>
      <w:pPr>
        <w:spacing w:after="0" w:line="19" w:lineRule="exact"/>
        <w:rPr>
          <w:sz w:val="20"/>
          <w:szCs w:val="20"/>
          <w:color w:val="auto"/>
        </w:rPr>
      </w:pPr>
    </w:p>
    <w:p>
      <w:pPr>
        <w:ind w:left="286"/>
        <w:spacing w:after="0"/>
        <w:rPr>
          <w:sz w:val="20"/>
          <w:szCs w:val="20"/>
          <w:color w:val="auto"/>
        </w:rPr>
      </w:pPr>
      <w:r>
        <w:rPr>
          <w:rFonts w:ascii="Arial" w:cs="Arial" w:eastAsia="Arial" w:hAnsi="Arial"/>
          <w:sz w:val="16"/>
          <w:szCs w:val="16"/>
          <w:color w:val="auto"/>
        </w:rPr>
        <w:t>Foreign currency</w:t>
      </w:r>
    </w:p>
    <w:p>
      <w:pPr>
        <w:ind w:left="286"/>
        <w:spacing w:after="0" w:line="228" w:lineRule="auto"/>
        <w:rPr>
          <w:sz w:val="20"/>
          <w:szCs w:val="20"/>
          <w:color w:val="auto"/>
        </w:rPr>
      </w:pPr>
      <w:r>
        <w:rPr>
          <w:rFonts w:ascii="Arial" w:cs="Arial" w:eastAsia="Arial" w:hAnsi="Arial"/>
          <w:sz w:val="16"/>
          <w:szCs w:val="16"/>
          <w:color w:val="auto"/>
        </w:rPr>
        <w:t>forwards</w:t>
      </w:r>
    </w:p>
    <w:p>
      <w:pPr>
        <w:ind w:left="286"/>
        <w:spacing w:after="0" w:line="228" w:lineRule="auto"/>
        <w:rPr>
          <w:sz w:val="20"/>
          <w:szCs w:val="20"/>
          <w:color w:val="auto"/>
        </w:rPr>
      </w:pPr>
      <w:r>
        <w:rPr>
          <w:rFonts w:ascii="Arial" w:cs="Arial" w:eastAsia="Arial" w:hAnsi="Arial"/>
          <w:sz w:val="16"/>
          <w:szCs w:val="16"/>
          <w:color w:val="auto"/>
        </w:rPr>
        <w:t>Currency swaps</w:t>
      </w:r>
    </w:p>
    <w:p>
      <w:pPr>
        <w:ind w:left="286"/>
        <w:spacing w:after="0" w:line="229" w:lineRule="auto"/>
        <w:rPr>
          <w:sz w:val="20"/>
          <w:szCs w:val="20"/>
          <w:color w:val="auto"/>
        </w:rPr>
      </w:pPr>
      <w:r>
        <w:rPr>
          <w:rFonts w:ascii="Arial" w:cs="Arial" w:eastAsia="Arial" w:hAnsi="Arial"/>
          <w:sz w:val="16"/>
          <w:szCs w:val="16"/>
          <w:color w:val="auto"/>
        </w:rPr>
        <w:t>Foreign exchange</w:t>
      </w:r>
    </w:p>
    <w:p>
      <w:pPr>
        <w:ind w:left="286"/>
        <w:spacing w:after="0" w:line="228" w:lineRule="auto"/>
        <w:rPr>
          <w:sz w:val="20"/>
          <w:szCs w:val="20"/>
          <w:color w:val="auto"/>
        </w:rPr>
      </w:pPr>
      <w:r>
        <w:rPr>
          <w:rFonts w:ascii="Arial" w:cs="Arial" w:eastAsia="Arial" w:hAnsi="Arial"/>
          <w:sz w:val="16"/>
          <w:szCs w:val="16"/>
          <w:color w:val="auto"/>
        </w:rPr>
        <w:t>options</w:t>
      </w:r>
    </w:p>
    <w:p>
      <w:pPr>
        <w:ind w:left="286"/>
        <w:spacing w:after="0" w:line="228" w:lineRule="auto"/>
        <w:rPr>
          <w:sz w:val="20"/>
          <w:szCs w:val="20"/>
          <w:color w:val="auto"/>
        </w:rPr>
      </w:pPr>
      <w:r>
        <w:rPr>
          <w:rFonts w:ascii="Arial" w:cs="Arial" w:eastAsia="Arial" w:hAnsi="Arial"/>
          <w:sz w:val="16"/>
          <w:szCs w:val="16"/>
          <w:color w:val="auto"/>
        </w:rPr>
        <w:t>Futures</w:t>
      </w:r>
    </w:p>
    <w:p>
      <w:pPr>
        <w:spacing w:after="0" w:line="1" w:lineRule="exact"/>
        <w:rPr>
          <w:sz w:val="20"/>
          <w:szCs w:val="20"/>
          <w:color w:val="auto"/>
        </w:rPr>
      </w:pPr>
    </w:p>
    <w:p>
      <w:pPr>
        <w:ind w:left="286"/>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6"/>
                <w:szCs w:val="16"/>
                <w:b w:val="1"/>
                <w:bCs w:val="1"/>
                <w:color w:val="auto"/>
              </w:rPr>
              <w:t>From 3</w:t>
            </w:r>
          </w:p>
        </w:tc>
        <w:tc>
          <w:tcPr>
            <w:tcW w:w="60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From 1</w:t>
            </w:r>
          </w:p>
        </w:tc>
        <w:tc>
          <w:tcPr>
            <w:tcW w:w="70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6"/>
                <w:szCs w:val="16"/>
                <w:b w:val="1"/>
                <w:bCs w:val="1"/>
                <w:color w:val="auto"/>
              </w:rPr>
              <w:t>From 3</w:t>
            </w: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From 3</w:t>
            </w:r>
          </w:p>
        </w:tc>
        <w:tc>
          <w:tcPr>
            <w:tcW w:w="72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6"/>
                <w:szCs w:val="16"/>
                <w:b w:val="1"/>
                <w:bCs w:val="1"/>
                <w:color w:val="auto"/>
              </w:rPr>
              <w:t>From 1</w:t>
            </w:r>
          </w:p>
        </w:tc>
        <w:tc>
          <w:tcPr>
            <w:tcW w:w="62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From 3</w:t>
            </w:r>
          </w:p>
        </w:tc>
        <w:tc>
          <w:tcPr>
            <w:tcW w:w="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Up to 3</w:t>
            </w:r>
          </w:p>
        </w:tc>
        <w:tc>
          <w:tcPr>
            <w:tcW w:w="7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months</w:t>
            </w:r>
          </w:p>
        </w:tc>
        <w:tc>
          <w:tcPr>
            <w:tcW w:w="6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w:t>
            </w:r>
          </w:p>
        </w:tc>
        <w:tc>
          <w:tcPr>
            <w:tcW w:w="7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to 5</w:t>
            </w:r>
          </w:p>
        </w:tc>
        <w:tc>
          <w:tcPr>
            <w:tcW w:w="6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Over 5</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Up to 3</w:t>
            </w:r>
          </w:p>
        </w:tc>
        <w:tc>
          <w:tcPr>
            <w:tcW w:w="6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months</w:t>
            </w:r>
          </w:p>
        </w:tc>
        <w:tc>
          <w:tcPr>
            <w:tcW w:w="72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to</w:t>
            </w:r>
          </w:p>
        </w:tc>
        <w:tc>
          <w:tcPr>
            <w:tcW w:w="6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 5</w:t>
            </w:r>
          </w:p>
        </w:tc>
        <w:tc>
          <w:tcPr>
            <w:tcW w:w="68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Over 5</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months</w:t>
            </w:r>
          </w:p>
        </w:tc>
        <w:tc>
          <w:tcPr>
            <w:tcW w:w="700" w:type="dxa"/>
            <w:vAlign w:val="bottom"/>
            <w:gridSpan w:val="3"/>
          </w:tcPr>
          <w:p>
            <w:pPr>
              <w:ind w:left="40"/>
              <w:spacing w:after="0"/>
              <w:rPr>
                <w:sz w:val="20"/>
                <w:szCs w:val="20"/>
                <w:color w:val="auto"/>
              </w:rPr>
            </w:pPr>
            <w:r>
              <w:rPr>
                <w:rFonts w:ascii="Arial" w:cs="Arial" w:eastAsia="Arial" w:hAnsi="Arial"/>
                <w:sz w:val="16"/>
                <w:szCs w:val="16"/>
                <w:b w:val="1"/>
                <w:bCs w:val="1"/>
                <w:color w:val="auto"/>
              </w:rPr>
              <w:t>to 1</w:t>
            </w:r>
          </w:p>
        </w:tc>
        <w:tc>
          <w:tcPr>
            <w:tcW w:w="600" w:type="dxa"/>
            <w:vAlign w:val="bottom"/>
            <w:gridSpan w:val="2"/>
          </w:tcPr>
          <w:p>
            <w:pPr>
              <w:spacing w:after="0"/>
              <w:rPr>
                <w:sz w:val="20"/>
                <w:szCs w:val="20"/>
                <w:color w:val="auto"/>
              </w:rPr>
            </w:pPr>
            <w:r>
              <w:rPr>
                <w:rFonts w:ascii="Arial" w:cs="Arial" w:eastAsia="Arial" w:hAnsi="Arial"/>
                <w:sz w:val="16"/>
                <w:szCs w:val="16"/>
                <w:b w:val="1"/>
                <w:bCs w:val="1"/>
                <w:color w:val="auto"/>
              </w:rPr>
              <w:t>3 years</w:t>
            </w:r>
          </w:p>
        </w:tc>
        <w:tc>
          <w:tcPr>
            <w:tcW w:w="70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w:t>
            </w:r>
          </w:p>
        </w:tc>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years</w:t>
            </w:r>
          </w:p>
        </w:tc>
        <w:tc>
          <w:tcPr>
            <w:tcW w:w="66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700" w:type="dxa"/>
            <w:vAlign w:val="bottom"/>
            <w:gridSpan w:val="3"/>
          </w:tcPr>
          <w:p>
            <w:pPr>
              <w:ind w:left="40"/>
              <w:spacing w:after="0"/>
              <w:rPr>
                <w:sz w:val="20"/>
                <w:szCs w:val="20"/>
                <w:color w:val="auto"/>
              </w:rPr>
            </w:pPr>
            <w:r>
              <w:rPr>
                <w:rFonts w:ascii="Arial" w:cs="Arial" w:eastAsia="Arial" w:hAnsi="Arial"/>
                <w:sz w:val="16"/>
                <w:szCs w:val="16"/>
                <w:b w:val="1"/>
                <w:bCs w:val="1"/>
                <w:color w:val="auto"/>
              </w:rPr>
              <w:t>months</w:t>
            </w:r>
          </w:p>
        </w:tc>
        <w:tc>
          <w:tcPr>
            <w:tcW w:w="640" w:type="dxa"/>
            <w:vAlign w:val="bottom"/>
            <w:gridSpan w:val="2"/>
          </w:tcPr>
          <w:p>
            <w:pPr>
              <w:spacing w:after="0"/>
              <w:rPr>
                <w:sz w:val="20"/>
                <w:szCs w:val="20"/>
                <w:color w:val="auto"/>
              </w:rPr>
            </w:pPr>
            <w:r>
              <w:rPr>
                <w:rFonts w:ascii="Arial" w:cs="Arial" w:eastAsia="Arial" w:hAnsi="Arial"/>
                <w:sz w:val="16"/>
                <w:szCs w:val="16"/>
                <w:b w:val="1"/>
                <w:bCs w:val="1"/>
                <w:color w:val="auto"/>
              </w:rPr>
              <w:t>to 1</w:t>
            </w:r>
          </w:p>
        </w:tc>
        <w:tc>
          <w:tcPr>
            <w:tcW w:w="720" w:type="dxa"/>
            <w:vAlign w:val="bottom"/>
            <w:gridSpan w:val="3"/>
          </w:tcPr>
          <w:p>
            <w:pPr>
              <w:ind w:left="40"/>
              <w:spacing w:after="0"/>
              <w:rPr>
                <w:sz w:val="20"/>
                <w:szCs w:val="20"/>
                <w:color w:val="auto"/>
              </w:rPr>
            </w:pPr>
            <w:r>
              <w:rPr>
                <w:rFonts w:ascii="Arial" w:cs="Arial" w:eastAsia="Arial" w:hAnsi="Arial"/>
                <w:sz w:val="16"/>
                <w:szCs w:val="16"/>
                <w:b w:val="1"/>
                <w:bCs w:val="1"/>
                <w:color w:val="auto"/>
              </w:rPr>
              <w:t>3 years</w:t>
            </w:r>
          </w:p>
        </w:tc>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years</w:t>
            </w:r>
          </w:p>
        </w:tc>
        <w:tc>
          <w:tcPr>
            <w:tcW w:w="68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w:t>
            </w:r>
          </w:p>
        </w:tc>
        <w:tc>
          <w:tcPr>
            <w:tcW w:w="64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22,151</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33,774</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141,134</w:t>
            </w:r>
          </w:p>
        </w:tc>
        <w:tc>
          <w:tcPr>
            <w:tcW w:w="2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82,228</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177,288</w:t>
            </w:r>
          </w:p>
        </w:tc>
        <w:tc>
          <w:tcPr>
            <w:tcW w:w="4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456,575</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8,870</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11,790</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94,681</w:t>
            </w:r>
          </w:p>
        </w:tc>
        <w:tc>
          <w:tcPr>
            <w:tcW w:w="600" w:type="dxa"/>
            <w:vAlign w:val="bottom"/>
          </w:tcPr>
          <w:p>
            <w:pPr>
              <w:jc w:val="right"/>
              <w:spacing w:after="0"/>
              <w:rPr>
                <w:sz w:val="20"/>
                <w:szCs w:val="20"/>
                <w:color w:val="auto"/>
              </w:rPr>
            </w:pPr>
            <w:r>
              <w:rPr>
                <w:rFonts w:ascii="Arial" w:cs="Arial" w:eastAsia="Arial" w:hAnsi="Arial"/>
                <w:sz w:val="16"/>
                <w:szCs w:val="16"/>
                <w:color w:val="auto"/>
              </w:rPr>
              <w:t>128,141</w:t>
            </w:r>
          </w:p>
        </w:tc>
        <w:tc>
          <w:tcPr>
            <w:tcW w:w="20" w:type="dxa"/>
            <w:vAlign w:val="bottom"/>
          </w:tcPr>
          <w:p>
            <w:pPr>
              <w:spacing w:after="0"/>
              <w:rPr>
                <w:sz w:val="17"/>
                <w:szCs w:val="17"/>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98,416</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341,898</w:t>
            </w:r>
          </w:p>
        </w:tc>
        <w:tc>
          <w:tcPr>
            <w:tcW w:w="0" w:type="dxa"/>
            <w:vAlign w:val="bottom"/>
          </w:tcPr>
          <w:p>
            <w:pPr>
              <w:spacing w:after="0"/>
              <w:rPr>
                <w:sz w:val="1"/>
                <w:szCs w:val="1"/>
                <w:color w:val="auto"/>
              </w:rPr>
            </w:pPr>
          </w:p>
        </w:tc>
      </w:tr>
      <w:tr>
        <w:trPr>
          <w:trHeight w:val="320"/>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106,414</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53,498</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1,583</w:t>
            </w:r>
          </w:p>
        </w:tc>
        <w:tc>
          <w:tcPr>
            <w:tcW w:w="4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161,495</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201,816</w:t>
            </w:r>
          </w:p>
        </w:tc>
        <w:tc>
          <w:tcPr>
            <w:tcW w:w="600" w:type="dxa"/>
            <w:vAlign w:val="bottom"/>
          </w:tcPr>
          <w:p>
            <w:pPr>
              <w:jc w:val="right"/>
              <w:spacing w:after="0"/>
              <w:rPr>
                <w:sz w:val="20"/>
                <w:szCs w:val="20"/>
                <w:color w:val="auto"/>
              </w:rPr>
            </w:pPr>
            <w:r>
              <w:rPr>
                <w:rFonts w:ascii="Arial" w:cs="Arial" w:eastAsia="Arial" w:hAnsi="Arial"/>
                <w:sz w:val="16"/>
                <w:szCs w:val="16"/>
                <w:color w:val="auto"/>
              </w:rPr>
              <w:t>129,504</w:t>
            </w:r>
          </w:p>
        </w:tc>
        <w:tc>
          <w:tcPr>
            <w:tcW w:w="4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3,185</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334,505</w:t>
            </w:r>
          </w:p>
        </w:tc>
        <w:tc>
          <w:tcPr>
            <w:tcW w:w="0" w:type="dxa"/>
            <w:vAlign w:val="bottom"/>
          </w:tcPr>
          <w:p>
            <w:pPr>
              <w:spacing w:after="0"/>
              <w:rPr>
                <w:sz w:val="1"/>
                <w:szCs w:val="1"/>
                <w:color w:val="auto"/>
              </w:rPr>
            </w:pPr>
          </w:p>
        </w:tc>
      </w:tr>
      <w:tr>
        <w:trPr>
          <w:trHeight w:val="205"/>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43,713</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31,998</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72,826</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56,141</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14,970</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219,648</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4,955</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45,436</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69,962</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78,513</w:t>
            </w: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31,952</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230,818</w:t>
            </w:r>
          </w:p>
        </w:tc>
        <w:tc>
          <w:tcPr>
            <w:tcW w:w="0" w:type="dxa"/>
            <w:vAlign w:val="bottom"/>
          </w:tcPr>
          <w:p>
            <w:pPr>
              <w:spacing w:after="0"/>
              <w:rPr>
                <w:sz w:val="1"/>
                <w:szCs w:val="1"/>
                <w:color w:val="auto"/>
              </w:rPr>
            </w:pPr>
          </w:p>
        </w:tc>
      </w:tr>
      <w:tr>
        <w:trPr>
          <w:trHeight w:val="257"/>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1,175</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1,369</w:t>
            </w:r>
          </w:p>
        </w:tc>
        <w:tc>
          <w:tcPr>
            <w:tcW w:w="580" w:type="dxa"/>
            <w:vAlign w:val="bottom"/>
          </w:tcPr>
          <w:p>
            <w:pPr>
              <w:jc w:val="right"/>
              <w:spacing w:after="0"/>
              <w:rPr>
                <w:sz w:val="20"/>
                <w:szCs w:val="20"/>
                <w:color w:val="auto"/>
              </w:rPr>
            </w:pPr>
            <w:r>
              <w:rPr>
                <w:rFonts w:ascii="Arial" w:cs="Arial" w:eastAsia="Arial" w:hAnsi="Arial"/>
                <w:sz w:val="16"/>
                <w:szCs w:val="16"/>
                <w:color w:val="auto"/>
              </w:rPr>
              <w:t>474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3,018</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471</w:t>
            </w:r>
          </w:p>
        </w:tc>
        <w:tc>
          <w:tcPr>
            <w:tcW w:w="600" w:type="dxa"/>
            <w:vAlign w:val="bottom"/>
          </w:tcPr>
          <w:p>
            <w:pPr>
              <w:jc w:val="right"/>
              <w:spacing w:after="0"/>
              <w:rPr>
                <w:sz w:val="20"/>
                <w:szCs w:val="20"/>
                <w:color w:val="auto"/>
              </w:rPr>
            </w:pPr>
            <w:r>
              <w:rPr>
                <w:rFonts w:ascii="Arial" w:cs="Arial" w:eastAsia="Arial" w:hAnsi="Arial"/>
                <w:sz w:val="16"/>
                <w:szCs w:val="16"/>
                <w:color w:val="auto"/>
              </w:rPr>
              <w:t>592</w:t>
            </w:r>
          </w:p>
        </w:tc>
        <w:tc>
          <w:tcPr>
            <w:tcW w:w="40" w:type="dxa"/>
            <w:vAlign w:val="bottom"/>
          </w:tcPr>
          <w:p>
            <w:pPr>
              <w:spacing w:after="0"/>
              <w:rPr>
                <w:sz w:val="22"/>
                <w:szCs w:val="22"/>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41</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1,477</w:t>
            </w:r>
          </w:p>
        </w:tc>
        <w:tc>
          <w:tcPr>
            <w:tcW w:w="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1,477</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1,187</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170"/>
        </w:trPr>
        <w:tc>
          <w:tcPr>
            <w:tcW w:w="580" w:type="dxa"/>
            <w:vAlign w:val="bottom"/>
            <w:tcBorders>
              <w:top w:val="single" w:sz="8" w:color="auto"/>
              <w:bottom w:val="single" w:sz="8" w:color="auto"/>
            </w:tcBorders>
          </w:tcPr>
          <w:p>
            <w:pPr>
              <w:ind w:left="20"/>
              <w:spacing w:after="0" w:line="167" w:lineRule="exact"/>
              <w:rPr>
                <w:sz w:val="20"/>
                <w:szCs w:val="20"/>
                <w:color w:val="auto"/>
              </w:rPr>
            </w:pPr>
            <w:r>
              <w:rPr>
                <w:rFonts w:ascii="Arial" w:cs="Arial" w:eastAsia="Arial" w:hAnsi="Arial"/>
                <w:sz w:val="16"/>
                <w:szCs w:val="16"/>
                <w:color w:val="auto"/>
                <w:w w:val="93"/>
              </w:rPr>
              <w:t>174,930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120,639</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216,017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bottom w:val="single" w:sz="8" w:color="auto"/>
            </w:tcBorders>
          </w:tcPr>
          <w:p>
            <w:pPr>
              <w:ind w:left="20"/>
              <w:spacing w:after="0" w:line="167" w:lineRule="exact"/>
              <w:rPr>
                <w:sz w:val="20"/>
                <w:szCs w:val="20"/>
                <w:color w:val="auto"/>
              </w:rPr>
            </w:pPr>
            <w:r>
              <w:rPr>
                <w:rFonts w:ascii="Arial" w:cs="Arial" w:eastAsia="Arial" w:hAnsi="Arial"/>
                <w:sz w:val="16"/>
                <w:szCs w:val="16"/>
                <w:color w:val="auto"/>
                <w:w w:val="93"/>
              </w:rPr>
              <w:t>138,369</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192,258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842,213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217,299</w:t>
            </w:r>
          </w:p>
        </w:tc>
        <w:tc>
          <w:tcPr>
            <w:tcW w:w="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187,322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167,869</w:t>
            </w:r>
          </w:p>
        </w:tc>
        <w:tc>
          <w:tcPr>
            <w:tcW w:w="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206,654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130,368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909,512</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6"/>
                <w:szCs w:val="16"/>
                <w:b w:val="1"/>
                <w:bCs w:val="1"/>
                <w:color w:val="auto"/>
              </w:rPr>
              <w:t>From 3</w:t>
            </w:r>
          </w:p>
        </w:tc>
        <w:tc>
          <w:tcPr>
            <w:tcW w:w="60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From 1</w:t>
            </w:r>
          </w:p>
        </w:tc>
        <w:tc>
          <w:tcPr>
            <w:tcW w:w="70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6"/>
                <w:szCs w:val="16"/>
                <w:b w:val="1"/>
                <w:bCs w:val="1"/>
                <w:color w:val="auto"/>
              </w:rPr>
              <w:t>From 3</w:t>
            </w: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From 3</w:t>
            </w:r>
          </w:p>
        </w:tc>
        <w:tc>
          <w:tcPr>
            <w:tcW w:w="72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6"/>
                <w:szCs w:val="16"/>
                <w:b w:val="1"/>
                <w:bCs w:val="1"/>
                <w:color w:val="auto"/>
              </w:rPr>
              <w:t>From 1</w:t>
            </w:r>
          </w:p>
        </w:tc>
        <w:tc>
          <w:tcPr>
            <w:tcW w:w="62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From 3</w:t>
            </w:r>
          </w:p>
        </w:tc>
        <w:tc>
          <w:tcPr>
            <w:tcW w:w="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Up to 3</w:t>
            </w:r>
          </w:p>
        </w:tc>
        <w:tc>
          <w:tcPr>
            <w:tcW w:w="7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months</w:t>
            </w:r>
          </w:p>
        </w:tc>
        <w:tc>
          <w:tcPr>
            <w:tcW w:w="6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w:t>
            </w:r>
          </w:p>
        </w:tc>
        <w:tc>
          <w:tcPr>
            <w:tcW w:w="7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to 5</w:t>
            </w:r>
          </w:p>
        </w:tc>
        <w:tc>
          <w:tcPr>
            <w:tcW w:w="6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Over 5</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Up to 3</w:t>
            </w:r>
          </w:p>
        </w:tc>
        <w:tc>
          <w:tcPr>
            <w:tcW w:w="6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months</w:t>
            </w:r>
          </w:p>
        </w:tc>
        <w:tc>
          <w:tcPr>
            <w:tcW w:w="72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to</w:t>
            </w:r>
          </w:p>
        </w:tc>
        <w:tc>
          <w:tcPr>
            <w:tcW w:w="6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 5</w:t>
            </w:r>
          </w:p>
        </w:tc>
        <w:tc>
          <w:tcPr>
            <w:tcW w:w="68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Over 5</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months</w:t>
            </w:r>
          </w:p>
        </w:tc>
        <w:tc>
          <w:tcPr>
            <w:tcW w:w="700" w:type="dxa"/>
            <w:vAlign w:val="bottom"/>
            <w:gridSpan w:val="3"/>
          </w:tcPr>
          <w:p>
            <w:pPr>
              <w:ind w:left="40"/>
              <w:spacing w:after="0"/>
              <w:rPr>
                <w:sz w:val="20"/>
                <w:szCs w:val="20"/>
                <w:color w:val="auto"/>
              </w:rPr>
            </w:pPr>
            <w:r>
              <w:rPr>
                <w:rFonts w:ascii="Arial" w:cs="Arial" w:eastAsia="Arial" w:hAnsi="Arial"/>
                <w:sz w:val="16"/>
                <w:szCs w:val="16"/>
                <w:b w:val="1"/>
                <w:bCs w:val="1"/>
                <w:color w:val="auto"/>
              </w:rPr>
              <w:t>to 1</w:t>
            </w:r>
          </w:p>
        </w:tc>
        <w:tc>
          <w:tcPr>
            <w:tcW w:w="600" w:type="dxa"/>
            <w:vAlign w:val="bottom"/>
            <w:gridSpan w:val="2"/>
          </w:tcPr>
          <w:p>
            <w:pPr>
              <w:spacing w:after="0"/>
              <w:rPr>
                <w:sz w:val="20"/>
                <w:szCs w:val="20"/>
                <w:color w:val="auto"/>
              </w:rPr>
            </w:pPr>
            <w:r>
              <w:rPr>
                <w:rFonts w:ascii="Arial" w:cs="Arial" w:eastAsia="Arial" w:hAnsi="Arial"/>
                <w:sz w:val="16"/>
                <w:szCs w:val="16"/>
                <w:b w:val="1"/>
                <w:bCs w:val="1"/>
                <w:color w:val="auto"/>
              </w:rPr>
              <w:t>3 years</w:t>
            </w:r>
          </w:p>
        </w:tc>
        <w:tc>
          <w:tcPr>
            <w:tcW w:w="70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w:t>
            </w:r>
          </w:p>
        </w:tc>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years</w:t>
            </w:r>
          </w:p>
        </w:tc>
        <w:tc>
          <w:tcPr>
            <w:tcW w:w="66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700" w:type="dxa"/>
            <w:vAlign w:val="bottom"/>
            <w:gridSpan w:val="3"/>
          </w:tcPr>
          <w:p>
            <w:pPr>
              <w:ind w:left="40"/>
              <w:spacing w:after="0"/>
              <w:rPr>
                <w:sz w:val="20"/>
                <w:szCs w:val="20"/>
                <w:color w:val="auto"/>
              </w:rPr>
            </w:pPr>
            <w:r>
              <w:rPr>
                <w:rFonts w:ascii="Arial" w:cs="Arial" w:eastAsia="Arial" w:hAnsi="Arial"/>
                <w:sz w:val="16"/>
                <w:szCs w:val="16"/>
                <w:b w:val="1"/>
                <w:bCs w:val="1"/>
                <w:color w:val="auto"/>
              </w:rPr>
              <w:t>months</w:t>
            </w:r>
          </w:p>
        </w:tc>
        <w:tc>
          <w:tcPr>
            <w:tcW w:w="640" w:type="dxa"/>
            <w:vAlign w:val="bottom"/>
            <w:gridSpan w:val="2"/>
          </w:tcPr>
          <w:p>
            <w:pPr>
              <w:spacing w:after="0"/>
              <w:rPr>
                <w:sz w:val="20"/>
                <w:szCs w:val="20"/>
                <w:color w:val="auto"/>
              </w:rPr>
            </w:pPr>
            <w:r>
              <w:rPr>
                <w:rFonts w:ascii="Arial" w:cs="Arial" w:eastAsia="Arial" w:hAnsi="Arial"/>
                <w:sz w:val="16"/>
                <w:szCs w:val="16"/>
                <w:b w:val="1"/>
                <w:bCs w:val="1"/>
                <w:color w:val="auto"/>
              </w:rPr>
              <w:t>to 1</w:t>
            </w:r>
          </w:p>
        </w:tc>
        <w:tc>
          <w:tcPr>
            <w:tcW w:w="720" w:type="dxa"/>
            <w:vAlign w:val="bottom"/>
            <w:gridSpan w:val="3"/>
          </w:tcPr>
          <w:p>
            <w:pPr>
              <w:ind w:left="40"/>
              <w:spacing w:after="0"/>
              <w:rPr>
                <w:sz w:val="20"/>
                <w:szCs w:val="20"/>
                <w:color w:val="auto"/>
              </w:rPr>
            </w:pPr>
            <w:r>
              <w:rPr>
                <w:rFonts w:ascii="Arial" w:cs="Arial" w:eastAsia="Arial" w:hAnsi="Arial"/>
                <w:sz w:val="16"/>
                <w:szCs w:val="16"/>
                <w:b w:val="1"/>
                <w:bCs w:val="1"/>
                <w:color w:val="auto"/>
              </w:rPr>
              <w:t>3 years</w:t>
            </w:r>
          </w:p>
        </w:tc>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years</w:t>
            </w:r>
          </w:p>
        </w:tc>
        <w:tc>
          <w:tcPr>
            <w:tcW w:w="68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w:t>
            </w:r>
          </w:p>
        </w:tc>
        <w:tc>
          <w:tcPr>
            <w:tcW w:w="64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21,591</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50,376</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88,792</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29,965</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161,953</w:t>
            </w:r>
          </w:p>
        </w:tc>
        <w:tc>
          <w:tcPr>
            <w:tcW w:w="4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352,677</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20,615</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20,739</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48,110</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36,596</w:t>
            </w: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78,715</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204,775</w:t>
            </w:r>
          </w:p>
        </w:tc>
        <w:tc>
          <w:tcPr>
            <w:tcW w:w="0" w:type="dxa"/>
            <w:vAlign w:val="bottom"/>
          </w:tcPr>
          <w:p>
            <w:pPr>
              <w:spacing w:after="0"/>
              <w:rPr>
                <w:sz w:val="1"/>
                <w:szCs w:val="1"/>
                <w:color w:val="auto"/>
              </w:rPr>
            </w:pPr>
          </w:p>
        </w:tc>
      </w:tr>
      <w:tr>
        <w:trPr>
          <w:trHeight w:val="257"/>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141,078</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67,531</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2,338</w:t>
            </w:r>
          </w:p>
        </w:tc>
        <w:tc>
          <w:tcPr>
            <w:tcW w:w="4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210,947</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142,293</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57,319</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5,729</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205,341</w:t>
            </w:r>
          </w:p>
        </w:tc>
        <w:tc>
          <w:tcPr>
            <w:tcW w:w="0" w:type="dxa"/>
            <w:vAlign w:val="bottom"/>
          </w:tcPr>
          <w:p>
            <w:pPr>
              <w:spacing w:after="0"/>
              <w:rPr>
                <w:sz w:val="1"/>
                <w:szCs w:val="1"/>
                <w:color w:val="auto"/>
              </w:rPr>
            </w:pPr>
          </w:p>
        </w:tc>
      </w:tr>
      <w:tr>
        <w:trPr>
          <w:trHeight w:val="268"/>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26,293</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25,499</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79,045</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71,857</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28,154</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230,848</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78,941</w:t>
            </w:r>
          </w:p>
        </w:tc>
        <w:tc>
          <w:tcPr>
            <w:tcW w:w="600" w:type="dxa"/>
            <w:vAlign w:val="bottom"/>
          </w:tcPr>
          <w:p>
            <w:pPr>
              <w:jc w:val="right"/>
              <w:spacing w:after="0"/>
              <w:rPr>
                <w:sz w:val="20"/>
                <w:szCs w:val="20"/>
                <w:color w:val="auto"/>
              </w:rPr>
            </w:pPr>
            <w:r>
              <w:rPr>
                <w:rFonts w:ascii="Arial" w:cs="Arial" w:eastAsia="Arial" w:hAnsi="Arial"/>
                <w:sz w:val="16"/>
                <w:szCs w:val="16"/>
                <w:color w:val="auto"/>
              </w:rPr>
              <w:t>129,935</w:t>
            </w:r>
          </w:p>
        </w:tc>
        <w:tc>
          <w:tcPr>
            <w:tcW w:w="40" w:type="dxa"/>
            <w:vAlign w:val="bottom"/>
          </w:tcPr>
          <w:p>
            <w:pPr>
              <w:spacing w:after="0"/>
              <w:rPr>
                <w:sz w:val="23"/>
                <w:szCs w:val="23"/>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86,455</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99,804</w:t>
            </w:r>
          </w:p>
        </w:tc>
        <w:tc>
          <w:tcPr>
            <w:tcW w:w="680" w:type="dxa"/>
            <w:vAlign w:val="bottom"/>
            <w:gridSpan w:val="3"/>
          </w:tcPr>
          <w:p>
            <w:pPr>
              <w:jc w:val="right"/>
              <w:ind w:right="40"/>
              <w:spacing w:after="0"/>
              <w:rPr>
                <w:sz w:val="20"/>
                <w:szCs w:val="20"/>
                <w:color w:val="auto"/>
              </w:rPr>
            </w:pPr>
            <w:r>
              <w:rPr>
                <w:rFonts w:ascii="Arial" w:cs="Arial" w:eastAsia="Arial" w:hAnsi="Arial"/>
                <w:sz w:val="16"/>
                <w:szCs w:val="16"/>
                <w:color w:val="auto"/>
              </w:rPr>
              <w:t>34,230</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429,365</w:t>
            </w:r>
          </w:p>
        </w:tc>
        <w:tc>
          <w:tcPr>
            <w:tcW w:w="0" w:type="dxa"/>
            <w:vAlign w:val="bottom"/>
          </w:tcPr>
          <w:p>
            <w:pPr>
              <w:spacing w:after="0"/>
              <w:rPr>
                <w:sz w:val="1"/>
                <w:szCs w:val="1"/>
                <w:color w:val="auto"/>
              </w:rPr>
            </w:pPr>
          </w:p>
        </w:tc>
      </w:tr>
      <w:tr>
        <w:trPr>
          <w:trHeight w:val="257"/>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3,175</w:t>
            </w:r>
          </w:p>
        </w:tc>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4,075</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1,170</w:t>
            </w:r>
          </w:p>
        </w:tc>
        <w:tc>
          <w:tcPr>
            <w:tcW w:w="4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8,420</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1,355</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2,525</w:t>
            </w:r>
          </w:p>
        </w:tc>
        <w:tc>
          <w:tcPr>
            <w:tcW w:w="720" w:type="dxa"/>
            <w:vAlign w:val="bottom"/>
            <w:gridSpan w:val="3"/>
          </w:tcPr>
          <w:p>
            <w:pPr>
              <w:jc w:val="right"/>
              <w:ind w:right="60"/>
              <w:spacing w:after="0"/>
              <w:rPr>
                <w:sz w:val="20"/>
                <w:szCs w:val="20"/>
                <w:color w:val="auto"/>
              </w:rPr>
            </w:pPr>
            <w:r>
              <w:rPr>
                <w:rFonts w:ascii="Arial" w:cs="Arial" w:eastAsia="Arial" w:hAnsi="Arial"/>
                <w:sz w:val="16"/>
                <w:szCs w:val="16"/>
                <w:color w:val="auto"/>
              </w:rPr>
              <w:t>122</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4,002</w:t>
            </w:r>
          </w:p>
        </w:tc>
        <w:tc>
          <w:tcPr>
            <w:tcW w:w="0" w:type="dxa"/>
            <w:vAlign w:val="bottom"/>
          </w:tcPr>
          <w:p>
            <w:pPr>
              <w:spacing w:after="0"/>
              <w:rPr>
                <w:sz w:val="1"/>
                <w:szCs w:val="1"/>
                <w:color w:val="auto"/>
              </w:rPr>
            </w:pPr>
          </w:p>
        </w:tc>
      </w:tr>
      <w:tr>
        <w:trPr>
          <w:trHeight w:val="253"/>
        </w:trPr>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120</w:t>
            </w:r>
          </w:p>
        </w:tc>
        <w:tc>
          <w:tcPr>
            <w:tcW w:w="4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120</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1,618</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170"/>
        </w:trPr>
        <w:tc>
          <w:tcPr>
            <w:tcW w:w="580" w:type="dxa"/>
            <w:vAlign w:val="bottom"/>
            <w:tcBorders>
              <w:top w:val="single" w:sz="8" w:color="auto"/>
              <w:bottom w:val="single" w:sz="8" w:color="auto"/>
            </w:tcBorders>
          </w:tcPr>
          <w:p>
            <w:pPr>
              <w:ind w:left="20"/>
              <w:spacing w:after="0" w:line="167" w:lineRule="exact"/>
              <w:rPr>
                <w:sz w:val="20"/>
                <w:szCs w:val="20"/>
                <w:color w:val="auto"/>
              </w:rPr>
            </w:pPr>
            <w:r>
              <w:rPr>
                <w:rFonts w:ascii="Arial" w:cs="Arial" w:eastAsia="Arial" w:hAnsi="Arial"/>
                <w:sz w:val="16"/>
                <w:szCs w:val="16"/>
                <w:color w:val="auto"/>
                <w:w w:val="93"/>
              </w:rPr>
              <w:t>192,257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147,481</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171,345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bottom w:val="single" w:sz="8" w:color="auto"/>
            </w:tcBorders>
          </w:tcPr>
          <w:p>
            <w:pPr>
              <w:ind w:left="20"/>
              <w:spacing w:after="0" w:line="167" w:lineRule="exact"/>
              <w:rPr>
                <w:sz w:val="20"/>
                <w:szCs w:val="20"/>
                <w:color w:val="auto"/>
              </w:rPr>
            </w:pPr>
            <w:r>
              <w:rPr>
                <w:rFonts w:ascii="Arial" w:cs="Arial" w:eastAsia="Arial" w:hAnsi="Arial"/>
                <w:sz w:val="16"/>
                <w:szCs w:val="16"/>
                <w:color w:val="auto"/>
                <w:w w:val="93"/>
              </w:rPr>
              <w:t>101,822</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190,107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803,012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244,822</w:t>
            </w:r>
          </w:p>
        </w:tc>
        <w:tc>
          <w:tcPr>
            <w:tcW w:w="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210,518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140,416</w:t>
            </w:r>
          </w:p>
        </w:tc>
        <w:tc>
          <w:tcPr>
            <w:tcW w:w="6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136,400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112,945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845,101</w:t>
            </w: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2">
            <w:col w:w="1586" w:space="440"/>
            <w:col w:w="8320"/>
          </w:cols>
          <w:pgMar w:left="1154" w:top="124" w:right="399" w:bottom="1440" w:gutter="0" w:footer="0" w:header="0"/>
          <w:type w:val="continuous"/>
        </w:sectPr>
      </w:pPr>
    </w:p>
    <w:p>
      <w:pPr>
        <w:jc w:val="both"/>
        <w:ind w:left="286" w:hanging="286"/>
        <w:spacing w:after="0" w:line="293" w:lineRule="auto"/>
        <w:tabs>
          <w:tab w:leader="none" w:pos="286"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Group is exposed to variability in future cash flows on assets and liabilities in foreign currency and/or those that bear interest at variable rates. The Group uses derivative financial instruments as cash flow hedges to cover these risks. A schedule indicating the periods when the current cash flow hedges are expected to occur and affect the consolidated statement of income, net of deferred income tax is presented below:</w:t>
      </w:r>
    </w:p>
    <w:p>
      <w:pPr>
        <w:spacing w:after="0" w:line="109" w:lineRule="exact"/>
        <w:rPr>
          <w:sz w:val="20"/>
          <w:szCs w:val="20"/>
          <w:color w:val="auto"/>
        </w:rPr>
      </w:pPr>
    </w:p>
    <w:tbl>
      <w:tblPr>
        <w:tblLayout w:type="fixed"/>
        <w:tblInd w:w="286" w:type="dxa"/>
        <w:tblCellMar>
          <w:top w:w="0" w:type="dxa"/>
          <w:left w:w="0" w:type="dxa"/>
          <w:bottom w:w="0" w:type="dxa"/>
          <w:right w:w="0" w:type="dxa"/>
        </w:tblCellMar>
      </w:tblPr>
      <w:tr>
        <w:trPr>
          <w:trHeight w:val="192"/>
        </w:trPr>
        <w:tc>
          <w:tcPr>
            <w:tcW w:w="180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0"/>
        </w:trPr>
        <w:tc>
          <w:tcPr>
            <w:tcW w:w="1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From 1</w:t>
            </w:r>
          </w:p>
        </w:tc>
        <w:tc>
          <w:tcPr>
            <w:tcW w:w="580" w:type="dxa"/>
            <w:vAlign w:val="bottom"/>
            <w:gridSpan w:val="2"/>
          </w:tcPr>
          <w:p>
            <w:pPr>
              <w:ind w:left="40"/>
              <w:spacing w:after="0" w:line="150" w:lineRule="exact"/>
              <w:rPr>
                <w:sz w:val="20"/>
                <w:szCs w:val="20"/>
                <w:color w:val="auto"/>
              </w:rPr>
            </w:pPr>
            <w:r>
              <w:rPr>
                <w:rFonts w:ascii="Arial" w:cs="Arial" w:eastAsia="Arial" w:hAnsi="Arial"/>
                <w:sz w:val="16"/>
                <w:szCs w:val="16"/>
                <w:b w:val="1"/>
                <w:bCs w:val="1"/>
                <w:color w:val="auto"/>
                <w:w w:val="97"/>
              </w:rPr>
              <w:t>From 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line="150" w:lineRule="exact"/>
              <w:rPr>
                <w:sz w:val="20"/>
                <w:szCs w:val="20"/>
                <w:color w:val="auto"/>
              </w:rPr>
            </w:pPr>
            <w:r>
              <w:rPr>
                <w:rFonts w:ascii="Arial" w:cs="Arial" w:eastAsia="Arial" w:hAnsi="Arial"/>
                <w:sz w:val="16"/>
                <w:szCs w:val="16"/>
                <w:b w:val="1"/>
                <w:bCs w:val="1"/>
                <w:color w:val="auto"/>
              </w:rPr>
              <w:t>From 3</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180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Up to 1</w:t>
            </w:r>
          </w:p>
        </w:tc>
        <w:tc>
          <w:tcPr>
            <w:tcW w:w="76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to</w:t>
            </w:r>
          </w:p>
        </w:tc>
        <w:tc>
          <w:tcPr>
            <w:tcW w:w="5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to 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Over 5</w:t>
            </w: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Up to 1</w:t>
            </w:r>
          </w:p>
        </w:tc>
        <w:tc>
          <w:tcPr>
            <w:tcW w:w="92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From 1 to</w:t>
            </w:r>
          </w:p>
        </w:tc>
        <w:tc>
          <w:tcPr>
            <w:tcW w:w="560" w:type="dxa"/>
            <w:vAlign w:val="bottom"/>
          </w:tcPr>
          <w:p>
            <w:pPr>
              <w:spacing w:after="0" w:line="175" w:lineRule="exact"/>
              <w:rPr>
                <w:sz w:val="20"/>
                <w:szCs w:val="20"/>
                <w:color w:val="auto"/>
              </w:rPr>
            </w:pPr>
            <w:r>
              <w:rPr>
                <w:rFonts w:ascii="Arial" w:cs="Arial" w:eastAsia="Arial" w:hAnsi="Arial"/>
                <w:sz w:val="16"/>
                <w:szCs w:val="16"/>
                <w:b w:val="1"/>
                <w:bCs w:val="1"/>
                <w:color w:val="auto"/>
              </w:rPr>
              <w:t>to 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Over 5</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80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760" w:type="dxa"/>
            <w:vAlign w:val="bottom"/>
            <w:gridSpan w:val="3"/>
          </w:tcPr>
          <w:p>
            <w:pPr>
              <w:ind w:left="40"/>
              <w:spacing w:after="0"/>
              <w:rPr>
                <w:sz w:val="20"/>
                <w:szCs w:val="20"/>
                <w:color w:val="auto"/>
              </w:rPr>
            </w:pPr>
            <w:r>
              <w:rPr>
                <w:rFonts w:ascii="Arial" w:cs="Arial" w:eastAsia="Arial" w:hAnsi="Arial"/>
                <w:sz w:val="16"/>
                <w:szCs w:val="16"/>
                <w:b w:val="1"/>
                <w:bCs w:val="1"/>
                <w:color w:val="auto"/>
              </w:rPr>
              <w:t>3 years</w:t>
            </w:r>
          </w:p>
        </w:tc>
        <w:tc>
          <w:tcPr>
            <w:tcW w:w="5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b w:val="1"/>
                <w:bCs w:val="1"/>
                <w:color w:val="auto"/>
              </w:rPr>
              <w:t>years</w:t>
            </w:r>
          </w:p>
        </w:tc>
        <w:tc>
          <w:tcPr>
            <w:tcW w:w="94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920" w:type="dxa"/>
            <w:vAlign w:val="bottom"/>
            <w:gridSpan w:val="3"/>
          </w:tcPr>
          <w:p>
            <w:pPr>
              <w:ind w:left="40"/>
              <w:spacing w:after="0"/>
              <w:rPr>
                <w:sz w:val="20"/>
                <w:szCs w:val="20"/>
                <w:color w:val="auto"/>
              </w:rPr>
            </w:pPr>
            <w:r>
              <w:rPr>
                <w:rFonts w:ascii="Arial" w:cs="Arial" w:eastAsia="Arial" w:hAnsi="Arial"/>
                <w:sz w:val="16"/>
                <w:szCs w:val="16"/>
                <w:b w:val="1"/>
                <w:bCs w:val="1"/>
                <w:color w:val="auto"/>
              </w:rPr>
              <w:t>3 years</w:t>
            </w:r>
          </w:p>
        </w:tc>
        <w:tc>
          <w:tcPr>
            <w:tcW w:w="560" w:type="dxa"/>
            <w:vAlign w:val="bottom"/>
          </w:tcPr>
          <w:p>
            <w:pPr>
              <w:spacing w:after="0"/>
              <w:rPr>
                <w:sz w:val="20"/>
                <w:szCs w:val="20"/>
                <w:color w:val="auto"/>
              </w:rPr>
            </w:pPr>
            <w:r>
              <w:rPr>
                <w:rFonts w:ascii="Arial" w:cs="Arial" w:eastAsia="Arial" w:hAnsi="Arial"/>
                <w:sz w:val="16"/>
                <w:szCs w:val="16"/>
                <w:b w:val="1"/>
                <w:bCs w:val="1"/>
                <w:color w:val="auto"/>
              </w:rPr>
              <w:t>years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ind w:left="40"/>
              <w:spacing w:after="0"/>
              <w:rPr>
                <w:sz w:val="20"/>
                <w:szCs w:val="20"/>
                <w:color w:val="auto"/>
              </w:rPr>
            </w:pPr>
            <w:r>
              <w:rPr>
                <w:rFonts w:ascii="Arial" w:cs="Arial" w:eastAsia="Arial" w:hAnsi="Arial"/>
                <w:sz w:val="16"/>
                <w:szCs w:val="16"/>
                <w:b w:val="1"/>
                <w:bCs w:val="1"/>
                <w:color w:val="auto"/>
              </w:rPr>
              <w:t>years</w:t>
            </w: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r>
      <w:tr>
        <w:trPr>
          <w:trHeight w:val="152"/>
        </w:trPr>
        <w:tc>
          <w:tcPr>
            <w:tcW w:w="180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w w:val="99"/>
              </w:rPr>
              <w:t>S/(000)</w:t>
            </w:r>
          </w:p>
        </w:tc>
        <w:tc>
          <w:tcPr>
            <w:tcW w:w="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1800" w:type="dxa"/>
            <w:vAlign w:val="bottom"/>
          </w:tcPr>
          <w:p>
            <w:pPr>
              <w:spacing w:after="0" w:line="175" w:lineRule="exact"/>
              <w:rPr>
                <w:sz w:val="20"/>
                <w:szCs w:val="20"/>
                <w:color w:val="auto"/>
              </w:rPr>
            </w:pPr>
            <w:r>
              <w:rPr>
                <w:rFonts w:ascii="Arial" w:cs="Arial" w:eastAsia="Arial" w:hAnsi="Arial"/>
                <w:sz w:val="16"/>
                <w:szCs w:val="16"/>
                <w:color w:val="auto"/>
              </w:rPr>
              <w:t>Cash inflows (assets)</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1,202,322</w:t>
            </w:r>
          </w:p>
        </w:tc>
        <w:tc>
          <w:tcPr>
            <w:tcW w:w="7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568,812</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60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1,771,134</w:t>
            </w: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160,643</w:t>
            </w:r>
          </w:p>
        </w:tc>
        <w:tc>
          <w:tcPr>
            <w:tcW w:w="9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1,742,147</w:t>
            </w:r>
          </w:p>
        </w:tc>
        <w:tc>
          <w:tcPr>
            <w:tcW w:w="560" w:type="dxa"/>
            <w:vAlign w:val="bottom"/>
          </w:tcPr>
          <w:p>
            <w:pPr>
              <w:spacing w:after="0"/>
              <w:rPr>
                <w:sz w:val="15"/>
                <w:szCs w:val="15"/>
                <w:color w:val="auto"/>
              </w:rPr>
            </w:pPr>
          </w:p>
        </w:tc>
        <w:tc>
          <w:tcPr>
            <w:tcW w:w="18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66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1,902,790</w:t>
            </w:r>
          </w:p>
        </w:tc>
      </w:tr>
      <w:tr>
        <w:trPr>
          <w:trHeight w:val="175"/>
        </w:trPr>
        <w:tc>
          <w:tcPr>
            <w:tcW w:w="1800" w:type="dxa"/>
            <w:vAlign w:val="bottom"/>
          </w:tcPr>
          <w:p>
            <w:pPr>
              <w:spacing w:after="0" w:line="175" w:lineRule="exact"/>
              <w:rPr>
                <w:sz w:val="20"/>
                <w:szCs w:val="20"/>
                <w:color w:val="auto"/>
              </w:rPr>
            </w:pPr>
            <w:r>
              <w:rPr>
                <w:rFonts w:ascii="Arial" w:cs="Arial" w:eastAsia="Arial" w:hAnsi="Arial"/>
                <w:sz w:val="16"/>
                <w:szCs w:val="16"/>
                <w:color w:val="auto"/>
              </w:rPr>
              <w:t>Cash outflows (liabilities)</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5"/>
              </w:rPr>
              <w:t>(1,190,257)</w:t>
            </w:r>
          </w:p>
        </w:tc>
        <w:tc>
          <w:tcPr>
            <w:tcW w:w="7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(566,730)</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60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(1,756,987)</w:t>
            </w: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6"/>
              </w:rPr>
              <w:t>(153,240)</w:t>
            </w:r>
          </w:p>
        </w:tc>
        <w:tc>
          <w:tcPr>
            <w:tcW w:w="92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(1,749,748)</w:t>
            </w:r>
          </w:p>
        </w:tc>
        <w:tc>
          <w:tcPr>
            <w:tcW w:w="560" w:type="dxa"/>
            <w:vAlign w:val="bottom"/>
          </w:tcPr>
          <w:p>
            <w:pPr>
              <w:spacing w:after="0"/>
              <w:rPr>
                <w:sz w:val="15"/>
                <w:szCs w:val="15"/>
                <w:color w:val="auto"/>
              </w:rPr>
            </w:pPr>
          </w:p>
        </w:tc>
        <w:tc>
          <w:tcPr>
            <w:tcW w:w="18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66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w w:val="95"/>
              </w:rPr>
              <w:t>(1,902,988)</w:t>
            </w:r>
          </w:p>
        </w:tc>
      </w:tr>
      <w:tr>
        <w:trPr>
          <w:trHeight w:val="175"/>
        </w:trPr>
        <w:tc>
          <w:tcPr>
            <w:tcW w:w="1800" w:type="dxa"/>
            <w:vAlign w:val="bottom"/>
          </w:tcPr>
          <w:p>
            <w:pPr>
              <w:spacing w:after="0" w:line="175" w:lineRule="exact"/>
              <w:rPr>
                <w:sz w:val="20"/>
                <w:szCs w:val="20"/>
                <w:color w:val="auto"/>
              </w:rPr>
            </w:pPr>
            <w:r>
              <w:rPr>
                <w:rFonts w:ascii="Arial" w:cs="Arial" w:eastAsia="Arial" w:hAnsi="Arial"/>
                <w:sz w:val="16"/>
                <w:szCs w:val="16"/>
                <w:color w:val="auto"/>
              </w:rPr>
              <w:t>Consolidated statement</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1800" w:type="dxa"/>
            <w:vAlign w:val="bottom"/>
          </w:tcPr>
          <w:p>
            <w:pPr>
              <w:spacing w:after="0"/>
              <w:rPr>
                <w:sz w:val="20"/>
                <w:szCs w:val="20"/>
                <w:color w:val="auto"/>
              </w:rPr>
            </w:pPr>
            <w:r>
              <w:rPr>
                <w:rFonts w:ascii="Arial" w:cs="Arial" w:eastAsia="Arial" w:hAnsi="Arial"/>
                <w:sz w:val="16"/>
                <w:szCs w:val="16"/>
                <w:color w:val="auto"/>
              </w:rPr>
              <w:t>of income</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2,764</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1,845</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4,609</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485</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(17,192)</w:t>
            </w:r>
          </w:p>
        </w:tc>
        <w:tc>
          <w:tcPr>
            <w:tcW w:w="560" w:type="dxa"/>
            <w:vAlign w:val="bottom"/>
          </w:tcPr>
          <w:p>
            <w:pPr>
              <w:spacing w:after="0"/>
              <w:rPr>
                <w:sz w:val="17"/>
                <w:szCs w:val="17"/>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(16,707)</w:t>
            </w:r>
          </w:p>
        </w:tc>
      </w:tr>
    </w:tbl>
    <w:p>
      <w:pPr>
        <w:spacing w:after="0" w:line="145" w:lineRule="exact"/>
        <w:rPr>
          <w:sz w:val="20"/>
          <w:szCs w:val="20"/>
          <w:color w:val="auto"/>
        </w:rPr>
      </w:pPr>
    </w:p>
    <w:p>
      <w:pPr>
        <w:ind w:left="286" w:right="280"/>
        <w:spacing w:after="0" w:line="238" w:lineRule="auto"/>
        <w:rPr>
          <w:sz w:val="20"/>
          <w:szCs w:val="20"/>
          <w:color w:val="auto"/>
        </w:rPr>
      </w:pPr>
      <w:r>
        <w:rPr>
          <w:rFonts w:ascii="Arial" w:cs="Arial" w:eastAsia="Arial" w:hAnsi="Arial"/>
          <w:sz w:val="16"/>
          <w:szCs w:val="16"/>
          <w:color w:val="auto"/>
        </w:rPr>
        <w:t>The accumulated balance of the unrealized result from cash flow hedges, net of the corresponding deferred income tax, results from current hedges which maintain an unrealized loss of approximately S/2.3 million and from revoked hedges which maintain an unrealized gain. realized profit of S/2.4 million (As of December 31, 2023, current coverage maintained an unrealized loss of approximately S/12.0 million and revoked coverage maintained an unrealized gain of S/5.8 million).</w:t>
      </w:r>
    </w:p>
    <w:p>
      <w:pPr>
        <w:spacing w:after="0" w:line="304" w:lineRule="exact"/>
        <w:rPr>
          <w:sz w:val="20"/>
          <w:szCs w:val="20"/>
          <w:color w:val="auto"/>
        </w:rPr>
      </w:pPr>
    </w:p>
    <w:p>
      <w:pPr>
        <w:ind w:left="4686"/>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346"/>
          </w:cols>
          <w:pgMar w:left="1154" w:top="124" w:right="399" w:bottom="1440" w:gutter="0" w:footer="0" w:header="0"/>
          <w:type w:val="continuous"/>
        </w:sectPr>
      </w:pPr>
    </w:p>
    <w:bookmarkStart w:id="88" w:name="page89"/>
    <w:bookmarkEnd w:id="88"/>
    <w:p>
      <w:pPr>
        <w:ind w:left="286" w:right="300" w:hanging="286"/>
        <w:spacing w:after="0" w:line="256" w:lineRule="auto"/>
        <w:tabs>
          <w:tab w:leader="none" w:pos="28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As of December 31, 2024 and 2023, corresponds to accounts receivable and payable for the sale and purchase of financial investments negotiated during the last days of the month, which were settled during the first days of the following month.</w:t>
      </w:r>
    </w:p>
    <w:p>
      <w:pPr>
        <w:spacing w:after="0" w:line="133" w:lineRule="exact"/>
        <w:rPr>
          <w:rFonts w:ascii="Arial" w:cs="Arial" w:eastAsia="Arial" w:hAnsi="Arial"/>
          <w:sz w:val="16"/>
          <w:szCs w:val="16"/>
          <w:color w:val="auto"/>
        </w:rPr>
      </w:pPr>
    </w:p>
    <w:p>
      <w:pPr>
        <w:ind w:left="286" w:hanging="286"/>
        <w:spacing w:after="0" w:line="241" w:lineRule="auto"/>
        <w:tabs>
          <w:tab w:leader="none" w:pos="28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Operations in process include deposits received, granted and collected loans, funds transferred and other similar types of transactions, which are made in the final days of the month and not reclassified to their final accounts in the consolidated statement of financial position until the first days of the following month. The regularization of these transactions does not affect the Group’s net income.</w:t>
      </w:r>
    </w:p>
    <w:p>
      <w:pPr>
        <w:spacing w:after="0" w:line="145" w:lineRule="exact"/>
        <w:rPr>
          <w:rFonts w:ascii="Arial" w:cs="Arial" w:eastAsia="Arial" w:hAnsi="Arial"/>
          <w:sz w:val="16"/>
          <w:szCs w:val="16"/>
          <w:color w:val="auto"/>
        </w:rPr>
      </w:pPr>
    </w:p>
    <w:p>
      <w:pPr>
        <w:ind w:left="286" w:right="120" w:hanging="286"/>
        <w:spacing w:after="0" w:line="255" w:lineRule="auto"/>
        <w:tabs>
          <w:tab w:leader="none" w:pos="28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As of December 31, 2024 and 2023, it corresponds mainly to the payment of the loyalty program based on miles that the bank credits to its customers for the use of their cards, as well as other financial products for S/363.6 million and S/629.5 million, respectively.</w:t>
      </w:r>
    </w:p>
    <w:p>
      <w:pPr>
        <w:spacing w:after="0" w:line="134" w:lineRule="exact"/>
        <w:rPr>
          <w:rFonts w:ascii="Arial" w:cs="Arial" w:eastAsia="Arial" w:hAnsi="Arial"/>
          <w:sz w:val="16"/>
          <w:szCs w:val="16"/>
          <w:color w:val="auto"/>
        </w:rPr>
      </w:pPr>
    </w:p>
    <w:p>
      <w:pPr>
        <w:ind w:left="286" w:right="40" w:hanging="286"/>
        <w:spacing w:after="0" w:line="255" w:lineRule="auto"/>
        <w:tabs>
          <w:tab w:leader="none" w:pos="28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Credicorp’s main associate is Pacífico S.A Entidad Prestadora de Salud (Pacífico EPS), whose balance amounts to S/692.1 million and S/686.6 million as of December 31, 2024 and 2023, respectively, see Note 2.</w:t>
      </w:r>
    </w:p>
    <w:p>
      <w:pPr>
        <w:spacing w:after="0" w:line="134" w:lineRule="exact"/>
        <w:rPr>
          <w:rFonts w:ascii="Arial" w:cs="Arial" w:eastAsia="Arial" w:hAnsi="Arial"/>
          <w:sz w:val="16"/>
          <w:szCs w:val="16"/>
          <w:color w:val="auto"/>
        </w:rPr>
      </w:pPr>
    </w:p>
    <w:p>
      <w:pPr>
        <w:ind w:left="286" w:hanging="286"/>
        <w:spacing w:after="0"/>
        <w:tabs>
          <w:tab w:leader="none" w:pos="28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Investment properties -</w:t>
      </w:r>
    </w:p>
    <w:p>
      <w:pPr>
        <w:spacing w:after="0" w:line="166" w:lineRule="exact"/>
        <w:rPr>
          <w:rFonts w:ascii="Arial" w:cs="Arial" w:eastAsia="Arial" w:hAnsi="Arial"/>
          <w:sz w:val="16"/>
          <w:szCs w:val="16"/>
          <w:color w:val="auto"/>
        </w:rPr>
      </w:pPr>
    </w:p>
    <w:p>
      <w:pPr>
        <w:ind w:left="286"/>
        <w:spacing w:after="0"/>
        <w:rPr>
          <w:rFonts w:ascii="Arial" w:cs="Arial" w:eastAsia="Arial" w:hAnsi="Arial"/>
          <w:sz w:val="16"/>
          <w:szCs w:val="16"/>
          <w:color w:val="auto"/>
        </w:rPr>
      </w:pPr>
      <w:r>
        <w:rPr>
          <w:rFonts w:ascii="Arial" w:cs="Arial" w:eastAsia="Arial" w:hAnsi="Arial"/>
          <w:sz w:val="16"/>
          <w:szCs w:val="16"/>
          <w:color w:val="auto"/>
        </w:rPr>
        <w:t>The movement of investment properties is as follows:</w:t>
      </w:r>
    </w:p>
    <w:p>
      <w:pPr>
        <w:spacing w:after="0" w:line="164" w:lineRule="exact"/>
        <w:rPr>
          <w:sz w:val="20"/>
          <w:szCs w:val="20"/>
          <w:color w:val="auto"/>
        </w:rPr>
      </w:pPr>
    </w:p>
    <w:tbl>
      <w:tblPr>
        <w:tblLayout w:type="fixed"/>
        <w:tblInd w:w="5306" w:type="dxa"/>
        <w:tblCellMar>
          <w:top w:w="0" w:type="dxa"/>
          <w:left w:w="0" w:type="dxa"/>
          <w:bottom w:w="0" w:type="dxa"/>
          <w:right w:w="0" w:type="dxa"/>
        </w:tblCellMar>
      </w:tblPr>
      <w:tr>
        <w:trPr>
          <w:trHeight w:val="192"/>
        </w:trPr>
        <w:tc>
          <w:tcPr>
            <w:tcW w:w="104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2023</w:t>
            </w:r>
          </w:p>
        </w:tc>
      </w:tr>
      <w:tr>
        <w:trPr>
          <w:trHeight w:val="167"/>
        </w:trPr>
        <w:tc>
          <w:tcPr>
            <w:tcW w:w="1040" w:type="dxa"/>
            <w:vAlign w:val="bottom"/>
            <w:tcBorders>
              <w:top w:val="single" w:sz="8" w:color="auto"/>
            </w:tcBorders>
          </w:tcPr>
          <w:p>
            <w:pPr>
              <w:spacing w:after="0" w:line="167" w:lineRule="exact"/>
              <w:rPr>
                <w:sz w:val="20"/>
                <w:szCs w:val="20"/>
                <w:color w:val="auto"/>
              </w:rPr>
            </w:pPr>
            <w:r>
              <w:rPr>
                <w:rFonts w:ascii="Arial" w:cs="Arial" w:eastAsia="Arial" w:hAnsi="Arial"/>
                <w:sz w:val="16"/>
                <w:szCs w:val="16"/>
                <w:b w:val="1"/>
                <w:bCs w:val="1"/>
                <w:color w:val="auto"/>
              </w:rPr>
              <w:t>Land</w:t>
            </w:r>
          </w:p>
        </w:tc>
        <w:tc>
          <w:tcPr>
            <w:tcW w:w="1220" w:type="dxa"/>
            <w:vAlign w:val="bottom"/>
            <w:tcBorders>
              <w:top w:val="single" w:sz="8" w:color="auto"/>
            </w:tcBorders>
            <w:gridSpan w:val="2"/>
          </w:tcPr>
          <w:p>
            <w:pPr>
              <w:ind w:left="180"/>
              <w:spacing w:after="0" w:line="167" w:lineRule="exact"/>
              <w:rPr>
                <w:sz w:val="20"/>
                <w:szCs w:val="20"/>
                <w:color w:val="auto"/>
              </w:rPr>
            </w:pPr>
            <w:r>
              <w:rPr>
                <w:rFonts w:ascii="Arial" w:cs="Arial" w:eastAsia="Arial" w:hAnsi="Arial"/>
                <w:sz w:val="16"/>
                <w:szCs w:val="16"/>
                <w:b w:val="1"/>
                <w:bCs w:val="1"/>
                <w:color w:val="auto"/>
              </w:rPr>
              <w:t>Buildings</w:t>
            </w:r>
          </w:p>
        </w:tc>
        <w:tc>
          <w:tcPr>
            <w:tcW w:w="1240" w:type="dxa"/>
            <w:vAlign w:val="bottom"/>
            <w:tcBorders>
              <w:top w:val="single" w:sz="8" w:color="auto"/>
            </w:tcBorders>
            <w:gridSpan w:val="2"/>
          </w:tcPr>
          <w:p>
            <w:pPr>
              <w:ind w:left="180"/>
              <w:spacing w:after="0" w:line="167" w:lineRule="exact"/>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4"/>
                <w:szCs w:val="14"/>
                <w:color w:val="auto"/>
              </w:rPr>
            </w:pPr>
          </w:p>
        </w:tc>
        <w:tc>
          <w:tcPr>
            <w:tcW w:w="1080" w:type="dxa"/>
            <w:vAlign w:val="bottom"/>
            <w:tcBorders>
              <w:top w:val="single" w:sz="8" w:color="auto"/>
            </w:tcBorders>
          </w:tcPr>
          <w:p>
            <w:pPr>
              <w:spacing w:after="0" w:line="167" w:lineRule="exact"/>
              <w:rPr>
                <w:sz w:val="20"/>
                <w:szCs w:val="20"/>
                <w:color w:val="auto"/>
              </w:rPr>
            </w:pPr>
            <w:r>
              <w:rPr>
                <w:rFonts w:ascii="Arial" w:cs="Arial" w:eastAsia="Arial" w:hAnsi="Arial"/>
                <w:sz w:val="16"/>
                <w:szCs w:val="16"/>
                <w:b w:val="1"/>
                <w:bCs w:val="1"/>
                <w:color w:val="auto"/>
              </w:rPr>
              <w:t>Total</w:t>
            </w:r>
          </w:p>
        </w:tc>
      </w:tr>
      <w:tr>
        <w:trPr>
          <w:trHeight w:val="166"/>
        </w:trPr>
        <w:tc>
          <w:tcPr>
            <w:tcW w:w="104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4"/>
                <w:szCs w:val="14"/>
                <w:color w:val="auto"/>
              </w:rPr>
            </w:pPr>
          </w:p>
        </w:tc>
        <w:tc>
          <w:tcPr>
            <w:tcW w:w="104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4"/>
                <w:szCs w:val="14"/>
                <w:color w:val="auto"/>
              </w:rPr>
            </w:pPr>
          </w:p>
        </w:tc>
        <w:tc>
          <w:tcPr>
            <w:tcW w:w="106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4"/>
                <w:szCs w:val="14"/>
                <w:color w:val="auto"/>
              </w:rPr>
            </w:pPr>
          </w:p>
        </w:tc>
        <w:tc>
          <w:tcPr>
            <w:tcW w:w="108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286" w:type="dxa"/>
        <w:tblCellMar>
          <w:top w:w="0" w:type="dxa"/>
          <w:left w:w="0" w:type="dxa"/>
          <w:bottom w:w="0" w:type="dxa"/>
          <w:right w:w="0" w:type="dxa"/>
        </w:tblCellMar>
      </w:tblPr>
      <w:tr>
        <w:trPr>
          <w:trHeight w:val="161"/>
        </w:trPr>
        <w:tc>
          <w:tcPr>
            <w:tcW w:w="5020" w:type="dxa"/>
            <w:vAlign w:val="bottom"/>
          </w:tcPr>
          <w:p>
            <w:pPr>
              <w:spacing w:after="0" w:line="161" w:lineRule="exact"/>
              <w:rPr>
                <w:sz w:val="20"/>
                <w:szCs w:val="20"/>
                <w:color w:val="auto"/>
              </w:rPr>
            </w:pPr>
            <w:r>
              <w:rPr>
                <w:rFonts w:ascii="Arial" w:cs="Arial" w:eastAsia="Arial" w:hAnsi="Arial"/>
                <w:sz w:val="16"/>
                <w:szCs w:val="16"/>
                <w:b w:val="1"/>
                <w:bCs w:val="1"/>
                <w:color w:val="auto"/>
              </w:rPr>
              <w:t>Cost</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line="175" w:lineRule="exact"/>
              <w:rPr>
                <w:sz w:val="20"/>
                <w:szCs w:val="20"/>
                <w:color w:val="auto"/>
              </w:rPr>
            </w:pPr>
            <w:r>
              <w:rPr>
                <w:rFonts w:ascii="Arial" w:cs="Arial" w:eastAsia="Arial" w:hAnsi="Arial"/>
                <w:sz w:val="16"/>
                <w:szCs w:val="16"/>
                <w:color w:val="auto"/>
              </w:rPr>
              <w:t>Balance at January 1</w:t>
            </w:r>
          </w:p>
        </w:tc>
        <w:tc>
          <w:tcPr>
            <w:tcW w:w="10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342,617</w:t>
            </w:r>
          </w:p>
        </w:tc>
        <w:tc>
          <w:tcPr>
            <w:tcW w:w="160" w:type="dxa"/>
            <w:vAlign w:val="bottom"/>
          </w:tcPr>
          <w:p>
            <w:pPr>
              <w:spacing w:after="0"/>
              <w:rPr>
                <w:sz w:val="15"/>
                <w:szCs w:val="15"/>
                <w:color w:val="auto"/>
              </w:rPr>
            </w:pPr>
          </w:p>
        </w:tc>
        <w:tc>
          <w:tcPr>
            <w:tcW w:w="122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297,076</w:t>
            </w:r>
          </w:p>
        </w:tc>
        <w:tc>
          <w:tcPr>
            <w:tcW w:w="124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639,693</w:t>
            </w:r>
          </w:p>
        </w:tc>
        <w:tc>
          <w:tcPr>
            <w:tcW w:w="11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613,319</w:t>
            </w:r>
          </w:p>
        </w:tc>
        <w:tc>
          <w:tcPr>
            <w:tcW w:w="0" w:type="dxa"/>
            <w:vAlign w:val="bottom"/>
          </w:tcPr>
          <w:p>
            <w:pPr>
              <w:spacing w:after="0"/>
              <w:rPr>
                <w:sz w:val="1"/>
                <w:szCs w:val="1"/>
                <w:color w:val="auto"/>
              </w:rPr>
            </w:pPr>
          </w:p>
        </w:tc>
      </w:tr>
      <w:tr>
        <w:trPr>
          <w:trHeight w:val="175"/>
        </w:trPr>
        <w:tc>
          <w:tcPr>
            <w:tcW w:w="5020" w:type="dxa"/>
            <w:vAlign w:val="bottom"/>
          </w:tcPr>
          <w:p>
            <w:pPr>
              <w:spacing w:after="0" w:line="175" w:lineRule="exact"/>
              <w:rPr>
                <w:sz w:val="20"/>
                <w:szCs w:val="20"/>
                <w:color w:val="auto"/>
              </w:rPr>
            </w:pPr>
            <w:r>
              <w:rPr>
                <w:rFonts w:ascii="Arial" w:cs="Arial" w:eastAsia="Arial" w:hAnsi="Arial"/>
                <w:sz w:val="16"/>
                <w:szCs w:val="16"/>
                <w:color w:val="auto"/>
              </w:rPr>
              <w:t>Additions (i)</w:t>
            </w:r>
          </w:p>
        </w:tc>
        <w:tc>
          <w:tcPr>
            <w:tcW w:w="12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29,013</w:t>
            </w:r>
          </w:p>
        </w:tc>
        <w:tc>
          <w:tcPr>
            <w:tcW w:w="122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41,386</w:t>
            </w:r>
          </w:p>
        </w:tc>
        <w:tc>
          <w:tcPr>
            <w:tcW w:w="124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70,399</w:t>
            </w:r>
          </w:p>
        </w:tc>
        <w:tc>
          <w:tcPr>
            <w:tcW w:w="11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25,034</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Arial" w:cs="Arial" w:eastAsia="Arial" w:hAnsi="Arial"/>
                <w:sz w:val="16"/>
                <w:szCs w:val="16"/>
                <w:color w:val="auto"/>
              </w:rPr>
              <w:t>Disposals and others</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(2,197)</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(2,156)</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167"/>
        </w:trPr>
        <w:tc>
          <w:tcPr>
            <w:tcW w:w="5020" w:type="dxa"/>
            <w:vAlign w:val="bottom"/>
          </w:tcPr>
          <w:p>
            <w:pPr>
              <w:spacing w:after="0" w:line="167" w:lineRule="exact"/>
              <w:rPr>
                <w:sz w:val="20"/>
                <w:szCs w:val="20"/>
                <w:color w:val="auto"/>
              </w:rPr>
            </w:pPr>
            <w:r>
              <w:rPr>
                <w:rFonts w:ascii="Arial" w:cs="Arial" w:eastAsia="Arial" w:hAnsi="Arial"/>
                <w:sz w:val="16"/>
                <w:szCs w:val="16"/>
                <w:b w:val="1"/>
                <w:bCs w:val="1"/>
                <w:color w:val="auto"/>
              </w:rPr>
              <w:t>Balance as of December 31</w:t>
            </w:r>
          </w:p>
        </w:tc>
        <w:tc>
          <w:tcPr>
            <w:tcW w:w="106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371,671</w:t>
            </w:r>
          </w:p>
        </w:tc>
        <w:tc>
          <w:tcPr>
            <w:tcW w:w="160" w:type="dxa"/>
            <w:vAlign w:val="bottom"/>
          </w:tcPr>
          <w:p>
            <w:pPr>
              <w:spacing w:after="0"/>
              <w:rPr>
                <w:sz w:val="14"/>
                <w:szCs w:val="14"/>
                <w:color w:val="auto"/>
              </w:rPr>
            </w:pPr>
          </w:p>
        </w:tc>
        <w:tc>
          <w:tcPr>
            <w:tcW w:w="10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336,265</w:t>
            </w:r>
          </w:p>
        </w:tc>
        <w:tc>
          <w:tcPr>
            <w:tcW w:w="180" w:type="dxa"/>
            <w:vAlign w:val="bottom"/>
          </w:tcPr>
          <w:p>
            <w:pPr>
              <w:spacing w:after="0"/>
              <w:rPr>
                <w:sz w:val="14"/>
                <w:szCs w:val="14"/>
                <w:color w:val="auto"/>
              </w:rPr>
            </w:pPr>
          </w:p>
        </w:tc>
        <w:tc>
          <w:tcPr>
            <w:tcW w:w="10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707,936</w:t>
            </w:r>
          </w:p>
        </w:tc>
        <w:tc>
          <w:tcPr>
            <w:tcW w:w="180" w:type="dxa"/>
            <w:vAlign w:val="bottom"/>
          </w:tcPr>
          <w:p>
            <w:pPr>
              <w:spacing w:after="0"/>
              <w:rPr>
                <w:sz w:val="14"/>
                <w:szCs w:val="14"/>
                <w:color w:val="auto"/>
              </w:rPr>
            </w:pPr>
          </w:p>
        </w:tc>
        <w:tc>
          <w:tcPr>
            <w:tcW w:w="108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639,693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5020" w:type="dxa"/>
            <w:vAlign w:val="bottom"/>
          </w:tcPr>
          <w:p>
            <w:pPr>
              <w:spacing w:after="0"/>
              <w:rPr>
                <w:sz w:val="20"/>
                <w:szCs w:val="20"/>
                <w:color w:val="auto"/>
              </w:rPr>
            </w:pPr>
            <w:r>
              <w:rPr>
                <w:rFonts w:ascii="Arial" w:cs="Arial" w:eastAsia="Arial" w:hAnsi="Arial"/>
                <w:sz w:val="16"/>
                <w:szCs w:val="16"/>
                <w:b w:val="1"/>
                <w:bCs w:val="1"/>
                <w:color w:val="auto"/>
              </w:rPr>
              <w:t>Accumulated depreciation</w:t>
            </w: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line="175" w:lineRule="exact"/>
              <w:rPr>
                <w:sz w:val="20"/>
                <w:szCs w:val="20"/>
                <w:color w:val="auto"/>
              </w:rPr>
            </w:pPr>
            <w:r>
              <w:rPr>
                <w:rFonts w:ascii="Arial" w:cs="Arial" w:eastAsia="Arial" w:hAnsi="Arial"/>
                <w:sz w:val="16"/>
                <w:szCs w:val="16"/>
                <w:color w:val="auto"/>
              </w:rPr>
              <w:t>Balance at January 1</w:t>
            </w:r>
          </w:p>
        </w:tc>
        <w:tc>
          <w:tcPr>
            <w:tcW w:w="12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73,009</w:t>
            </w:r>
          </w:p>
        </w:tc>
        <w:tc>
          <w:tcPr>
            <w:tcW w:w="124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73,009</w:t>
            </w:r>
          </w:p>
        </w:tc>
        <w:tc>
          <w:tcPr>
            <w:tcW w:w="11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63,351</w:t>
            </w:r>
          </w:p>
        </w:tc>
        <w:tc>
          <w:tcPr>
            <w:tcW w:w="0" w:type="dxa"/>
            <w:vAlign w:val="bottom"/>
          </w:tcPr>
          <w:p>
            <w:pPr>
              <w:spacing w:after="0"/>
              <w:rPr>
                <w:sz w:val="1"/>
                <w:szCs w:val="1"/>
                <w:color w:val="auto"/>
              </w:rPr>
            </w:pPr>
          </w:p>
        </w:tc>
      </w:tr>
      <w:tr>
        <w:trPr>
          <w:trHeight w:val="175"/>
        </w:trPr>
        <w:tc>
          <w:tcPr>
            <w:tcW w:w="5020" w:type="dxa"/>
            <w:vAlign w:val="bottom"/>
          </w:tcPr>
          <w:p>
            <w:pPr>
              <w:spacing w:after="0" w:line="175" w:lineRule="exact"/>
              <w:rPr>
                <w:sz w:val="20"/>
                <w:szCs w:val="20"/>
                <w:color w:val="auto"/>
              </w:rPr>
            </w:pPr>
            <w:r>
              <w:rPr>
                <w:rFonts w:ascii="Arial" w:cs="Arial" w:eastAsia="Arial" w:hAnsi="Arial"/>
                <w:sz w:val="16"/>
                <w:szCs w:val="16"/>
                <w:color w:val="auto"/>
              </w:rPr>
              <w:t>Depreciation for the period</w:t>
            </w:r>
          </w:p>
        </w:tc>
        <w:tc>
          <w:tcPr>
            <w:tcW w:w="12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9,098</w:t>
            </w:r>
          </w:p>
        </w:tc>
        <w:tc>
          <w:tcPr>
            <w:tcW w:w="124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9,098</w:t>
            </w:r>
          </w:p>
        </w:tc>
        <w:tc>
          <w:tcPr>
            <w:tcW w:w="11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8,115</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Arial" w:cs="Arial" w:eastAsia="Arial" w:hAnsi="Arial"/>
                <w:sz w:val="16"/>
                <w:szCs w:val="16"/>
                <w:color w:val="auto"/>
              </w:rPr>
              <w:t>Disposals and others</w:t>
            </w: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(403)</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(403)</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167"/>
        </w:trPr>
        <w:tc>
          <w:tcPr>
            <w:tcW w:w="5020" w:type="dxa"/>
            <w:vAlign w:val="bottom"/>
          </w:tcPr>
          <w:p>
            <w:pPr>
              <w:spacing w:after="0" w:line="167" w:lineRule="exact"/>
              <w:rPr>
                <w:sz w:val="20"/>
                <w:szCs w:val="20"/>
                <w:color w:val="auto"/>
              </w:rPr>
            </w:pPr>
            <w:r>
              <w:rPr>
                <w:rFonts w:ascii="Arial" w:cs="Arial" w:eastAsia="Arial" w:hAnsi="Arial"/>
                <w:sz w:val="16"/>
                <w:szCs w:val="16"/>
                <w:b w:val="1"/>
                <w:bCs w:val="1"/>
                <w:color w:val="auto"/>
              </w:rPr>
              <w:t>Balance as of December 31</w:t>
            </w:r>
          </w:p>
        </w:tc>
        <w:tc>
          <w:tcPr>
            <w:tcW w:w="106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81,704</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81,704</w:t>
            </w:r>
          </w:p>
        </w:tc>
        <w:tc>
          <w:tcPr>
            <w:tcW w:w="1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73,009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20" w:type="dxa"/>
            <w:vAlign w:val="bottom"/>
            <w:vMerge w:val="restart"/>
          </w:tcPr>
          <w:p>
            <w:pPr>
              <w:spacing w:after="0"/>
              <w:rPr>
                <w:sz w:val="20"/>
                <w:szCs w:val="20"/>
                <w:color w:val="auto"/>
              </w:rPr>
            </w:pPr>
            <w:r>
              <w:rPr>
                <w:rFonts w:ascii="Arial" w:cs="Arial" w:eastAsia="Arial" w:hAnsi="Arial"/>
                <w:sz w:val="16"/>
                <w:szCs w:val="16"/>
                <w:b w:val="1"/>
                <w:bCs w:val="1"/>
                <w:color w:val="auto"/>
              </w:rPr>
              <w:t>Impairment losses (ii)</w:t>
            </w:r>
          </w:p>
        </w:tc>
        <w:tc>
          <w:tcPr>
            <w:tcW w:w="104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vMerge w:val="restart"/>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vMerge w:val="restart"/>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20" w:type="dxa"/>
            <w:vAlign w:val="bottom"/>
            <w:vMerge w:val="continue"/>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689</w:t>
            </w:r>
          </w:p>
        </w:tc>
        <w:tc>
          <w:tcPr>
            <w:tcW w:w="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438</w:t>
            </w:r>
          </w:p>
        </w:tc>
        <w:tc>
          <w:tcPr>
            <w:tcW w:w="180" w:type="dxa"/>
            <w:vAlign w:val="bottom"/>
            <w:vMerge w:val="continue"/>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1,127</w:t>
            </w:r>
          </w:p>
        </w:tc>
        <w:tc>
          <w:tcPr>
            <w:tcW w:w="180" w:type="dxa"/>
            <w:vAlign w:val="bottom"/>
            <w:vMerge w:val="continue"/>
          </w:tcPr>
          <w:p>
            <w:pPr>
              <w:spacing w:after="0"/>
              <w:rPr>
                <w:sz w:val="14"/>
                <w:szCs w:val="14"/>
                <w:color w:val="auto"/>
              </w:rPr>
            </w:pPr>
          </w:p>
        </w:tc>
        <w:tc>
          <w:tcPr>
            <w:tcW w:w="10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1,410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20" w:type="dxa"/>
            <w:vAlign w:val="bottom"/>
            <w:vMerge w:val="restart"/>
          </w:tcPr>
          <w:p>
            <w:pPr>
              <w:spacing w:after="0"/>
              <w:rPr>
                <w:sz w:val="20"/>
                <w:szCs w:val="20"/>
                <w:color w:val="auto"/>
              </w:rPr>
            </w:pPr>
            <w:r>
              <w:rPr>
                <w:rFonts w:ascii="Arial" w:cs="Arial" w:eastAsia="Arial" w:hAnsi="Arial"/>
                <w:sz w:val="16"/>
                <w:szCs w:val="16"/>
                <w:b w:val="1"/>
                <w:bCs w:val="1"/>
                <w:color w:val="auto"/>
              </w:rPr>
              <w:t>Net carrying amount</w:t>
            </w:r>
          </w:p>
        </w:tc>
        <w:tc>
          <w:tcPr>
            <w:tcW w:w="104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vMerge w:val="restart"/>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vMerge w:val="restart"/>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370,982</w:t>
            </w:r>
          </w:p>
        </w:tc>
        <w:tc>
          <w:tcPr>
            <w:tcW w:w="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254,123</w:t>
            </w:r>
          </w:p>
        </w:tc>
        <w:tc>
          <w:tcPr>
            <w:tcW w:w="180" w:type="dxa"/>
            <w:vAlign w:val="bottom"/>
            <w:vMerge w:val="continue"/>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625,105</w:t>
            </w:r>
          </w:p>
        </w:tc>
        <w:tc>
          <w:tcPr>
            <w:tcW w:w="180" w:type="dxa"/>
            <w:vAlign w:val="bottom"/>
            <w:vMerge w:val="continue"/>
          </w:tcPr>
          <w:p>
            <w:pPr>
              <w:spacing w:after="0"/>
              <w:rPr>
                <w:sz w:val="14"/>
                <w:szCs w:val="14"/>
                <w:color w:val="auto"/>
              </w:rPr>
            </w:pPr>
          </w:p>
        </w:tc>
        <w:tc>
          <w:tcPr>
            <w:tcW w:w="10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565,274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86"/>
        <w:spacing w:after="0"/>
        <w:rPr>
          <w:sz w:val="20"/>
          <w:szCs w:val="20"/>
          <w:color w:val="auto"/>
        </w:rPr>
      </w:pPr>
      <w:r>
        <w:rPr>
          <w:rFonts w:ascii="Arial" w:cs="Arial" w:eastAsia="Arial" w:hAnsi="Arial"/>
          <w:sz w:val="16"/>
          <w:szCs w:val="16"/>
          <w:color w:val="auto"/>
        </w:rPr>
        <w:t>Land and buildings are mainly used for office rental, which are free of all encumbrances.</w:t>
      </w:r>
    </w:p>
    <w:p>
      <w:pPr>
        <w:spacing w:after="0" w:line="166" w:lineRule="exact"/>
        <w:rPr>
          <w:sz w:val="20"/>
          <w:szCs w:val="20"/>
          <w:color w:val="auto"/>
        </w:rPr>
      </w:pPr>
    </w:p>
    <w:p>
      <w:pPr>
        <w:ind w:left="566" w:right="300" w:hanging="286"/>
        <w:spacing w:after="0" w:line="255" w:lineRule="auto"/>
        <w:tabs>
          <w:tab w:leader="none" w:pos="56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 of December 31, 2024, the Group has made disbursements for the acquisition of land and real estate for S/70.4 million. As of December 31, 2023, the Group has made disbursements for the acquisition of land and real state for S/25.0 million.</w:t>
      </w:r>
    </w:p>
    <w:p>
      <w:pPr>
        <w:spacing w:after="0" w:line="134" w:lineRule="exact"/>
        <w:rPr>
          <w:rFonts w:ascii="Arial" w:cs="Arial" w:eastAsia="Arial" w:hAnsi="Arial"/>
          <w:sz w:val="16"/>
          <w:szCs w:val="16"/>
          <w:color w:val="auto"/>
        </w:rPr>
      </w:pPr>
    </w:p>
    <w:p>
      <w:pPr>
        <w:ind w:left="566" w:hanging="286"/>
        <w:spacing w:after="0"/>
        <w:tabs>
          <w:tab w:leader="none" w:pos="56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Group’s Management has determined that the recoverable value of its investment properties is greater than their net carrying amount.</w:t>
      </w:r>
    </w:p>
    <w:p>
      <w:pPr>
        <w:spacing w:after="0" w:line="325" w:lineRule="exact"/>
        <w:rPr>
          <w:sz w:val="20"/>
          <w:szCs w:val="20"/>
          <w:color w:val="auto"/>
        </w:rPr>
      </w:pPr>
    </w:p>
    <w:p>
      <w:pPr>
        <w:jc w:val="center"/>
        <w:ind w:right="534"/>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89" w:name="page90"/>
    <w:bookmarkEnd w:id="89"/>
    <w:p>
      <w:pPr>
        <w:ind w:left="566" w:right="640"/>
        <w:spacing w:after="0" w:line="257" w:lineRule="auto"/>
        <w:rPr>
          <w:sz w:val="20"/>
          <w:szCs w:val="20"/>
          <w:color w:val="auto"/>
        </w:rPr>
      </w:pPr>
      <w:r>
        <w:rPr>
          <w:rFonts w:ascii="Arial" w:cs="Arial" w:eastAsia="Arial" w:hAnsi="Arial"/>
          <w:sz w:val="16"/>
          <w:szCs w:val="16"/>
          <w:color w:val="auto"/>
        </w:rPr>
        <w:t>As of December 31, 2024 and 2023, the market value of the properties amounts to approximately S/1,235.1 million and S/1,235.2 million, respectively; which was determined through a valuation made by an independent appraiser.</w:t>
      </w:r>
    </w:p>
    <w:p>
      <w:pPr>
        <w:spacing w:after="0" w:line="132" w:lineRule="exact"/>
        <w:rPr>
          <w:sz w:val="20"/>
          <w:szCs w:val="20"/>
          <w:color w:val="auto"/>
        </w:rPr>
      </w:pPr>
    </w:p>
    <w:p>
      <w:pPr>
        <w:ind w:left="286" w:right="140" w:hanging="286"/>
        <w:spacing w:after="0" w:line="238" w:lineRule="auto"/>
        <w:tabs>
          <w:tab w:leader="none" w:pos="28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As of December 31, 2024 and 2023, the balance corresponds mainly to accounts payable to suppliers, accounts payable to investment clients in the stock market, accounts payable to policyholders, accounts payable to intermediaries, accounts payable for premiums to the deposit insurance fund, dividends payable to minor shareholders, accounts payable for sale of foreign currency, interbank transactions to be settled with the BCRP, among others.</w:t>
      </w:r>
    </w:p>
    <w:p>
      <w:pPr>
        <w:spacing w:after="0" w:line="145" w:lineRule="exact"/>
        <w:rPr>
          <w:rFonts w:ascii="Arial" w:cs="Arial" w:eastAsia="Arial" w:hAnsi="Arial"/>
          <w:sz w:val="16"/>
          <w:szCs w:val="16"/>
          <w:color w:val="auto"/>
        </w:rPr>
      </w:pPr>
    </w:p>
    <w:p>
      <w:pPr>
        <w:ind w:left="286" w:hanging="286"/>
        <w:spacing w:after="0"/>
        <w:tabs>
          <w:tab w:leader="none" w:pos="28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movement of the provision for sundry risks for the years ended December 31, 2024, 2023 and 2022 was as follows:</w:t>
      </w:r>
    </w:p>
    <w:p>
      <w:pPr>
        <w:spacing w:after="0" w:line="164" w:lineRule="exact"/>
        <w:rPr>
          <w:sz w:val="20"/>
          <w:szCs w:val="20"/>
          <w:color w:val="auto"/>
        </w:rPr>
      </w:pPr>
    </w:p>
    <w:tbl>
      <w:tblPr>
        <w:tblLayout w:type="fixed"/>
        <w:tblInd w:w="286"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6"/>
                <w:szCs w:val="16"/>
                <w:color w:val="auto"/>
              </w:rPr>
            </w:pPr>
          </w:p>
        </w:tc>
        <w:tc>
          <w:tcPr>
            <w:tcW w:w="1140" w:type="dxa"/>
            <w:vAlign w:val="bottom"/>
            <w:gridSpan w:val="2"/>
          </w:tcPr>
          <w:p>
            <w:pPr>
              <w:jc w:val="right"/>
              <w:ind w:right="64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r>
      <w:tr>
        <w:trPr>
          <w:trHeight w:val="206"/>
        </w:trPr>
        <w:tc>
          <w:tcPr>
            <w:tcW w:w="6260" w:type="dxa"/>
            <w:vAlign w:val="bottom"/>
          </w:tcPr>
          <w:p>
            <w:pPr>
              <w:spacing w:after="0"/>
              <w:rPr>
                <w:sz w:val="17"/>
                <w:szCs w:val="17"/>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b w:val="1"/>
                <w:bCs w:val="1"/>
                <w:color w:val="auto"/>
                <w:w w:val="91"/>
              </w:rPr>
              <w:t>S/(000)</w:t>
            </w:r>
          </w:p>
        </w:tc>
        <w:tc>
          <w:tcPr>
            <w:tcW w:w="60" w:type="dxa"/>
            <w:vAlign w:val="bottom"/>
          </w:tcPr>
          <w:p>
            <w:pPr>
              <w:spacing w:after="0"/>
              <w:rPr>
                <w:sz w:val="17"/>
                <w:szCs w:val="17"/>
                <w:color w:val="auto"/>
              </w:rPr>
            </w:pPr>
          </w:p>
        </w:tc>
      </w:tr>
      <w:tr>
        <w:trPr>
          <w:trHeight w:val="296"/>
        </w:trPr>
        <w:tc>
          <w:tcPr>
            <w:tcW w:w="6260" w:type="dxa"/>
            <w:vAlign w:val="bottom"/>
          </w:tcPr>
          <w:p>
            <w:pPr>
              <w:spacing w:after="0"/>
              <w:rPr>
                <w:sz w:val="20"/>
                <w:szCs w:val="20"/>
                <w:color w:val="auto"/>
              </w:rPr>
            </w:pPr>
            <w:r>
              <w:rPr>
                <w:rFonts w:ascii="Arial" w:cs="Arial" w:eastAsia="Arial" w:hAnsi="Arial"/>
                <w:sz w:val="16"/>
                <w:szCs w:val="16"/>
                <w:b w:val="1"/>
                <w:bCs w:val="1"/>
                <w:color w:val="auto"/>
              </w:rPr>
              <w:t>Balance at the beginning of the year</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642,520</w:t>
            </w:r>
          </w:p>
        </w:tc>
        <w:tc>
          <w:tcPr>
            <w:tcW w:w="1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624,149</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614,012</w:t>
            </w:r>
          </w:p>
        </w:tc>
      </w:tr>
      <w:tr>
        <w:trPr>
          <w:trHeight w:val="175"/>
        </w:trPr>
        <w:tc>
          <w:tcPr>
            <w:tcW w:w="6260" w:type="dxa"/>
            <w:vAlign w:val="bottom"/>
          </w:tcPr>
          <w:p>
            <w:pPr>
              <w:spacing w:after="0" w:line="175" w:lineRule="exact"/>
              <w:rPr>
                <w:sz w:val="20"/>
                <w:szCs w:val="20"/>
                <w:color w:val="auto"/>
              </w:rPr>
            </w:pPr>
            <w:r>
              <w:rPr>
                <w:rFonts w:ascii="Arial" w:cs="Arial" w:eastAsia="Arial" w:hAnsi="Arial"/>
                <w:sz w:val="16"/>
                <w:szCs w:val="16"/>
                <w:color w:val="auto"/>
              </w:rPr>
              <w:t>Provision, Note 25</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315,214</w:t>
            </w:r>
          </w:p>
        </w:tc>
        <w:tc>
          <w:tcPr>
            <w:tcW w:w="18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95,873</w:t>
            </w:r>
          </w:p>
        </w:tc>
        <w:tc>
          <w:tcPr>
            <w:tcW w:w="12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43,846</w:t>
            </w:r>
          </w:p>
        </w:tc>
      </w:tr>
      <w:tr>
        <w:trPr>
          <w:trHeight w:val="190"/>
        </w:trPr>
        <w:tc>
          <w:tcPr>
            <w:tcW w:w="6260" w:type="dxa"/>
            <w:vAlign w:val="bottom"/>
          </w:tcPr>
          <w:p>
            <w:pPr>
              <w:spacing w:after="0"/>
              <w:rPr>
                <w:sz w:val="20"/>
                <w:szCs w:val="20"/>
                <w:color w:val="auto"/>
              </w:rPr>
            </w:pPr>
            <w:r>
              <w:rPr>
                <w:rFonts w:ascii="Arial" w:cs="Arial" w:eastAsia="Arial" w:hAnsi="Arial"/>
                <w:sz w:val="16"/>
                <w:szCs w:val="16"/>
                <w:color w:val="auto"/>
              </w:rPr>
              <w:t>(Decrease), net</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(310,995)</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(77,502)</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(33,709)</w:t>
            </w:r>
          </w:p>
        </w:tc>
      </w:tr>
      <w:tr>
        <w:trPr>
          <w:trHeight w:val="170"/>
        </w:trPr>
        <w:tc>
          <w:tcPr>
            <w:tcW w:w="6260" w:type="dxa"/>
            <w:vAlign w:val="bottom"/>
          </w:tcPr>
          <w:p>
            <w:pPr>
              <w:spacing w:after="0" w:line="167" w:lineRule="exact"/>
              <w:rPr>
                <w:sz w:val="20"/>
                <w:szCs w:val="20"/>
                <w:color w:val="auto"/>
              </w:rPr>
            </w:pPr>
            <w:r>
              <w:rPr>
                <w:rFonts w:ascii="Arial" w:cs="Arial" w:eastAsia="Arial" w:hAnsi="Arial"/>
                <w:sz w:val="16"/>
                <w:szCs w:val="16"/>
                <w:b w:val="1"/>
                <w:bCs w:val="1"/>
                <w:color w:val="auto"/>
              </w:rPr>
              <w:t>Balances at the end of the year</w:t>
            </w:r>
          </w:p>
        </w:tc>
        <w:tc>
          <w:tcPr>
            <w:tcW w:w="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646,739</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642,520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624,149</w:t>
            </w:r>
          </w:p>
        </w:tc>
        <w:tc>
          <w:tcPr>
            <w:tcW w:w="60" w:type="dxa"/>
            <w:vAlign w:val="bottom"/>
          </w:tcPr>
          <w:p>
            <w:pPr>
              <w:spacing w:after="0"/>
              <w:rPr>
                <w:sz w:val="14"/>
                <w:szCs w:val="14"/>
                <w:color w:val="auto"/>
              </w:rPr>
            </w:pPr>
          </w:p>
        </w:tc>
      </w:tr>
    </w:tbl>
    <w:p>
      <w:pPr>
        <w:spacing w:after="0" w:line="160" w:lineRule="exact"/>
        <w:rPr>
          <w:sz w:val="20"/>
          <w:szCs w:val="20"/>
          <w:color w:val="auto"/>
        </w:rPr>
      </w:pPr>
    </w:p>
    <w:p>
      <w:pPr>
        <w:ind w:left="286"/>
        <w:spacing w:after="0" w:line="282" w:lineRule="auto"/>
        <w:rPr>
          <w:sz w:val="20"/>
          <w:szCs w:val="20"/>
          <w:color w:val="auto"/>
        </w:rPr>
      </w:pPr>
      <w:r>
        <w:rPr>
          <w:rFonts w:ascii="Arial" w:cs="Arial" w:eastAsia="Arial" w:hAnsi="Arial"/>
          <w:sz w:val="14"/>
          <w:szCs w:val="14"/>
          <w:color w:val="auto"/>
        </w:rPr>
        <w:t>Because of the nature of its business, the Group has various pending lawsuits, which provisions are recorded when, in Management's and its in-house legal advisors opinion, it is likely that these may result in an additional liability and such amount can be reliably estimated. Regarding lawsuits against the Group which have not been recorded as a provision, in Management’s and its in-house legal advisors opinion, they will not result in an additional liability other than those recorded previously and they will not have a material effect on the Group’s consolidated financial statements.</w:t>
      </w:r>
    </w:p>
    <w:p>
      <w:pPr>
        <w:spacing w:after="0" w:line="277" w:lineRule="exact"/>
        <w:rPr>
          <w:sz w:val="20"/>
          <w:szCs w:val="20"/>
          <w:color w:val="auto"/>
        </w:rPr>
      </w:pPr>
    </w:p>
    <w:p>
      <w:pPr>
        <w:jc w:val="center"/>
        <w:ind w:right="454"/>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606"/>
          </w:cols>
          <w:pgMar w:left="874" w:top="124" w:right="419" w:bottom="1440" w:gutter="0" w:footer="0" w:header="0"/>
        </w:sectPr>
      </w:pPr>
    </w:p>
    <w:bookmarkStart w:id="90" w:name="page91"/>
    <w:bookmarkEnd w:id="90"/>
    <w:p>
      <w:pPr>
        <w:ind w:left="567" w:hanging="567"/>
        <w:spacing w:after="0"/>
        <w:tabs>
          <w:tab w:leader="none" w:pos="567"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DEPOSITS AND OBLIGATIONS</w:t>
      </w:r>
    </w:p>
    <w:p>
      <w:pPr>
        <w:spacing w:after="0" w:line="167" w:lineRule="exact"/>
        <w:rPr>
          <w:rFonts w:ascii="Arial" w:cs="Arial" w:eastAsia="Arial" w:hAnsi="Arial"/>
          <w:sz w:val="16"/>
          <w:szCs w:val="16"/>
          <w:b w:val="1"/>
          <w:bCs w:val="1"/>
          <w:color w:val="auto"/>
        </w:rPr>
      </w:pPr>
    </w:p>
    <w:p>
      <w:pPr>
        <w:ind w:left="847" w:hanging="286"/>
        <w:spacing w:after="0"/>
        <w:tabs>
          <w:tab w:leader="none" w:pos="84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64" w:lineRule="exact"/>
        <w:rPr>
          <w:sz w:val="20"/>
          <w:szCs w:val="20"/>
          <w:color w:val="auto"/>
        </w:rPr>
      </w:pPr>
    </w:p>
    <w:tbl>
      <w:tblPr>
        <w:tblLayout w:type="fixed"/>
        <w:tblInd w:w="847"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r>
      <w:tr>
        <w:trPr>
          <w:trHeight w:val="206"/>
        </w:trPr>
        <w:tc>
          <w:tcPr>
            <w:tcW w:w="750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7500" w:type="dxa"/>
            <w:vAlign w:val="bottom"/>
          </w:tcPr>
          <w:p>
            <w:pPr>
              <w:spacing w:after="0"/>
              <w:rPr>
                <w:sz w:val="20"/>
                <w:szCs w:val="20"/>
                <w:color w:val="auto"/>
              </w:rPr>
            </w:pPr>
            <w:r>
              <w:rPr>
                <w:rFonts w:ascii="Arial" w:cs="Arial" w:eastAsia="Arial" w:hAnsi="Arial"/>
                <w:sz w:val="16"/>
                <w:szCs w:val="16"/>
                <w:color w:val="auto"/>
              </w:rPr>
              <w:t>Saving deposits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59,757,825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52,375,813</w:t>
            </w:r>
          </w:p>
        </w:tc>
        <w:tc>
          <w:tcPr>
            <w:tcW w:w="20" w:type="dxa"/>
            <w:vAlign w:val="bottom"/>
          </w:tcPr>
          <w:p>
            <w:pPr>
              <w:spacing w:after="0"/>
              <w:rPr>
                <w:sz w:val="24"/>
                <w:szCs w:val="24"/>
                <w:color w:val="auto"/>
              </w:rPr>
            </w:pPr>
          </w:p>
        </w:tc>
      </w:tr>
      <w:tr>
        <w:trPr>
          <w:trHeight w:val="175"/>
        </w:trPr>
        <w:tc>
          <w:tcPr>
            <w:tcW w:w="7500" w:type="dxa"/>
            <w:vAlign w:val="bottom"/>
          </w:tcPr>
          <w:p>
            <w:pPr>
              <w:spacing w:after="0" w:line="175" w:lineRule="exact"/>
              <w:rPr>
                <w:sz w:val="20"/>
                <w:szCs w:val="20"/>
                <w:color w:val="auto"/>
              </w:rPr>
            </w:pPr>
            <w:r>
              <w:rPr>
                <w:rFonts w:ascii="Arial" w:cs="Arial" w:eastAsia="Arial" w:hAnsi="Arial"/>
                <w:sz w:val="16"/>
                <w:szCs w:val="16"/>
                <w:color w:val="auto"/>
              </w:rPr>
              <w:t>Demand deposits</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52,590,952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48,229,323</w:t>
            </w:r>
          </w:p>
        </w:tc>
        <w:tc>
          <w:tcPr>
            <w:tcW w:w="20" w:type="dxa"/>
            <w:vAlign w:val="bottom"/>
          </w:tcPr>
          <w:p>
            <w:pPr>
              <w:spacing w:after="0"/>
              <w:rPr>
                <w:sz w:val="15"/>
                <w:szCs w:val="15"/>
                <w:color w:val="auto"/>
              </w:rPr>
            </w:pPr>
          </w:p>
        </w:tc>
      </w:tr>
      <w:tr>
        <w:trPr>
          <w:trHeight w:val="175"/>
        </w:trPr>
        <w:tc>
          <w:tcPr>
            <w:tcW w:w="7500" w:type="dxa"/>
            <w:vAlign w:val="bottom"/>
          </w:tcPr>
          <w:p>
            <w:pPr>
              <w:spacing w:after="0" w:line="175" w:lineRule="exact"/>
              <w:rPr>
                <w:sz w:val="20"/>
                <w:szCs w:val="20"/>
                <w:color w:val="auto"/>
              </w:rPr>
            </w:pPr>
            <w:r>
              <w:rPr>
                <w:rFonts w:ascii="Arial" w:cs="Arial" w:eastAsia="Arial" w:hAnsi="Arial"/>
                <w:sz w:val="16"/>
                <w:szCs w:val="16"/>
                <w:color w:val="auto"/>
              </w:rPr>
              <w:t>Time deposits (c)</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44,116,438</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41,290,011</w:t>
            </w:r>
          </w:p>
        </w:tc>
      </w:tr>
      <w:tr>
        <w:trPr>
          <w:trHeight w:val="175"/>
        </w:trPr>
        <w:tc>
          <w:tcPr>
            <w:tcW w:w="7500" w:type="dxa"/>
            <w:vAlign w:val="bottom"/>
          </w:tcPr>
          <w:p>
            <w:pPr>
              <w:spacing w:after="0" w:line="175" w:lineRule="exact"/>
              <w:rPr>
                <w:sz w:val="20"/>
                <w:szCs w:val="20"/>
                <w:color w:val="auto"/>
              </w:rPr>
            </w:pPr>
            <w:r>
              <w:rPr>
                <w:rFonts w:ascii="Arial" w:cs="Arial" w:eastAsia="Arial" w:hAnsi="Arial"/>
                <w:sz w:val="16"/>
                <w:szCs w:val="16"/>
                <w:color w:val="auto"/>
              </w:rPr>
              <w:t>Severance indemnity deposits</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2,996,020</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3,185,603</w:t>
            </w:r>
          </w:p>
        </w:tc>
      </w:tr>
      <w:tr>
        <w:trPr>
          <w:trHeight w:val="190"/>
        </w:trPr>
        <w:tc>
          <w:tcPr>
            <w:tcW w:w="7500" w:type="dxa"/>
            <w:vAlign w:val="bottom"/>
          </w:tcPr>
          <w:p>
            <w:pPr>
              <w:spacing w:after="0"/>
              <w:rPr>
                <w:sz w:val="20"/>
                <w:szCs w:val="20"/>
                <w:color w:val="auto"/>
              </w:rPr>
            </w:pPr>
            <w:r>
              <w:rPr>
                <w:rFonts w:ascii="Arial" w:cs="Arial" w:eastAsia="Arial" w:hAnsi="Arial"/>
                <w:sz w:val="16"/>
                <w:szCs w:val="16"/>
                <w:color w:val="auto"/>
              </w:rPr>
              <w:t>Bank’s negotiable certificates</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1,101,347</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1,194,653</w:t>
            </w:r>
          </w:p>
        </w:tc>
      </w:tr>
      <w:tr>
        <w:trPr>
          <w:trHeight w:val="152"/>
        </w:trPr>
        <w:tc>
          <w:tcPr>
            <w:tcW w:w="7500" w:type="dxa"/>
            <w:vAlign w:val="bottom"/>
          </w:tcPr>
          <w:p>
            <w:pPr>
              <w:spacing w:after="0" w:line="152"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20"/>
              <w:spacing w:after="0" w:line="152" w:lineRule="exact"/>
              <w:rPr>
                <w:sz w:val="20"/>
                <w:szCs w:val="20"/>
                <w:color w:val="auto"/>
              </w:rPr>
            </w:pPr>
            <w:r>
              <w:rPr>
                <w:rFonts w:ascii="Arial" w:cs="Arial" w:eastAsia="Arial" w:hAnsi="Arial"/>
                <w:sz w:val="16"/>
                <w:szCs w:val="16"/>
                <w:color w:val="auto"/>
              </w:rPr>
              <w:t>160,562,582</w:t>
            </w:r>
          </w:p>
        </w:tc>
        <w:tc>
          <w:tcPr>
            <w:tcW w:w="16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146,275,403</w:t>
            </w:r>
          </w:p>
        </w:tc>
        <w:tc>
          <w:tcPr>
            <w:tcW w:w="20" w:type="dxa"/>
            <w:vAlign w:val="bottom"/>
          </w:tcPr>
          <w:p>
            <w:pPr>
              <w:spacing w:after="0"/>
              <w:rPr>
                <w:sz w:val="13"/>
                <w:szCs w:val="13"/>
                <w:color w:val="auto"/>
              </w:rPr>
            </w:pPr>
          </w:p>
        </w:tc>
      </w:tr>
      <w:tr>
        <w:trPr>
          <w:trHeight w:val="190"/>
        </w:trPr>
        <w:tc>
          <w:tcPr>
            <w:tcW w:w="7500" w:type="dxa"/>
            <w:vAlign w:val="bottom"/>
          </w:tcPr>
          <w:p>
            <w:pPr>
              <w:spacing w:after="0"/>
              <w:rPr>
                <w:sz w:val="20"/>
                <w:szCs w:val="20"/>
                <w:color w:val="auto"/>
              </w:rPr>
            </w:pPr>
            <w:r>
              <w:rPr>
                <w:rFonts w:ascii="Arial" w:cs="Arial" w:eastAsia="Arial" w:hAnsi="Arial"/>
                <w:sz w:val="16"/>
                <w:szCs w:val="16"/>
                <w:color w:val="auto"/>
              </w:rPr>
              <w:t>Interest payable</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1,279,484</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1,429,591</w:t>
            </w:r>
          </w:p>
        </w:tc>
      </w:tr>
      <w:tr>
        <w:trPr>
          <w:trHeight w:val="170"/>
        </w:trPr>
        <w:tc>
          <w:tcPr>
            <w:tcW w:w="75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104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161,842,066</w:t>
            </w: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147,704,994</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847" w:right="20"/>
        <w:spacing w:after="0" w:line="241" w:lineRule="auto"/>
        <w:rPr>
          <w:sz w:val="20"/>
          <w:szCs w:val="20"/>
          <w:color w:val="auto"/>
        </w:rPr>
      </w:pPr>
      <w:r>
        <w:rPr>
          <w:rFonts w:ascii="Arial" w:cs="Arial" w:eastAsia="Arial" w:hAnsi="Arial"/>
          <w:sz w:val="16"/>
          <w:szCs w:val="16"/>
          <w:color w:val="auto"/>
        </w:rPr>
        <w:t>The Group has established a policy to remunerate demand deposits and savings accounts according to a growing interest rate scale, based on the average balance maintained in those accounts; on the other hand, according to its policy, balances that are lower than a specified amount for each type of account do not bear interest. Also, time deposits earn interest at market rates.</w:t>
      </w:r>
    </w:p>
    <w:p>
      <w:pPr>
        <w:spacing w:after="0" w:line="146" w:lineRule="exact"/>
        <w:rPr>
          <w:sz w:val="20"/>
          <w:szCs w:val="20"/>
          <w:color w:val="auto"/>
        </w:rPr>
      </w:pPr>
    </w:p>
    <w:p>
      <w:pPr>
        <w:ind w:left="847"/>
        <w:spacing w:after="0"/>
        <w:rPr>
          <w:sz w:val="20"/>
          <w:szCs w:val="20"/>
          <w:color w:val="auto"/>
        </w:rPr>
      </w:pPr>
      <w:r>
        <w:rPr>
          <w:rFonts w:ascii="Arial" w:cs="Arial" w:eastAsia="Arial" w:hAnsi="Arial"/>
          <w:sz w:val="14"/>
          <w:szCs w:val="14"/>
          <w:color w:val="auto"/>
        </w:rPr>
        <w:t>Interest rates are determined by the Group considering the interest rates prevailing in the market in which each of the Group’s subsidiaries operates.</w:t>
      </w:r>
    </w:p>
    <w:p>
      <w:pPr>
        <w:spacing w:after="0" w:line="189" w:lineRule="exact"/>
        <w:rPr>
          <w:sz w:val="20"/>
          <w:szCs w:val="20"/>
          <w:color w:val="auto"/>
        </w:rPr>
      </w:pPr>
    </w:p>
    <w:p>
      <w:pPr>
        <w:ind w:left="567"/>
        <w:spacing w:after="0"/>
        <w:tabs>
          <w:tab w:leader="none" w:pos="826"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The amounts of non-interest-bearing and interest-bearing deposits and obligations without consider accrued interest are presented below:</w:t>
      </w: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5400" w:type="dxa"/>
            <w:vAlign w:val="bottom"/>
            <w:gridSpan w:val="3"/>
          </w:tcPr>
          <w:p>
            <w:pPr>
              <w:ind w:left="436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6"/>
                <w:szCs w:val="16"/>
                <w:color w:val="auto"/>
              </w:rPr>
            </w:pPr>
          </w:p>
        </w:tc>
      </w:tr>
      <w:tr>
        <w:trPr>
          <w:trHeight w:val="206"/>
        </w:trPr>
        <w:tc>
          <w:tcPr>
            <w:tcW w:w="39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r>
      <w:tr>
        <w:trPr>
          <w:trHeight w:val="296"/>
        </w:trPr>
        <w:tc>
          <w:tcPr>
            <w:tcW w:w="3980" w:type="dxa"/>
            <w:vAlign w:val="bottom"/>
          </w:tcPr>
          <w:p>
            <w:pPr>
              <w:ind w:left="840"/>
              <w:spacing w:after="0"/>
              <w:rPr>
                <w:sz w:val="20"/>
                <w:szCs w:val="20"/>
                <w:color w:val="auto"/>
              </w:rPr>
            </w:pPr>
            <w:r>
              <w:rPr>
                <w:rFonts w:ascii="Arial" w:cs="Arial" w:eastAsia="Arial" w:hAnsi="Arial"/>
                <w:sz w:val="16"/>
                <w:szCs w:val="16"/>
                <w:b w:val="1"/>
                <w:bCs w:val="1"/>
                <w:color w:val="auto"/>
              </w:rPr>
              <w:t>Non-interest-bearing -</w:t>
            </w: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3980" w:type="dxa"/>
            <w:vAlign w:val="bottom"/>
          </w:tcPr>
          <w:p>
            <w:pPr>
              <w:ind w:left="1000"/>
              <w:spacing w:after="0" w:line="175" w:lineRule="exact"/>
              <w:rPr>
                <w:sz w:val="20"/>
                <w:szCs w:val="20"/>
                <w:color w:val="auto"/>
              </w:rPr>
            </w:pPr>
            <w:r>
              <w:rPr>
                <w:rFonts w:ascii="Arial" w:cs="Arial" w:eastAsia="Arial" w:hAnsi="Arial"/>
                <w:sz w:val="16"/>
                <w:szCs w:val="16"/>
                <w:color w:val="auto"/>
              </w:rPr>
              <w:t>In Peru</w:t>
            </w:r>
          </w:p>
        </w:tc>
        <w:tc>
          <w:tcPr>
            <w:tcW w:w="540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42,057,905</w:t>
            </w:r>
          </w:p>
        </w:tc>
        <w:tc>
          <w:tcPr>
            <w:tcW w:w="1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37,627,288</w:t>
            </w:r>
          </w:p>
        </w:tc>
        <w:tc>
          <w:tcPr>
            <w:tcW w:w="640" w:type="dxa"/>
            <w:vAlign w:val="bottom"/>
          </w:tcPr>
          <w:p>
            <w:pPr>
              <w:spacing w:after="0"/>
              <w:rPr>
                <w:sz w:val="15"/>
                <w:szCs w:val="15"/>
                <w:color w:val="auto"/>
              </w:rPr>
            </w:pPr>
          </w:p>
        </w:tc>
      </w:tr>
      <w:tr>
        <w:trPr>
          <w:trHeight w:val="190"/>
        </w:trPr>
        <w:tc>
          <w:tcPr>
            <w:tcW w:w="3980" w:type="dxa"/>
            <w:vAlign w:val="bottom"/>
          </w:tcPr>
          <w:p>
            <w:pPr>
              <w:ind w:left="1000"/>
              <w:spacing w:after="0"/>
              <w:rPr>
                <w:sz w:val="20"/>
                <w:szCs w:val="20"/>
                <w:color w:val="auto"/>
              </w:rPr>
            </w:pPr>
            <w:r>
              <w:rPr>
                <w:rFonts w:ascii="Arial" w:cs="Arial" w:eastAsia="Arial" w:hAnsi="Arial"/>
                <w:sz w:val="16"/>
                <w:szCs w:val="16"/>
                <w:color w:val="auto"/>
              </w:rPr>
              <w:t>In other countries</w:t>
            </w:r>
          </w:p>
        </w:tc>
        <w:tc>
          <w:tcPr>
            <w:tcW w:w="5580" w:type="dxa"/>
            <w:vAlign w:val="bottom"/>
            <w:gridSpan w:val="4"/>
          </w:tcPr>
          <w:p>
            <w:pPr>
              <w:jc w:val="right"/>
              <w:ind w:right="180"/>
              <w:spacing w:after="0"/>
              <w:rPr>
                <w:sz w:val="20"/>
                <w:szCs w:val="20"/>
                <w:color w:val="auto"/>
              </w:rPr>
            </w:pPr>
            <w:r>
              <w:rPr>
                <w:rFonts w:ascii="Arial" w:cs="Arial" w:eastAsia="Arial" w:hAnsi="Arial"/>
                <w:sz w:val="16"/>
                <w:szCs w:val="16"/>
                <w:color w:val="auto"/>
              </w:rPr>
              <w:t>5,102,286</w:t>
            </w: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4,607,210</w:t>
            </w:r>
          </w:p>
        </w:tc>
      </w:tr>
      <w:tr>
        <w:trPr>
          <w:trHeight w:val="167"/>
        </w:trPr>
        <w:tc>
          <w:tcPr>
            <w:tcW w:w="3980" w:type="dxa"/>
            <w:vAlign w:val="bottom"/>
          </w:tcPr>
          <w:p>
            <w:pPr>
              <w:spacing w:after="0"/>
              <w:rPr>
                <w:sz w:val="14"/>
                <w:szCs w:val="14"/>
                <w:color w:val="auto"/>
              </w:rPr>
            </w:pPr>
          </w:p>
        </w:tc>
        <w:tc>
          <w:tcPr>
            <w:tcW w:w="4380" w:type="dxa"/>
            <w:vAlign w:val="bottom"/>
            <w:gridSpan w:val="2"/>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47,160,191</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42,234,498</w:t>
            </w:r>
          </w:p>
        </w:tc>
        <w:tc>
          <w:tcPr>
            <w:tcW w:w="640" w:type="dxa"/>
            <w:vAlign w:val="bottom"/>
          </w:tcPr>
          <w:p>
            <w:pPr>
              <w:spacing w:after="0"/>
              <w:rPr>
                <w:sz w:val="14"/>
                <w:szCs w:val="14"/>
                <w:color w:val="auto"/>
              </w:rPr>
            </w:pPr>
          </w:p>
        </w:tc>
      </w:tr>
      <w:tr>
        <w:trPr>
          <w:trHeight w:val="327"/>
        </w:trPr>
        <w:tc>
          <w:tcPr>
            <w:tcW w:w="3980" w:type="dxa"/>
            <w:vAlign w:val="bottom"/>
          </w:tcPr>
          <w:p>
            <w:pPr>
              <w:ind w:left="840"/>
              <w:spacing w:after="0"/>
              <w:rPr>
                <w:sz w:val="20"/>
                <w:szCs w:val="20"/>
                <w:color w:val="auto"/>
              </w:rPr>
            </w:pPr>
            <w:r>
              <w:rPr>
                <w:rFonts w:ascii="Arial" w:cs="Arial" w:eastAsia="Arial" w:hAnsi="Arial"/>
                <w:sz w:val="16"/>
                <w:szCs w:val="16"/>
                <w:b w:val="1"/>
                <w:bCs w:val="1"/>
                <w:color w:val="auto"/>
              </w:rPr>
              <w:t>Interest-bearing -</w:t>
            </w: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3980" w:type="dxa"/>
            <w:vAlign w:val="bottom"/>
          </w:tcPr>
          <w:p>
            <w:pPr>
              <w:ind w:left="1000"/>
              <w:spacing w:after="0" w:line="175" w:lineRule="exact"/>
              <w:rPr>
                <w:sz w:val="20"/>
                <w:szCs w:val="20"/>
                <w:color w:val="auto"/>
              </w:rPr>
            </w:pPr>
            <w:r>
              <w:rPr>
                <w:rFonts w:ascii="Arial" w:cs="Arial" w:eastAsia="Arial" w:hAnsi="Arial"/>
                <w:sz w:val="16"/>
                <w:szCs w:val="16"/>
                <w:color w:val="auto"/>
              </w:rPr>
              <w:t>In Peru</w:t>
            </w:r>
          </w:p>
        </w:tc>
        <w:tc>
          <w:tcPr>
            <w:tcW w:w="5580" w:type="dxa"/>
            <w:vAlign w:val="bottom"/>
            <w:gridSpan w:val="4"/>
          </w:tcPr>
          <w:p>
            <w:pPr>
              <w:jc w:val="right"/>
              <w:ind w:right="180"/>
              <w:spacing w:after="0" w:line="175" w:lineRule="exact"/>
              <w:rPr>
                <w:sz w:val="20"/>
                <w:szCs w:val="20"/>
                <w:color w:val="auto"/>
              </w:rPr>
            </w:pPr>
            <w:r>
              <w:rPr>
                <w:rFonts w:ascii="Arial" w:cs="Arial" w:eastAsia="Arial" w:hAnsi="Arial"/>
                <w:sz w:val="16"/>
                <w:szCs w:val="16"/>
                <w:color w:val="auto"/>
              </w:rPr>
              <w:t>104,085,586</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94,452,833</w:t>
            </w:r>
          </w:p>
        </w:tc>
        <w:tc>
          <w:tcPr>
            <w:tcW w:w="640" w:type="dxa"/>
            <w:vAlign w:val="bottom"/>
          </w:tcPr>
          <w:p>
            <w:pPr>
              <w:spacing w:after="0"/>
              <w:rPr>
                <w:sz w:val="15"/>
                <w:szCs w:val="15"/>
                <w:color w:val="auto"/>
              </w:rPr>
            </w:pPr>
          </w:p>
        </w:tc>
      </w:tr>
      <w:tr>
        <w:trPr>
          <w:trHeight w:val="190"/>
        </w:trPr>
        <w:tc>
          <w:tcPr>
            <w:tcW w:w="3980" w:type="dxa"/>
            <w:vAlign w:val="bottom"/>
          </w:tcPr>
          <w:p>
            <w:pPr>
              <w:ind w:left="1000"/>
              <w:spacing w:after="0"/>
              <w:rPr>
                <w:sz w:val="20"/>
                <w:szCs w:val="20"/>
                <w:color w:val="auto"/>
              </w:rPr>
            </w:pPr>
            <w:r>
              <w:rPr>
                <w:rFonts w:ascii="Arial" w:cs="Arial" w:eastAsia="Arial" w:hAnsi="Arial"/>
                <w:sz w:val="16"/>
                <w:szCs w:val="16"/>
                <w:color w:val="auto"/>
              </w:rPr>
              <w:t>In other countries</w:t>
            </w:r>
          </w:p>
        </w:tc>
        <w:tc>
          <w:tcPr>
            <w:tcW w:w="5580" w:type="dxa"/>
            <w:vAlign w:val="bottom"/>
            <w:gridSpan w:val="4"/>
          </w:tcPr>
          <w:p>
            <w:pPr>
              <w:jc w:val="right"/>
              <w:ind w:right="180"/>
              <w:spacing w:after="0"/>
              <w:rPr>
                <w:sz w:val="20"/>
                <w:szCs w:val="20"/>
                <w:color w:val="auto"/>
              </w:rPr>
            </w:pPr>
            <w:r>
              <w:rPr>
                <w:rFonts w:ascii="Arial" w:cs="Arial" w:eastAsia="Arial" w:hAnsi="Arial"/>
                <w:sz w:val="16"/>
                <w:szCs w:val="16"/>
                <w:color w:val="auto"/>
              </w:rPr>
              <w:t>9,316,805</w:t>
            </w: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9,588,072</w:t>
            </w:r>
          </w:p>
        </w:tc>
      </w:tr>
      <w:tr>
        <w:trPr>
          <w:trHeight w:val="167"/>
        </w:trPr>
        <w:tc>
          <w:tcPr>
            <w:tcW w:w="3980" w:type="dxa"/>
            <w:vAlign w:val="bottom"/>
          </w:tcPr>
          <w:p>
            <w:pPr>
              <w:spacing w:after="0"/>
              <w:rPr>
                <w:sz w:val="14"/>
                <w:szCs w:val="14"/>
                <w:color w:val="auto"/>
              </w:rPr>
            </w:pPr>
          </w:p>
        </w:tc>
        <w:tc>
          <w:tcPr>
            <w:tcW w:w="4380" w:type="dxa"/>
            <w:vAlign w:val="bottom"/>
            <w:gridSpan w:val="2"/>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113,402,391</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104,040,905</w:t>
            </w:r>
          </w:p>
        </w:tc>
        <w:tc>
          <w:tcPr>
            <w:tcW w:w="640" w:type="dxa"/>
            <w:vAlign w:val="bottom"/>
          </w:tcPr>
          <w:p>
            <w:pPr>
              <w:spacing w:after="0"/>
              <w:rPr>
                <w:sz w:val="14"/>
                <w:szCs w:val="14"/>
                <w:color w:val="auto"/>
              </w:rPr>
            </w:pPr>
          </w:p>
        </w:tc>
      </w:tr>
      <w:tr>
        <w:trPr>
          <w:trHeight w:val="345"/>
        </w:trPr>
        <w:tc>
          <w:tcPr>
            <w:tcW w:w="3980" w:type="dxa"/>
            <w:vAlign w:val="bottom"/>
          </w:tcPr>
          <w:p>
            <w:pPr>
              <w:ind w:left="840"/>
              <w:spacing w:after="0"/>
              <w:rPr>
                <w:sz w:val="20"/>
                <w:szCs w:val="20"/>
                <w:color w:val="auto"/>
              </w:rPr>
            </w:pPr>
            <w:r>
              <w:rPr>
                <w:rFonts w:ascii="Arial" w:cs="Arial" w:eastAsia="Arial" w:hAnsi="Arial"/>
                <w:sz w:val="16"/>
                <w:szCs w:val="16"/>
                <w:b w:val="1"/>
                <w:bCs w:val="1"/>
                <w:color w:val="auto"/>
              </w:rPr>
              <w:t>Total</w:t>
            </w:r>
          </w:p>
        </w:tc>
        <w:tc>
          <w:tcPr>
            <w:tcW w:w="5580" w:type="dxa"/>
            <w:vAlign w:val="bottom"/>
            <w:gridSpan w:val="4"/>
          </w:tcPr>
          <w:p>
            <w:pPr>
              <w:jc w:val="right"/>
              <w:ind w:right="180"/>
              <w:spacing w:after="0"/>
              <w:rPr>
                <w:sz w:val="20"/>
                <w:szCs w:val="20"/>
                <w:color w:val="auto"/>
              </w:rPr>
            </w:pPr>
            <w:r>
              <w:rPr>
                <w:rFonts w:ascii="Arial" w:cs="Arial" w:eastAsia="Arial" w:hAnsi="Arial"/>
                <w:sz w:val="16"/>
                <w:szCs w:val="16"/>
                <w:color w:val="auto"/>
              </w:rPr>
              <w:t>160,562,582</w:t>
            </w: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146,275,403</w:t>
            </w:r>
          </w:p>
        </w:tc>
      </w:tr>
      <w:tr>
        <w:trPr>
          <w:trHeight w:val="483"/>
        </w:trPr>
        <w:tc>
          <w:tcPr>
            <w:tcW w:w="3980" w:type="dxa"/>
            <w:vAlign w:val="bottom"/>
          </w:tcPr>
          <w:p>
            <w:pPr>
              <w:spacing w:after="0"/>
              <w:rPr>
                <w:sz w:val="24"/>
                <w:szCs w:val="24"/>
                <w:color w:val="auto"/>
              </w:rPr>
            </w:pPr>
          </w:p>
        </w:tc>
        <w:tc>
          <w:tcPr>
            <w:tcW w:w="4360" w:type="dxa"/>
            <w:vAlign w:val="bottom"/>
          </w:tcPr>
          <w:p>
            <w:pPr>
              <w:jc w:val="right"/>
              <w:ind w:right="2524"/>
              <w:spacing w:after="0"/>
              <w:rPr>
                <w:sz w:val="20"/>
                <w:szCs w:val="20"/>
                <w:color w:val="auto"/>
              </w:rPr>
            </w:pPr>
            <w:r>
              <w:rPr>
                <w:rFonts w:ascii="Arial" w:cs="Arial" w:eastAsia="Arial" w:hAnsi="Arial"/>
                <w:sz w:val="12"/>
                <w:szCs w:val="12"/>
                <w:color w:val="auto"/>
              </w:rPr>
              <w:t>-88-</w:t>
            </w:r>
          </w:p>
        </w:tc>
        <w:tc>
          <w:tcPr>
            <w:tcW w:w="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30"/>
        </w:trPr>
        <w:tc>
          <w:tcPr>
            <w:tcW w:w="398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67"/>
          </w:cols>
          <w:pgMar w:left="313" w:top="124" w:right="319" w:bottom="1440" w:gutter="0" w:footer="0" w:header="0"/>
        </w:sectPr>
      </w:pPr>
    </w:p>
    <w:bookmarkStart w:id="91" w:name="page92"/>
    <w:bookmarkEnd w:id="91"/>
    <w:p>
      <w:pPr>
        <w:ind w:left="887" w:hanging="326"/>
        <w:spacing w:after="0"/>
        <w:tabs>
          <w:tab w:leader="none" w:pos="88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balance of time deposits classified by maturity is as follows:</w:t>
      </w:r>
    </w:p>
    <w:p>
      <w:pPr>
        <w:spacing w:after="0" w:line="165" w:lineRule="exact"/>
        <w:rPr>
          <w:sz w:val="20"/>
          <w:szCs w:val="20"/>
          <w:color w:val="auto"/>
        </w:rPr>
      </w:pPr>
    </w:p>
    <w:tbl>
      <w:tblPr>
        <w:tblLayout w:type="fixed"/>
        <w:tblInd w:w="847"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r>
      <w:tr>
        <w:trPr>
          <w:trHeight w:val="206"/>
        </w:trPr>
        <w:tc>
          <w:tcPr>
            <w:tcW w:w="750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7500" w:type="dxa"/>
            <w:vAlign w:val="bottom"/>
          </w:tcPr>
          <w:p>
            <w:pPr>
              <w:spacing w:after="0"/>
              <w:rPr>
                <w:sz w:val="20"/>
                <w:szCs w:val="20"/>
                <w:color w:val="auto"/>
              </w:rPr>
            </w:pPr>
            <w:r>
              <w:rPr>
                <w:rFonts w:ascii="Arial" w:cs="Arial" w:eastAsia="Arial" w:hAnsi="Arial"/>
                <w:sz w:val="16"/>
                <w:szCs w:val="16"/>
                <w:color w:val="auto"/>
              </w:rPr>
              <w:t>Up to 3 months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27,772,950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23,975,997</w:t>
            </w:r>
          </w:p>
        </w:tc>
        <w:tc>
          <w:tcPr>
            <w:tcW w:w="20" w:type="dxa"/>
            <w:vAlign w:val="bottom"/>
          </w:tcPr>
          <w:p>
            <w:pPr>
              <w:spacing w:after="0"/>
              <w:rPr>
                <w:sz w:val="24"/>
                <w:szCs w:val="24"/>
                <w:color w:val="auto"/>
              </w:rPr>
            </w:pPr>
          </w:p>
        </w:tc>
      </w:tr>
      <w:tr>
        <w:trPr>
          <w:trHeight w:val="175"/>
        </w:trPr>
        <w:tc>
          <w:tcPr>
            <w:tcW w:w="7500" w:type="dxa"/>
            <w:vAlign w:val="bottom"/>
          </w:tcPr>
          <w:p>
            <w:pPr>
              <w:spacing w:after="0" w:line="175" w:lineRule="exact"/>
              <w:rPr>
                <w:sz w:val="20"/>
                <w:szCs w:val="20"/>
                <w:color w:val="auto"/>
              </w:rPr>
            </w:pPr>
            <w:r>
              <w:rPr>
                <w:rFonts w:ascii="Arial" w:cs="Arial" w:eastAsia="Arial" w:hAnsi="Arial"/>
                <w:sz w:val="16"/>
                <w:szCs w:val="16"/>
                <w:color w:val="auto"/>
              </w:rPr>
              <w:t>From 3 months to 1 year</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10,886,485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11,420,212</w:t>
            </w:r>
          </w:p>
        </w:tc>
      </w:tr>
      <w:tr>
        <w:trPr>
          <w:trHeight w:val="175"/>
        </w:trPr>
        <w:tc>
          <w:tcPr>
            <w:tcW w:w="7500" w:type="dxa"/>
            <w:vAlign w:val="bottom"/>
          </w:tcPr>
          <w:p>
            <w:pPr>
              <w:spacing w:after="0" w:line="175" w:lineRule="exact"/>
              <w:rPr>
                <w:sz w:val="20"/>
                <w:szCs w:val="20"/>
                <w:color w:val="auto"/>
              </w:rPr>
            </w:pPr>
            <w:r>
              <w:rPr>
                <w:rFonts w:ascii="Arial" w:cs="Arial" w:eastAsia="Arial" w:hAnsi="Arial"/>
                <w:sz w:val="16"/>
                <w:szCs w:val="16"/>
                <w:color w:val="auto"/>
              </w:rPr>
              <w:t>From 1 to 3 years</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1,754,547</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2,472,740</w:t>
            </w:r>
          </w:p>
        </w:tc>
      </w:tr>
      <w:tr>
        <w:trPr>
          <w:trHeight w:val="175"/>
        </w:trPr>
        <w:tc>
          <w:tcPr>
            <w:tcW w:w="7500" w:type="dxa"/>
            <w:vAlign w:val="bottom"/>
          </w:tcPr>
          <w:p>
            <w:pPr>
              <w:spacing w:after="0" w:line="175" w:lineRule="exact"/>
              <w:rPr>
                <w:sz w:val="20"/>
                <w:szCs w:val="20"/>
                <w:color w:val="auto"/>
              </w:rPr>
            </w:pPr>
            <w:r>
              <w:rPr>
                <w:rFonts w:ascii="Arial" w:cs="Arial" w:eastAsia="Arial" w:hAnsi="Arial"/>
                <w:sz w:val="16"/>
                <w:szCs w:val="16"/>
                <w:color w:val="auto"/>
              </w:rPr>
              <w:t>From 3 to 5 years</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478,235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327,136</w:t>
            </w:r>
          </w:p>
        </w:tc>
      </w:tr>
      <w:tr>
        <w:trPr>
          <w:trHeight w:val="190"/>
        </w:trPr>
        <w:tc>
          <w:tcPr>
            <w:tcW w:w="7500" w:type="dxa"/>
            <w:vAlign w:val="bottom"/>
          </w:tcPr>
          <w:p>
            <w:pPr>
              <w:spacing w:after="0"/>
              <w:rPr>
                <w:sz w:val="20"/>
                <w:szCs w:val="20"/>
                <w:color w:val="auto"/>
              </w:rPr>
            </w:pPr>
            <w:r>
              <w:rPr>
                <w:rFonts w:ascii="Arial" w:cs="Arial" w:eastAsia="Arial" w:hAnsi="Arial"/>
                <w:sz w:val="16"/>
                <w:szCs w:val="16"/>
                <w:color w:val="auto"/>
              </w:rPr>
              <w:t>More than 5 years</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3,224,221</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3,093,926</w:t>
            </w:r>
          </w:p>
        </w:tc>
      </w:tr>
      <w:tr>
        <w:trPr>
          <w:trHeight w:val="170"/>
        </w:trPr>
        <w:tc>
          <w:tcPr>
            <w:tcW w:w="75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104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44,116,438</w:t>
            </w: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41,290,011</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847"/>
        <w:spacing w:after="0"/>
        <w:rPr>
          <w:sz w:val="20"/>
          <w:szCs w:val="20"/>
          <w:color w:val="auto"/>
        </w:rPr>
      </w:pPr>
      <w:r>
        <w:rPr>
          <w:rFonts w:ascii="Arial" w:cs="Arial" w:eastAsia="Arial" w:hAnsi="Arial"/>
          <w:sz w:val="14"/>
          <w:szCs w:val="14"/>
          <w:color w:val="auto"/>
        </w:rPr>
        <w:t>In Management’s opinion the Group’s deposits and obligations are diversified with no significant concentrations as of December 31, 2024, and 2023.</w:t>
      </w:r>
    </w:p>
    <w:p>
      <w:pPr>
        <w:spacing w:after="0" w:line="189" w:lineRule="exact"/>
        <w:rPr>
          <w:sz w:val="20"/>
          <w:szCs w:val="20"/>
          <w:color w:val="auto"/>
        </w:rPr>
      </w:pPr>
    </w:p>
    <w:p>
      <w:pPr>
        <w:jc w:val="both"/>
        <w:ind w:left="847" w:right="240"/>
        <w:spacing w:after="0" w:line="241" w:lineRule="auto"/>
        <w:rPr>
          <w:sz w:val="20"/>
          <w:szCs w:val="20"/>
          <w:color w:val="auto"/>
        </w:rPr>
      </w:pPr>
      <w:r>
        <w:rPr>
          <w:rFonts w:ascii="Arial" w:cs="Arial" w:eastAsia="Arial" w:hAnsi="Arial"/>
          <w:sz w:val="16"/>
          <w:szCs w:val="16"/>
          <w:color w:val="auto"/>
        </w:rPr>
        <w:t>As of December 31, 2024, and 2023, the balance of deposits and obligations, guaranteed by the Peruvian “Fondo de Seguro de Depositos” (Deposit Insurance Fund) amounts to approximately S/59,414.0 million and S/51,875.6 million, respectively. At said dates, maximum amount of coverage per depositor recognized by “Fondo de Seguro de Depositos” totaled S/121,600 and S/123,810.0, respectively.</w:t>
      </w:r>
    </w:p>
    <w:p>
      <w:pPr>
        <w:spacing w:after="0" w:line="146" w:lineRule="exact"/>
        <w:rPr>
          <w:sz w:val="20"/>
          <w:szCs w:val="20"/>
          <w:color w:val="auto"/>
        </w:rPr>
      </w:pPr>
    </w:p>
    <w:p>
      <w:pPr>
        <w:ind w:left="847" w:right="140"/>
        <w:spacing w:after="0" w:line="238" w:lineRule="auto"/>
        <w:rPr>
          <w:sz w:val="20"/>
          <w:szCs w:val="20"/>
          <w:color w:val="auto"/>
        </w:rPr>
      </w:pPr>
      <w:r>
        <w:rPr>
          <w:rFonts w:ascii="Arial" w:cs="Arial" w:eastAsia="Arial" w:hAnsi="Arial"/>
          <w:sz w:val="16"/>
          <w:szCs w:val="16"/>
          <w:color w:val="auto"/>
        </w:rPr>
        <w:t>As of December 31, 2024 and 2023, the balance of deposits and obligations of Banco de Crédito Bolivia guaranteed by the “Fondo de Protección al Ahorrista” (FPAH, for its Spanish acronym) of Bolivia, amounts to Bs1,385.6 million (equivalent to S/760.4 million) and Bs1,409.9 million (equivalent to S/762.3 million), respectively. At said dates, maximum amount of coverage per depositor recognized by “FPAH” totaled Bs102,593.9 and Bs90,240.3 (equivalent to S/56,300.4 and S/48,790.4, respectively).</w:t>
      </w:r>
    </w:p>
    <w:p>
      <w:pPr>
        <w:spacing w:after="0" w:line="145" w:lineRule="exact"/>
        <w:rPr>
          <w:sz w:val="20"/>
          <w:szCs w:val="20"/>
          <w:color w:val="auto"/>
        </w:rPr>
      </w:pPr>
    </w:p>
    <w:p>
      <w:pPr>
        <w:ind w:left="847" w:right="120"/>
        <w:spacing w:after="0" w:line="238" w:lineRule="auto"/>
        <w:rPr>
          <w:sz w:val="20"/>
          <w:szCs w:val="20"/>
          <w:color w:val="auto"/>
        </w:rPr>
      </w:pPr>
      <w:r>
        <w:rPr>
          <w:rFonts w:ascii="Arial" w:cs="Arial" w:eastAsia="Arial" w:hAnsi="Arial"/>
          <w:sz w:val="16"/>
          <w:szCs w:val="16"/>
          <w:color w:val="auto"/>
        </w:rPr>
        <w:t>As of December 31, 2024, and 2023, the balance of deposits and obligations of Mibanco Colombia guaranteed by the “Fondo de Garantía de las Instituciones Financieras” (FOGAFIN, for its Spanish acronym) of Colombia, amounts to $59,612.9 million (equivalent to S/50.9 million) and $53,049.4 million (equivalent to S/50.8 million), respectively. At said dates, maximum amount of coverage per depositor recognized by “Fogafín” totaled $50.0 million (equivalent to S/42,700.0 and S/47,850.0, respectively).</w:t>
      </w:r>
    </w:p>
    <w:p>
      <w:pPr>
        <w:spacing w:after="0" w:line="143" w:lineRule="exact"/>
        <w:rPr>
          <w:sz w:val="20"/>
          <w:szCs w:val="20"/>
          <w:color w:val="auto"/>
        </w:rPr>
      </w:pPr>
    </w:p>
    <w:p>
      <w:pPr>
        <w:ind w:left="567" w:hanging="567"/>
        <w:spacing w:after="0"/>
        <w:tabs>
          <w:tab w:leader="none" w:pos="567"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DUE TO BANKS AND CORRESPONDENTS</w:t>
      </w:r>
    </w:p>
    <w:p>
      <w:pPr>
        <w:spacing w:after="0" w:line="168" w:lineRule="exact"/>
        <w:rPr>
          <w:rFonts w:ascii="Arial" w:cs="Arial" w:eastAsia="Arial" w:hAnsi="Arial"/>
          <w:sz w:val="16"/>
          <w:szCs w:val="16"/>
          <w:b w:val="1"/>
          <w:bCs w:val="1"/>
          <w:color w:val="auto"/>
        </w:rPr>
      </w:pPr>
    </w:p>
    <w:p>
      <w:pPr>
        <w:ind w:left="847" w:hanging="286"/>
        <w:spacing w:after="0"/>
        <w:tabs>
          <w:tab w:leader="none" w:pos="847"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4840" w:type="dxa"/>
            <w:vAlign w:val="bottom"/>
            <w:gridSpan w:val="3"/>
          </w:tcPr>
          <w:p>
            <w:pPr>
              <w:ind w:left="380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6"/>
                <w:szCs w:val="16"/>
                <w:color w:val="auto"/>
              </w:rPr>
            </w:pPr>
          </w:p>
        </w:tc>
      </w:tr>
      <w:tr>
        <w:trPr>
          <w:trHeight w:val="206"/>
        </w:trPr>
        <w:tc>
          <w:tcPr>
            <w:tcW w:w="45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r>
      <w:tr>
        <w:trPr>
          <w:trHeight w:val="296"/>
        </w:trPr>
        <w:tc>
          <w:tcPr>
            <w:tcW w:w="4540" w:type="dxa"/>
            <w:vAlign w:val="bottom"/>
          </w:tcPr>
          <w:p>
            <w:pPr>
              <w:ind w:left="840"/>
              <w:spacing w:after="0"/>
              <w:rPr>
                <w:sz w:val="20"/>
                <w:szCs w:val="20"/>
                <w:color w:val="auto"/>
              </w:rPr>
            </w:pPr>
            <w:r>
              <w:rPr>
                <w:rFonts w:ascii="Arial" w:cs="Arial" w:eastAsia="Arial" w:hAnsi="Arial"/>
                <w:sz w:val="16"/>
                <w:szCs w:val="16"/>
                <w:color w:val="auto"/>
              </w:rPr>
              <w:t>International funds and others (b)</w:t>
            </w:r>
          </w:p>
        </w:tc>
        <w:tc>
          <w:tcPr>
            <w:tcW w:w="5020" w:type="dxa"/>
            <w:vAlign w:val="bottom"/>
            <w:gridSpan w:val="4"/>
          </w:tcPr>
          <w:p>
            <w:pPr>
              <w:jc w:val="right"/>
              <w:ind w:right="180"/>
              <w:spacing w:after="0"/>
              <w:rPr>
                <w:sz w:val="20"/>
                <w:szCs w:val="20"/>
                <w:color w:val="auto"/>
              </w:rPr>
            </w:pPr>
            <w:r>
              <w:rPr>
                <w:rFonts w:ascii="Arial" w:cs="Arial" w:eastAsia="Arial" w:hAnsi="Arial"/>
                <w:sz w:val="16"/>
                <w:szCs w:val="16"/>
                <w:color w:val="auto"/>
              </w:rPr>
              <w:t>5,821,219</w:t>
            </w: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7,362,734</w:t>
            </w:r>
          </w:p>
        </w:tc>
      </w:tr>
      <w:tr>
        <w:trPr>
          <w:trHeight w:val="175"/>
        </w:trPr>
        <w:tc>
          <w:tcPr>
            <w:tcW w:w="4540" w:type="dxa"/>
            <w:vAlign w:val="bottom"/>
          </w:tcPr>
          <w:p>
            <w:pPr>
              <w:ind w:left="840"/>
              <w:spacing w:after="0" w:line="175" w:lineRule="exact"/>
              <w:rPr>
                <w:sz w:val="20"/>
                <w:szCs w:val="20"/>
                <w:color w:val="auto"/>
              </w:rPr>
            </w:pPr>
            <w:r>
              <w:rPr>
                <w:rFonts w:ascii="Arial" w:cs="Arial" w:eastAsia="Arial" w:hAnsi="Arial"/>
                <w:sz w:val="16"/>
                <w:szCs w:val="16"/>
                <w:color w:val="auto"/>
              </w:rPr>
              <w:t>COFIDE and FONCODES credit line (c)</w:t>
            </w:r>
          </w:p>
        </w:tc>
        <w:tc>
          <w:tcPr>
            <w:tcW w:w="5020" w:type="dxa"/>
            <w:vAlign w:val="bottom"/>
            <w:gridSpan w:val="4"/>
          </w:tcPr>
          <w:p>
            <w:pPr>
              <w:jc w:val="right"/>
              <w:ind w:right="180"/>
              <w:spacing w:after="0" w:line="175" w:lineRule="exact"/>
              <w:rPr>
                <w:sz w:val="20"/>
                <w:szCs w:val="20"/>
                <w:color w:val="auto"/>
              </w:rPr>
            </w:pPr>
            <w:r>
              <w:rPr>
                <w:rFonts w:ascii="Arial" w:cs="Arial" w:eastAsia="Arial" w:hAnsi="Arial"/>
                <w:sz w:val="16"/>
                <w:szCs w:val="16"/>
                <w:color w:val="auto"/>
              </w:rPr>
              <w:t>4,550,610</w:t>
            </w:r>
          </w:p>
        </w:tc>
        <w:tc>
          <w:tcPr>
            <w:tcW w:w="1700" w:type="dxa"/>
            <w:vAlign w:val="bottom"/>
            <w:gridSpan w:val="2"/>
          </w:tcPr>
          <w:p>
            <w:pPr>
              <w:jc w:val="right"/>
              <w:ind w:right="640"/>
              <w:spacing w:after="0" w:line="175" w:lineRule="exact"/>
              <w:rPr>
                <w:sz w:val="20"/>
                <w:szCs w:val="20"/>
                <w:color w:val="auto"/>
              </w:rPr>
            </w:pPr>
            <w:r>
              <w:rPr>
                <w:rFonts w:ascii="Arial" w:cs="Arial" w:eastAsia="Arial" w:hAnsi="Arial"/>
                <w:sz w:val="16"/>
                <w:szCs w:val="16"/>
                <w:color w:val="auto"/>
              </w:rPr>
              <w:t>4,389,433</w:t>
            </w:r>
          </w:p>
        </w:tc>
      </w:tr>
      <w:tr>
        <w:trPr>
          <w:trHeight w:val="190"/>
        </w:trPr>
        <w:tc>
          <w:tcPr>
            <w:tcW w:w="4540" w:type="dxa"/>
            <w:vAlign w:val="bottom"/>
          </w:tcPr>
          <w:p>
            <w:pPr>
              <w:ind w:left="840"/>
              <w:spacing w:after="0"/>
              <w:rPr>
                <w:sz w:val="20"/>
                <w:szCs w:val="20"/>
                <w:color w:val="auto"/>
              </w:rPr>
            </w:pPr>
            <w:r>
              <w:rPr>
                <w:rFonts w:ascii="Arial" w:cs="Arial" w:eastAsia="Arial" w:hAnsi="Arial"/>
                <w:sz w:val="16"/>
                <w:szCs w:val="16"/>
                <w:color w:val="auto"/>
              </w:rPr>
              <w:t>Inter-bank funds</w:t>
            </w:r>
          </w:p>
        </w:tc>
        <w:tc>
          <w:tcPr>
            <w:tcW w:w="4840" w:type="dxa"/>
            <w:vAlign w:val="bottom"/>
            <w:gridSpan w:val="3"/>
          </w:tcPr>
          <w:p>
            <w:pPr>
              <w:jc w:val="right"/>
              <w:spacing w:after="0"/>
              <w:rPr>
                <w:sz w:val="20"/>
                <w:szCs w:val="20"/>
                <w:color w:val="auto"/>
              </w:rPr>
            </w:pPr>
            <w:r>
              <w:rPr>
                <w:rFonts w:ascii="Arial" w:cs="Arial" w:eastAsia="Arial" w:hAnsi="Arial"/>
                <w:sz w:val="16"/>
                <w:szCs w:val="16"/>
                <w:color w:val="auto"/>
              </w:rPr>
              <w:t>350,000</w:t>
            </w:r>
          </w:p>
        </w:tc>
        <w:tc>
          <w:tcPr>
            <w:tcW w:w="18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6"/>
                <w:szCs w:val="16"/>
                <w:color w:val="auto"/>
              </w:rPr>
              <w:t>324,400</w:t>
            </w:r>
          </w:p>
        </w:tc>
      </w:tr>
      <w:tr>
        <w:trPr>
          <w:trHeight w:val="152"/>
        </w:trPr>
        <w:tc>
          <w:tcPr>
            <w:tcW w:w="4540" w:type="dxa"/>
            <w:vAlign w:val="bottom"/>
          </w:tcPr>
          <w:p>
            <w:pPr>
              <w:spacing w:after="0"/>
              <w:rPr>
                <w:sz w:val="13"/>
                <w:szCs w:val="13"/>
                <w:color w:val="auto"/>
              </w:rPr>
            </w:pPr>
          </w:p>
        </w:tc>
        <w:tc>
          <w:tcPr>
            <w:tcW w:w="3820" w:type="dxa"/>
            <w:vAlign w:val="bottom"/>
            <w:gridSpan w:val="2"/>
          </w:tcPr>
          <w:p>
            <w:pPr>
              <w:spacing w:after="0"/>
              <w:rPr>
                <w:sz w:val="13"/>
                <w:szCs w:val="13"/>
                <w:color w:val="auto"/>
              </w:rPr>
            </w:pPr>
          </w:p>
        </w:tc>
        <w:tc>
          <w:tcPr>
            <w:tcW w:w="102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10,721,829</w:t>
            </w:r>
          </w:p>
        </w:tc>
        <w:tc>
          <w:tcPr>
            <w:tcW w:w="18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12,076,567</w:t>
            </w:r>
          </w:p>
        </w:tc>
        <w:tc>
          <w:tcPr>
            <w:tcW w:w="640" w:type="dxa"/>
            <w:vAlign w:val="bottom"/>
          </w:tcPr>
          <w:p>
            <w:pPr>
              <w:spacing w:after="0"/>
              <w:rPr>
                <w:sz w:val="13"/>
                <w:szCs w:val="13"/>
                <w:color w:val="auto"/>
              </w:rPr>
            </w:pPr>
          </w:p>
        </w:tc>
      </w:tr>
      <w:tr>
        <w:trPr>
          <w:trHeight w:val="190"/>
        </w:trPr>
        <w:tc>
          <w:tcPr>
            <w:tcW w:w="4540" w:type="dxa"/>
            <w:vAlign w:val="bottom"/>
          </w:tcPr>
          <w:p>
            <w:pPr>
              <w:ind w:left="840"/>
              <w:spacing w:after="0"/>
              <w:rPr>
                <w:sz w:val="20"/>
                <w:szCs w:val="20"/>
                <w:color w:val="auto"/>
              </w:rPr>
            </w:pPr>
            <w:r>
              <w:rPr>
                <w:rFonts w:ascii="Arial" w:cs="Arial" w:eastAsia="Arial" w:hAnsi="Arial"/>
                <w:sz w:val="16"/>
                <w:szCs w:val="16"/>
                <w:color w:val="auto"/>
              </w:rPr>
              <w:t>Interest payable</w:t>
            </w:r>
          </w:p>
        </w:tc>
        <w:tc>
          <w:tcPr>
            <w:tcW w:w="5020" w:type="dxa"/>
            <w:vAlign w:val="bottom"/>
            <w:gridSpan w:val="4"/>
          </w:tcPr>
          <w:p>
            <w:pPr>
              <w:jc w:val="right"/>
              <w:ind w:right="180"/>
              <w:spacing w:after="0"/>
              <w:rPr>
                <w:sz w:val="20"/>
                <w:szCs w:val="20"/>
                <w:color w:val="auto"/>
              </w:rPr>
            </w:pPr>
            <w:r>
              <w:rPr>
                <w:rFonts w:ascii="Arial" w:cs="Arial" w:eastAsia="Arial" w:hAnsi="Arial"/>
                <w:sz w:val="16"/>
                <w:szCs w:val="16"/>
                <w:color w:val="auto"/>
              </w:rPr>
              <w:t>32,556</w:t>
            </w:r>
          </w:p>
        </w:tc>
        <w:tc>
          <w:tcPr>
            <w:tcW w:w="1060" w:type="dxa"/>
            <w:vAlign w:val="bottom"/>
          </w:tcPr>
          <w:p>
            <w:pPr>
              <w:jc w:val="right"/>
              <w:spacing w:after="0"/>
              <w:rPr>
                <w:sz w:val="20"/>
                <w:szCs w:val="20"/>
                <w:color w:val="auto"/>
              </w:rPr>
            </w:pPr>
            <w:r>
              <w:rPr>
                <w:rFonts w:ascii="Arial" w:cs="Arial" w:eastAsia="Arial" w:hAnsi="Arial"/>
                <w:sz w:val="16"/>
                <w:szCs w:val="16"/>
                <w:color w:val="auto"/>
              </w:rPr>
              <w:t>202,114</w:t>
            </w:r>
          </w:p>
        </w:tc>
        <w:tc>
          <w:tcPr>
            <w:tcW w:w="640" w:type="dxa"/>
            <w:vAlign w:val="bottom"/>
          </w:tcPr>
          <w:p>
            <w:pPr>
              <w:spacing w:after="0"/>
              <w:rPr>
                <w:sz w:val="16"/>
                <w:szCs w:val="16"/>
                <w:color w:val="auto"/>
              </w:rPr>
            </w:pPr>
          </w:p>
        </w:tc>
      </w:tr>
      <w:tr>
        <w:trPr>
          <w:trHeight w:val="170"/>
        </w:trPr>
        <w:tc>
          <w:tcPr>
            <w:tcW w:w="4540" w:type="dxa"/>
            <w:vAlign w:val="bottom"/>
          </w:tcPr>
          <w:p>
            <w:pPr>
              <w:ind w:left="840"/>
              <w:spacing w:after="0" w:line="167" w:lineRule="exact"/>
              <w:rPr>
                <w:sz w:val="20"/>
                <w:szCs w:val="20"/>
                <w:color w:val="auto"/>
              </w:rPr>
            </w:pPr>
            <w:r>
              <w:rPr>
                <w:rFonts w:ascii="Arial" w:cs="Arial" w:eastAsia="Arial" w:hAnsi="Arial"/>
                <w:sz w:val="16"/>
                <w:szCs w:val="16"/>
                <w:b w:val="1"/>
                <w:bCs w:val="1"/>
                <w:color w:val="auto"/>
              </w:rPr>
              <w:t>Total</w:t>
            </w:r>
          </w:p>
        </w:tc>
        <w:tc>
          <w:tcPr>
            <w:tcW w:w="3820" w:type="dxa"/>
            <w:vAlign w:val="bottom"/>
            <w:gridSpan w:val="2"/>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10,754,385</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12,278,681</w:t>
            </w:r>
          </w:p>
        </w:tc>
        <w:tc>
          <w:tcPr>
            <w:tcW w:w="640" w:type="dxa"/>
            <w:vAlign w:val="bottom"/>
          </w:tcPr>
          <w:p>
            <w:pPr>
              <w:spacing w:after="0"/>
              <w:rPr>
                <w:sz w:val="14"/>
                <w:szCs w:val="14"/>
                <w:color w:val="auto"/>
              </w:rPr>
            </w:pPr>
          </w:p>
        </w:tc>
      </w:tr>
      <w:tr>
        <w:trPr>
          <w:trHeight w:val="483"/>
        </w:trPr>
        <w:tc>
          <w:tcPr>
            <w:tcW w:w="4540" w:type="dxa"/>
            <w:vAlign w:val="bottom"/>
          </w:tcPr>
          <w:p>
            <w:pPr>
              <w:spacing w:after="0"/>
              <w:rPr>
                <w:sz w:val="24"/>
                <w:szCs w:val="24"/>
                <w:color w:val="auto"/>
              </w:rPr>
            </w:pPr>
          </w:p>
        </w:tc>
        <w:tc>
          <w:tcPr>
            <w:tcW w:w="3800" w:type="dxa"/>
            <w:vAlign w:val="bottom"/>
          </w:tcPr>
          <w:p>
            <w:pPr>
              <w:jc w:val="right"/>
              <w:ind w:right="2525"/>
              <w:spacing w:after="0"/>
              <w:rPr>
                <w:sz w:val="20"/>
                <w:szCs w:val="20"/>
                <w:color w:val="auto"/>
              </w:rPr>
            </w:pPr>
            <w:r>
              <w:rPr>
                <w:rFonts w:ascii="Arial" w:cs="Arial" w:eastAsia="Arial" w:hAnsi="Arial"/>
                <w:sz w:val="12"/>
                <w:szCs w:val="12"/>
                <w:color w:val="auto"/>
              </w:rPr>
              <w:t>-89-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0"/>
        </w:trPr>
        <w:tc>
          <w:tcPr>
            <w:tcW w:w="45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67"/>
          </w:cols>
          <w:pgMar w:left="313" w:top="124" w:right="31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20"/>
                <w:szCs w:val="20"/>
                <w:color w:val="auto"/>
              </w:rPr>
            </w:pPr>
            <w:r>
              <w:rPr>
                <w:rFonts w:ascii="Arial" w:cs="Arial" w:eastAsia="Arial" w:hAnsi="Arial"/>
                <w:sz w:val="16"/>
                <w:szCs w:val="16"/>
                <w:color w:val="auto"/>
              </w:rPr>
              <w:t>b)  This item consists of the following:</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5"/>
        </w:trPr>
        <w:tc>
          <w:tcPr>
            <w:tcW w:w="7780" w:type="dxa"/>
            <w:vAlign w:val="bottom"/>
          </w:tcPr>
          <w:p>
            <w:pPr>
              <w:spacing w:after="0"/>
              <w:rPr>
                <w:sz w:val="24"/>
                <w:szCs w:val="24"/>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24"/>
                <w:szCs w:val="24"/>
                <w:color w:val="auto"/>
              </w:rPr>
            </w:pPr>
          </w:p>
        </w:tc>
      </w:tr>
      <w:tr>
        <w:trPr>
          <w:trHeight w:val="206"/>
        </w:trPr>
        <w:tc>
          <w:tcPr>
            <w:tcW w:w="778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7780" w:type="dxa"/>
            <w:vAlign w:val="bottom"/>
          </w:tcPr>
          <w:p>
            <w:pPr>
              <w:ind w:left="280"/>
              <w:spacing w:after="0"/>
              <w:rPr>
                <w:sz w:val="20"/>
                <w:szCs w:val="20"/>
                <w:color w:val="auto"/>
              </w:rPr>
            </w:pPr>
            <w:r>
              <w:rPr>
                <w:rFonts w:ascii="Arial" w:cs="Arial" w:eastAsia="Arial" w:hAnsi="Arial"/>
                <w:sz w:val="16"/>
                <w:szCs w:val="16"/>
                <w:color w:val="auto"/>
              </w:rPr>
              <w:t>Sumitomo Mitsui Banking Corporation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752,800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426,535</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Caixabank</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590,948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370,900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International Finance Corporation (IFC) (i)</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570,540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567,240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Bank of America N.A.</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564,600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1,019,975</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Standard Chartered Bank Hong Kong LTD</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564,600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483,654</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State Bank of India</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564,600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 de la Nación</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400,000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355,000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Citibank N.A.</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376,401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185,450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Commerzbank AG</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376,400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370,900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Bank of New York Mellon</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188,200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593,440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Corporación Financiera de Desarrollo (COFIDE)</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115,760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409,890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 BBVA Perú</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110,000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60,000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Bancoldex</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108,035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45,292</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 Bice</w:t>
            </w:r>
          </w:p>
        </w:tc>
        <w:tc>
          <w:tcPr>
            <w:tcW w:w="10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104,425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ICBC Perú Bank S.A.</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60,000</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50,000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 Nacional de Bolivia S.A.</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54,986</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50,994</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 Bisa S.A.</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52,133</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51,364</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 Internacional</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49,947</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 Security</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47,710</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JP Morgan Chase &amp; Co.</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45,365</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 de Occidente</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34,162</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47,463</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Bancolombia S.A.</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25,013</w:t>
            </w:r>
          </w:p>
        </w:tc>
        <w:tc>
          <w:tcPr>
            <w:tcW w:w="16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58,171</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Club Deal Loan (ii)</w:t>
            </w:r>
          </w:p>
        </w:tc>
        <w:tc>
          <w:tcPr>
            <w:tcW w:w="20" w:type="dxa"/>
            <w:vAlign w:val="bottom"/>
          </w:tcPr>
          <w:p>
            <w:pPr>
              <w:spacing w:after="0"/>
              <w:rPr>
                <w:sz w:val="15"/>
                <w:szCs w:val="15"/>
                <w:color w:val="auto"/>
              </w:rPr>
            </w:pPr>
          </w:p>
        </w:tc>
        <w:tc>
          <w:tcPr>
            <w:tcW w:w="12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923,965</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Wells Fargo Bank N.A.</w:t>
            </w:r>
          </w:p>
        </w:tc>
        <w:tc>
          <w:tcPr>
            <w:tcW w:w="20" w:type="dxa"/>
            <w:vAlign w:val="bottom"/>
          </w:tcPr>
          <w:p>
            <w:pPr>
              <w:spacing w:after="0"/>
              <w:rPr>
                <w:sz w:val="15"/>
                <w:szCs w:val="15"/>
                <w:color w:val="auto"/>
              </w:rPr>
            </w:pPr>
          </w:p>
        </w:tc>
        <w:tc>
          <w:tcPr>
            <w:tcW w:w="12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898,275</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Zürcher Kantonalbank</w:t>
            </w:r>
          </w:p>
        </w:tc>
        <w:tc>
          <w:tcPr>
            <w:tcW w:w="20" w:type="dxa"/>
            <w:vAlign w:val="bottom"/>
          </w:tcPr>
          <w:p>
            <w:pPr>
              <w:spacing w:after="0"/>
              <w:rPr>
                <w:sz w:val="15"/>
                <w:szCs w:val="15"/>
                <w:color w:val="auto"/>
              </w:rPr>
            </w:pPr>
          </w:p>
        </w:tc>
        <w:tc>
          <w:tcPr>
            <w:tcW w:w="12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185,450</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Bradesco Bac Florida Bank</w:t>
            </w:r>
          </w:p>
        </w:tc>
        <w:tc>
          <w:tcPr>
            <w:tcW w:w="20" w:type="dxa"/>
            <w:vAlign w:val="bottom"/>
          </w:tcPr>
          <w:p>
            <w:pPr>
              <w:spacing w:after="0"/>
              <w:rPr>
                <w:sz w:val="15"/>
                <w:szCs w:val="15"/>
                <w:color w:val="auto"/>
              </w:rPr>
            </w:pPr>
          </w:p>
        </w:tc>
        <w:tc>
          <w:tcPr>
            <w:tcW w:w="12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92,725</w:t>
            </w:r>
          </w:p>
        </w:tc>
      </w:tr>
      <w:tr>
        <w:trPr>
          <w:trHeight w:val="175"/>
        </w:trPr>
        <w:tc>
          <w:tcPr>
            <w:tcW w:w="7780" w:type="dxa"/>
            <w:vAlign w:val="bottom"/>
          </w:tcPr>
          <w:p>
            <w:pPr>
              <w:ind w:left="280"/>
              <w:spacing w:after="0" w:line="175" w:lineRule="exact"/>
              <w:rPr>
                <w:sz w:val="20"/>
                <w:szCs w:val="20"/>
                <w:color w:val="auto"/>
              </w:rPr>
            </w:pPr>
            <w:r>
              <w:rPr>
                <w:rFonts w:ascii="Arial" w:cs="Arial" w:eastAsia="Arial" w:hAnsi="Arial"/>
                <w:sz w:val="16"/>
                <w:szCs w:val="16"/>
                <w:color w:val="auto"/>
              </w:rPr>
              <w:t>Banco Internacional del Perú S.A.A. (Interbank)</w:t>
            </w:r>
          </w:p>
        </w:tc>
        <w:tc>
          <w:tcPr>
            <w:tcW w:w="20" w:type="dxa"/>
            <w:vAlign w:val="bottom"/>
          </w:tcPr>
          <w:p>
            <w:pPr>
              <w:spacing w:after="0"/>
              <w:rPr>
                <w:sz w:val="15"/>
                <w:szCs w:val="15"/>
                <w:color w:val="auto"/>
              </w:rPr>
            </w:pPr>
          </w:p>
        </w:tc>
        <w:tc>
          <w:tcPr>
            <w:tcW w:w="12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50,933</w:t>
            </w:r>
          </w:p>
        </w:tc>
      </w:tr>
      <w:tr>
        <w:trPr>
          <w:trHeight w:val="190"/>
        </w:trPr>
        <w:tc>
          <w:tcPr>
            <w:tcW w:w="7780" w:type="dxa"/>
            <w:vAlign w:val="bottom"/>
          </w:tcPr>
          <w:p>
            <w:pPr>
              <w:ind w:left="280"/>
              <w:spacing w:after="0"/>
              <w:rPr>
                <w:sz w:val="20"/>
                <w:szCs w:val="20"/>
                <w:color w:val="auto"/>
              </w:rPr>
            </w:pPr>
            <w:r>
              <w:rPr>
                <w:rFonts w:ascii="Arial" w:cs="Arial" w:eastAsia="Arial" w:hAnsi="Arial"/>
                <w:sz w:val="16"/>
                <w:szCs w:val="16"/>
                <w:color w:val="auto"/>
              </w:rPr>
              <w:t>Others</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64,594</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65,118</w:t>
            </w:r>
          </w:p>
        </w:tc>
      </w:tr>
      <w:tr>
        <w:trPr>
          <w:trHeight w:val="170"/>
        </w:trPr>
        <w:tc>
          <w:tcPr>
            <w:tcW w:w="7780" w:type="dxa"/>
            <w:vAlign w:val="bottom"/>
          </w:tcPr>
          <w:p>
            <w:pPr>
              <w:ind w:left="280"/>
              <w:spacing w:after="0" w:line="167"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104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5,821,219</w:t>
            </w: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7,362,734</w:t>
            </w:r>
          </w:p>
        </w:tc>
        <w:tc>
          <w:tcPr>
            <w:tcW w:w="20" w:type="dxa"/>
            <w:vAlign w:val="bottom"/>
          </w:tcPr>
          <w:p>
            <w:pPr>
              <w:spacing w:after="0"/>
              <w:rPr>
                <w:sz w:val="14"/>
                <w:szCs w:val="14"/>
                <w:color w:val="auto"/>
              </w:rPr>
            </w:pPr>
          </w:p>
        </w:tc>
      </w:tr>
    </w:tbl>
    <w:p>
      <w:pPr>
        <w:spacing w:after="0" w:line="160" w:lineRule="exact"/>
        <w:rPr>
          <w:sz w:val="20"/>
          <w:szCs w:val="20"/>
          <w:color w:val="auto"/>
        </w:rPr>
      </w:pPr>
    </w:p>
    <w:p>
      <w:pPr>
        <w:jc w:val="both"/>
        <w:ind w:left="280"/>
        <w:spacing w:after="0" w:line="241" w:lineRule="auto"/>
        <w:rPr>
          <w:sz w:val="20"/>
          <w:szCs w:val="20"/>
          <w:color w:val="auto"/>
        </w:rPr>
      </w:pPr>
      <w:r>
        <w:rPr>
          <w:rFonts w:ascii="Arial" w:cs="Arial" w:eastAsia="Arial" w:hAnsi="Arial"/>
          <w:sz w:val="16"/>
          <w:szCs w:val="16"/>
          <w:color w:val="auto"/>
        </w:rPr>
        <w:t>As of December 31, 2024, the loans have maturities between January 2025 and April 2035 (between January 2024 and April 2035 as of December 31, 2023) and bear interest at rates in soles that fluctuate between 5.03 percent and 7.86 percent (rates in soles between 2.23 percent and 9.33 percent as of December 31, 2023), and bear the following rates in foreign currency:</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5560" w:type="dxa"/>
            <w:vAlign w:val="bottom"/>
            <w:gridSpan w:val="2"/>
          </w:tcPr>
          <w:p>
            <w:pPr>
              <w:ind w:left="5020"/>
              <w:spacing w:after="0"/>
              <w:rPr>
                <w:sz w:val="20"/>
                <w:szCs w:val="20"/>
                <w:color w:val="auto"/>
              </w:rPr>
            </w:pPr>
            <w:r>
              <w:rPr>
                <w:rFonts w:ascii="Arial" w:cs="Arial" w:eastAsia="Arial" w:hAnsi="Arial"/>
                <w:sz w:val="16"/>
                <w:szCs w:val="16"/>
                <w:b w:val="1"/>
                <w:bCs w:val="1"/>
                <w:color w:val="auto"/>
              </w:rPr>
              <w:t>2024</w:t>
            </w:r>
          </w:p>
        </w:tc>
        <w:tc>
          <w:tcPr>
            <w:tcW w:w="1160" w:type="dxa"/>
            <w:vAlign w:val="bottom"/>
          </w:tcPr>
          <w:p>
            <w:pPr>
              <w:spacing w:after="0"/>
              <w:rPr>
                <w:sz w:val="16"/>
                <w:szCs w:val="16"/>
                <w:color w:val="auto"/>
              </w:rPr>
            </w:pPr>
          </w:p>
        </w:tc>
        <w:tc>
          <w:tcPr>
            <w:tcW w:w="1280" w:type="dxa"/>
            <w:vAlign w:val="bottom"/>
            <w:gridSpan w:val="3"/>
          </w:tcPr>
          <w:p>
            <w:pPr>
              <w:ind w:left="740"/>
              <w:spacing w:after="0"/>
              <w:rPr>
                <w:sz w:val="20"/>
                <w:szCs w:val="20"/>
                <w:color w:val="auto"/>
              </w:rPr>
            </w:pPr>
            <w:r>
              <w:rPr>
                <w:rFonts w:ascii="Arial" w:cs="Arial" w:eastAsia="Arial" w:hAnsi="Arial"/>
                <w:sz w:val="16"/>
                <w:szCs w:val="16"/>
                <w:b w:val="1"/>
                <w:bCs w:val="1"/>
                <w:color w:val="auto"/>
              </w:rPr>
              <w:t>2023</w:t>
            </w: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0"/>
        </w:trPr>
        <w:tc>
          <w:tcPr>
            <w:tcW w:w="5020" w:type="dxa"/>
            <w:vAlign w:val="bottom"/>
          </w:tcPr>
          <w:p>
            <w:pPr>
              <w:spacing w:after="0"/>
              <w:rPr>
                <w:sz w:val="13"/>
                <w:szCs w:val="13"/>
                <w:color w:val="auto"/>
              </w:rPr>
            </w:pPr>
          </w:p>
        </w:tc>
        <w:tc>
          <w:tcPr>
            <w:tcW w:w="54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Min</w:t>
            </w:r>
          </w:p>
        </w:tc>
        <w:tc>
          <w:tcPr>
            <w:tcW w:w="1160" w:type="dxa"/>
            <w:vAlign w:val="bottom"/>
            <w:tcBorders>
              <w:top w:val="single" w:sz="8" w:color="auto"/>
            </w:tcBorders>
          </w:tcPr>
          <w:p>
            <w:pPr>
              <w:ind w:left="680"/>
              <w:spacing w:after="0" w:line="150" w:lineRule="exact"/>
              <w:rPr>
                <w:sz w:val="20"/>
                <w:szCs w:val="20"/>
                <w:color w:val="auto"/>
              </w:rPr>
            </w:pPr>
            <w:r>
              <w:rPr>
                <w:rFonts w:ascii="Arial" w:cs="Arial" w:eastAsia="Arial" w:hAnsi="Arial"/>
                <w:sz w:val="16"/>
                <w:szCs w:val="16"/>
                <w:b w:val="1"/>
                <w:bCs w:val="1"/>
                <w:color w:val="auto"/>
              </w:rPr>
              <w:t>Max</w:t>
            </w: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Min</w:t>
            </w:r>
          </w:p>
        </w:tc>
        <w:tc>
          <w:tcPr>
            <w:tcW w:w="6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00"/>
              <w:spacing w:after="0" w:line="150" w:lineRule="exact"/>
              <w:rPr>
                <w:sz w:val="20"/>
                <w:szCs w:val="20"/>
                <w:color w:val="auto"/>
              </w:rPr>
            </w:pPr>
            <w:r>
              <w:rPr>
                <w:rFonts w:ascii="Arial" w:cs="Arial" w:eastAsia="Arial" w:hAnsi="Arial"/>
                <w:sz w:val="16"/>
                <w:szCs w:val="16"/>
                <w:b w:val="1"/>
                <w:bCs w:val="1"/>
                <w:color w:val="auto"/>
              </w:rPr>
              <w:t>Max</w:t>
            </w:r>
          </w:p>
        </w:tc>
        <w:tc>
          <w:tcPr>
            <w:tcW w:w="20" w:type="dxa"/>
            <w:vAlign w:val="bottom"/>
          </w:tcPr>
          <w:p>
            <w:pPr>
              <w:spacing w:after="0"/>
              <w:rPr>
                <w:sz w:val="13"/>
                <w:szCs w:val="13"/>
                <w:color w:val="auto"/>
              </w:rPr>
            </w:pPr>
          </w:p>
        </w:tc>
      </w:tr>
      <w:tr>
        <w:trPr>
          <w:trHeight w:val="177"/>
        </w:trPr>
        <w:tc>
          <w:tcPr>
            <w:tcW w:w="5560" w:type="dxa"/>
            <w:vAlign w:val="bottom"/>
            <w:gridSpan w:val="2"/>
          </w:tcPr>
          <w:p>
            <w:pPr>
              <w:ind w:left="5020"/>
              <w:spacing w:after="0" w:line="177" w:lineRule="exact"/>
              <w:rPr>
                <w:sz w:val="20"/>
                <w:szCs w:val="20"/>
                <w:color w:val="auto"/>
              </w:rPr>
            </w:pPr>
            <w:r>
              <w:rPr>
                <w:rFonts w:ascii="Arial" w:cs="Arial" w:eastAsia="Arial" w:hAnsi="Arial"/>
                <w:sz w:val="16"/>
                <w:szCs w:val="16"/>
                <w:b w:val="1"/>
                <w:bCs w:val="1"/>
                <w:color w:val="auto"/>
              </w:rPr>
              <w:t>%</w:t>
            </w:r>
          </w:p>
        </w:tc>
        <w:tc>
          <w:tcPr>
            <w:tcW w:w="1160" w:type="dxa"/>
            <w:vAlign w:val="bottom"/>
          </w:tcPr>
          <w:p>
            <w:pPr>
              <w:ind w:left="680"/>
              <w:spacing w:after="0" w:line="177" w:lineRule="exact"/>
              <w:rPr>
                <w:sz w:val="20"/>
                <w:szCs w:val="20"/>
                <w:color w:val="auto"/>
              </w:rPr>
            </w:pPr>
            <w:r>
              <w:rPr>
                <w:rFonts w:ascii="Arial" w:cs="Arial" w:eastAsia="Arial" w:hAnsi="Arial"/>
                <w:sz w:val="16"/>
                <w:szCs w:val="16"/>
                <w:b w:val="1"/>
                <w:bCs w:val="1"/>
                <w:color w:val="auto"/>
              </w:rPr>
              <w:t>%</w:t>
            </w:r>
          </w:p>
        </w:tc>
        <w:tc>
          <w:tcPr>
            <w:tcW w:w="1280" w:type="dxa"/>
            <w:vAlign w:val="bottom"/>
            <w:gridSpan w:val="3"/>
          </w:tcPr>
          <w:p>
            <w:pPr>
              <w:ind w:left="740"/>
              <w:spacing w:after="0" w:line="177" w:lineRule="exact"/>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15"/>
                <w:szCs w:val="15"/>
                <w:color w:val="auto"/>
              </w:rPr>
            </w:pPr>
          </w:p>
        </w:tc>
        <w:tc>
          <w:tcPr>
            <w:tcW w:w="1180" w:type="dxa"/>
            <w:vAlign w:val="bottom"/>
          </w:tcPr>
          <w:p>
            <w:pPr>
              <w:ind w:left="100"/>
              <w:spacing w:after="0" w:line="177"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r>
      <w:tr>
        <w:trPr>
          <w:trHeight w:val="175"/>
        </w:trPr>
        <w:tc>
          <w:tcPr>
            <w:tcW w:w="5560" w:type="dxa"/>
            <w:vAlign w:val="bottom"/>
            <w:gridSpan w:val="2"/>
          </w:tcPr>
          <w:p>
            <w:pPr>
              <w:spacing w:after="0" w:line="175" w:lineRule="exact"/>
              <w:rPr>
                <w:sz w:val="20"/>
                <w:szCs w:val="20"/>
                <w:color w:val="auto"/>
              </w:rPr>
            </w:pPr>
            <w:r>
              <w:rPr>
                <w:rFonts w:ascii="Arial" w:cs="Arial" w:eastAsia="Arial" w:hAnsi="Arial"/>
                <w:sz w:val="16"/>
                <w:szCs w:val="16"/>
                <w:color w:val="auto"/>
              </w:rPr>
              <w:t>U.S. Dollar</w:t>
            </w:r>
          </w:p>
        </w:tc>
        <w:tc>
          <w:tcPr>
            <w:tcW w:w="1160" w:type="dxa"/>
            <w:vAlign w:val="bottom"/>
          </w:tcPr>
          <w:p>
            <w:pPr>
              <w:jc w:val="right"/>
              <w:ind w:right="582"/>
              <w:spacing w:after="0" w:line="175" w:lineRule="exact"/>
              <w:rPr>
                <w:sz w:val="20"/>
                <w:szCs w:val="20"/>
                <w:color w:val="auto"/>
              </w:rPr>
            </w:pPr>
            <w:r>
              <w:rPr>
                <w:rFonts w:ascii="Arial" w:cs="Arial" w:eastAsia="Arial" w:hAnsi="Arial"/>
                <w:sz w:val="16"/>
                <w:szCs w:val="16"/>
                <w:color w:val="auto"/>
              </w:rPr>
              <w:t>4.80</w:t>
            </w:r>
          </w:p>
        </w:tc>
        <w:tc>
          <w:tcPr>
            <w:tcW w:w="74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6.14</w:t>
            </w:r>
          </w:p>
        </w:tc>
        <w:tc>
          <w:tcPr>
            <w:tcW w:w="540" w:type="dxa"/>
            <w:vAlign w:val="bottom"/>
          </w:tcPr>
          <w:p>
            <w:pPr>
              <w:spacing w:after="0"/>
              <w:rPr>
                <w:sz w:val="15"/>
                <w:szCs w:val="15"/>
                <w:color w:val="auto"/>
              </w:rPr>
            </w:pPr>
          </w:p>
        </w:tc>
        <w:tc>
          <w:tcPr>
            <w:tcW w:w="600" w:type="dxa"/>
            <w:vAlign w:val="bottom"/>
          </w:tcPr>
          <w:p>
            <w:pPr>
              <w:jc w:val="right"/>
              <w:ind w:right="2"/>
              <w:spacing w:after="0" w:line="175" w:lineRule="exact"/>
              <w:rPr>
                <w:sz w:val="20"/>
                <w:szCs w:val="20"/>
                <w:color w:val="auto"/>
              </w:rPr>
            </w:pPr>
            <w:r>
              <w:rPr>
                <w:rFonts w:ascii="Arial" w:cs="Arial" w:eastAsia="Arial" w:hAnsi="Arial"/>
                <w:sz w:val="16"/>
                <w:szCs w:val="16"/>
                <w:color w:val="auto"/>
              </w:rPr>
              <w:t>5.78</w:t>
            </w: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7.09</w:t>
            </w:r>
          </w:p>
        </w:tc>
        <w:tc>
          <w:tcPr>
            <w:tcW w:w="20" w:type="dxa"/>
            <w:vAlign w:val="bottom"/>
          </w:tcPr>
          <w:p>
            <w:pPr>
              <w:spacing w:after="0"/>
              <w:rPr>
                <w:sz w:val="15"/>
                <w:szCs w:val="15"/>
                <w:color w:val="auto"/>
              </w:rPr>
            </w:pPr>
          </w:p>
        </w:tc>
      </w:tr>
      <w:tr>
        <w:trPr>
          <w:trHeight w:val="175"/>
        </w:trPr>
        <w:tc>
          <w:tcPr>
            <w:tcW w:w="5560" w:type="dxa"/>
            <w:vAlign w:val="bottom"/>
            <w:gridSpan w:val="2"/>
          </w:tcPr>
          <w:p>
            <w:pPr>
              <w:spacing w:after="0" w:line="175" w:lineRule="exact"/>
              <w:rPr>
                <w:sz w:val="20"/>
                <w:szCs w:val="20"/>
                <w:color w:val="auto"/>
              </w:rPr>
            </w:pPr>
            <w:r>
              <w:rPr>
                <w:rFonts w:ascii="Arial" w:cs="Arial" w:eastAsia="Arial" w:hAnsi="Arial"/>
                <w:sz w:val="16"/>
                <w:szCs w:val="16"/>
                <w:color w:val="auto"/>
              </w:rPr>
              <w:t>Boliviano</w:t>
            </w:r>
          </w:p>
        </w:tc>
        <w:tc>
          <w:tcPr>
            <w:tcW w:w="1160" w:type="dxa"/>
            <w:vAlign w:val="bottom"/>
          </w:tcPr>
          <w:p>
            <w:pPr>
              <w:jc w:val="right"/>
              <w:ind w:right="582"/>
              <w:spacing w:after="0" w:line="175" w:lineRule="exact"/>
              <w:rPr>
                <w:sz w:val="20"/>
                <w:szCs w:val="20"/>
                <w:color w:val="auto"/>
              </w:rPr>
            </w:pPr>
            <w:r>
              <w:rPr>
                <w:rFonts w:ascii="Arial" w:cs="Arial" w:eastAsia="Arial" w:hAnsi="Arial"/>
                <w:sz w:val="16"/>
                <w:szCs w:val="16"/>
                <w:color w:val="auto"/>
              </w:rPr>
              <w:t>4.90</w:t>
            </w:r>
          </w:p>
        </w:tc>
        <w:tc>
          <w:tcPr>
            <w:tcW w:w="74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6.90</w:t>
            </w:r>
          </w:p>
        </w:tc>
        <w:tc>
          <w:tcPr>
            <w:tcW w:w="540" w:type="dxa"/>
            <w:vAlign w:val="bottom"/>
          </w:tcPr>
          <w:p>
            <w:pPr>
              <w:spacing w:after="0"/>
              <w:rPr>
                <w:sz w:val="15"/>
                <w:szCs w:val="15"/>
                <w:color w:val="auto"/>
              </w:rPr>
            </w:pPr>
          </w:p>
        </w:tc>
        <w:tc>
          <w:tcPr>
            <w:tcW w:w="600" w:type="dxa"/>
            <w:vAlign w:val="bottom"/>
          </w:tcPr>
          <w:p>
            <w:pPr>
              <w:jc w:val="right"/>
              <w:ind w:right="2"/>
              <w:spacing w:after="0" w:line="175" w:lineRule="exact"/>
              <w:rPr>
                <w:sz w:val="20"/>
                <w:szCs w:val="20"/>
                <w:color w:val="auto"/>
              </w:rPr>
            </w:pPr>
            <w:r>
              <w:rPr>
                <w:rFonts w:ascii="Arial" w:cs="Arial" w:eastAsia="Arial" w:hAnsi="Arial"/>
                <w:sz w:val="16"/>
                <w:szCs w:val="16"/>
                <w:color w:val="auto"/>
              </w:rPr>
              <w:t>4.90</w:t>
            </w: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6.90</w:t>
            </w:r>
          </w:p>
        </w:tc>
        <w:tc>
          <w:tcPr>
            <w:tcW w:w="20" w:type="dxa"/>
            <w:vAlign w:val="bottom"/>
          </w:tcPr>
          <w:p>
            <w:pPr>
              <w:spacing w:after="0"/>
              <w:rPr>
                <w:sz w:val="15"/>
                <w:szCs w:val="15"/>
                <w:color w:val="auto"/>
              </w:rPr>
            </w:pPr>
          </w:p>
        </w:tc>
      </w:tr>
      <w:tr>
        <w:trPr>
          <w:trHeight w:val="175"/>
        </w:trPr>
        <w:tc>
          <w:tcPr>
            <w:tcW w:w="5560" w:type="dxa"/>
            <w:vAlign w:val="bottom"/>
            <w:gridSpan w:val="2"/>
          </w:tcPr>
          <w:p>
            <w:pPr>
              <w:spacing w:after="0" w:line="175" w:lineRule="exact"/>
              <w:rPr>
                <w:sz w:val="20"/>
                <w:szCs w:val="20"/>
                <w:color w:val="auto"/>
              </w:rPr>
            </w:pPr>
            <w:r>
              <w:rPr>
                <w:rFonts w:ascii="Arial" w:cs="Arial" w:eastAsia="Arial" w:hAnsi="Arial"/>
                <w:sz w:val="16"/>
                <w:szCs w:val="16"/>
                <w:color w:val="auto"/>
              </w:rPr>
              <w:t>Chilean Peso</w:t>
            </w:r>
          </w:p>
        </w:tc>
        <w:tc>
          <w:tcPr>
            <w:tcW w:w="1160" w:type="dxa"/>
            <w:vAlign w:val="bottom"/>
          </w:tcPr>
          <w:p>
            <w:pPr>
              <w:jc w:val="right"/>
              <w:ind w:right="582"/>
              <w:spacing w:after="0" w:line="175" w:lineRule="exact"/>
              <w:rPr>
                <w:sz w:val="20"/>
                <w:szCs w:val="20"/>
                <w:color w:val="auto"/>
              </w:rPr>
            </w:pPr>
            <w:r>
              <w:rPr>
                <w:rFonts w:ascii="Arial" w:cs="Arial" w:eastAsia="Arial" w:hAnsi="Arial"/>
                <w:sz w:val="16"/>
                <w:szCs w:val="16"/>
                <w:color w:val="auto"/>
              </w:rPr>
              <w:t>0.62</w:t>
            </w:r>
          </w:p>
        </w:tc>
        <w:tc>
          <w:tcPr>
            <w:tcW w:w="74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0.76</w:t>
            </w:r>
          </w:p>
        </w:tc>
        <w:tc>
          <w:tcPr>
            <w:tcW w:w="540" w:type="dxa"/>
            <w:vAlign w:val="bottom"/>
          </w:tcPr>
          <w:p>
            <w:pPr>
              <w:spacing w:after="0"/>
              <w:rPr>
                <w:sz w:val="15"/>
                <w:szCs w:val="15"/>
                <w:color w:val="auto"/>
              </w:rPr>
            </w:pPr>
          </w:p>
        </w:tc>
        <w:tc>
          <w:tcPr>
            <w:tcW w:w="600" w:type="dxa"/>
            <w:vAlign w:val="bottom"/>
          </w:tcPr>
          <w:p>
            <w:pPr>
              <w:jc w:val="right"/>
              <w:ind w:right="2"/>
              <w:spacing w:after="0" w:line="175" w:lineRule="exact"/>
              <w:rPr>
                <w:sz w:val="20"/>
                <w:szCs w:val="20"/>
                <w:color w:val="auto"/>
              </w:rPr>
            </w:pPr>
            <w:r>
              <w:rPr>
                <w:rFonts w:ascii="Arial" w:cs="Arial" w:eastAsia="Arial" w:hAnsi="Arial"/>
                <w:sz w:val="16"/>
                <w:szCs w:val="16"/>
                <w:color w:val="auto"/>
              </w:rPr>
              <w:t>0.88</w:t>
            </w: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0.89</w:t>
            </w:r>
          </w:p>
        </w:tc>
        <w:tc>
          <w:tcPr>
            <w:tcW w:w="20" w:type="dxa"/>
            <w:vAlign w:val="bottom"/>
          </w:tcPr>
          <w:p>
            <w:pPr>
              <w:spacing w:after="0"/>
              <w:rPr>
                <w:sz w:val="15"/>
                <w:szCs w:val="15"/>
                <w:color w:val="auto"/>
              </w:rPr>
            </w:pPr>
          </w:p>
        </w:tc>
      </w:tr>
      <w:tr>
        <w:trPr>
          <w:trHeight w:val="205"/>
        </w:trPr>
        <w:tc>
          <w:tcPr>
            <w:tcW w:w="5560" w:type="dxa"/>
            <w:vAlign w:val="bottom"/>
            <w:gridSpan w:val="2"/>
          </w:tcPr>
          <w:p>
            <w:pPr>
              <w:spacing w:after="0"/>
              <w:rPr>
                <w:sz w:val="20"/>
                <w:szCs w:val="20"/>
                <w:color w:val="auto"/>
              </w:rPr>
            </w:pPr>
            <w:r>
              <w:rPr>
                <w:rFonts w:ascii="Arial" w:cs="Arial" w:eastAsia="Arial" w:hAnsi="Arial"/>
                <w:sz w:val="16"/>
                <w:szCs w:val="16"/>
                <w:color w:val="auto"/>
              </w:rPr>
              <w:t>Colombian Peso</w:t>
            </w:r>
          </w:p>
        </w:tc>
        <w:tc>
          <w:tcPr>
            <w:tcW w:w="1160" w:type="dxa"/>
            <w:vAlign w:val="bottom"/>
          </w:tcPr>
          <w:p>
            <w:pPr>
              <w:jc w:val="right"/>
              <w:ind w:right="582"/>
              <w:spacing w:after="0"/>
              <w:rPr>
                <w:sz w:val="20"/>
                <w:szCs w:val="20"/>
                <w:color w:val="auto"/>
              </w:rPr>
            </w:pPr>
            <w:r>
              <w:rPr>
                <w:rFonts w:ascii="Arial" w:cs="Arial" w:eastAsia="Arial" w:hAnsi="Arial"/>
                <w:sz w:val="16"/>
                <w:szCs w:val="16"/>
                <w:color w:val="auto"/>
              </w:rPr>
              <w:t>0.45</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13.95</w:t>
            </w:r>
          </w:p>
        </w:tc>
        <w:tc>
          <w:tcPr>
            <w:tcW w:w="5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0.45</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17.64</w:t>
            </w:r>
          </w:p>
        </w:tc>
      </w:tr>
    </w:tbl>
    <w:p>
      <w:pPr>
        <w:spacing w:after="0" w:line="145" w:lineRule="exact"/>
        <w:rPr>
          <w:sz w:val="20"/>
          <w:szCs w:val="20"/>
          <w:color w:val="auto"/>
        </w:rPr>
      </w:pPr>
    </w:p>
    <w:p>
      <w:pPr>
        <w:ind w:left="560" w:hanging="286"/>
        <w:spacing w:after="0" w:line="241" w:lineRule="auto"/>
        <w:tabs>
          <w:tab w:leader="none" w:pos="5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As of December 31, 2024, the Group maintain cross currency swaps (CCS) that were designated as cash flow hedges of certain repo operations in U.S dollars for a nominal amount of US$60.0 million, equivalent to S/225.8 million (US$60.0 million, equivalent to S/222.5 million as of December 31, 2023), see Note 12(c).</w:t>
      </w:r>
    </w:p>
    <w:p>
      <w:pPr>
        <w:spacing w:after="0" w:line="304" w:lineRule="exact"/>
        <w:rPr>
          <w:sz w:val="20"/>
          <w:szCs w:val="20"/>
          <w:color w:val="auto"/>
        </w:rPr>
      </w:pPr>
    </w:p>
    <w:p>
      <w:pPr>
        <w:jc w:val="center"/>
        <w:ind w:right="540"/>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0660"/>
          </w:cols>
          <w:pgMar w:left="880" w:top="124" w:right="359" w:bottom="1440" w:gutter="0" w:footer="0" w:header="0"/>
        </w:sectPr>
      </w:pPr>
    </w:p>
    <w:bookmarkStart w:id="93" w:name="page94"/>
    <w:bookmarkEnd w:id="93"/>
    <w:p>
      <w:pPr>
        <w:ind w:left="566" w:right="80" w:hanging="286"/>
        <w:spacing w:after="0" w:line="242" w:lineRule="auto"/>
        <w:tabs>
          <w:tab w:leader="none" w:pos="56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In December 2024, a 25-month Club Deal Loan format loan for US$250.0 million, equivalent to S/941.0 million, agreed in November 2022 with five foreign banks was canceled: Wells Fargo Bank NY (Administrative Agent), Standard Chartered Bank, JP Morgan Chase Bank N.A., HSBC Bank and Bank of America (as of December 31, 2023, the balance was US$250.0 million equivalent to S/924.0 million).</w:t>
      </w:r>
    </w:p>
    <w:p>
      <w:pPr>
        <w:spacing w:after="0" w:line="144" w:lineRule="exact"/>
        <w:rPr>
          <w:rFonts w:ascii="Arial" w:cs="Arial" w:eastAsia="Arial" w:hAnsi="Arial"/>
          <w:sz w:val="16"/>
          <w:szCs w:val="16"/>
          <w:color w:val="auto"/>
        </w:rPr>
      </w:pPr>
    </w:p>
    <w:p>
      <w:pPr>
        <w:ind w:left="566" w:right="300"/>
        <w:spacing w:after="0" w:line="255" w:lineRule="auto"/>
        <w:rPr>
          <w:rFonts w:ascii="Arial" w:cs="Arial" w:eastAsia="Arial" w:hAnsi="Arial"/>
          <w:sz w:val="16"/>
          <w:szCs w:val="16"/>
          <w:color w:val="auto"/>
        </w:rPr>
      </w:pPr>
      <w:r>
        <w:rPr>
          <w:rFonts w:ascii="Arial" w:cs="Arial" w:eastAsia="Arial" w:hAnsi="Arial"/>
          <w:sz w:val="16"/>
          <w:szCs w:val="16"/>
          <w:color w:val="auto"/>
        </w:rPr>
        <w:t>In April 2023, JP Morgan Chase Bank carried out a partial transfer of its collection rights in favor of ICBC Perú Bank S.A. for US$20.0 million or S/74.2 million.</w:t>
      </w:r>
    </w:p>
    <w:p>
      <w:pPr>
        <w:spacing w:after="0" w:line="134" w:lineRule="exact"/>
        <w:rPr>
          <w:rFonts w:ascii="Arial" w:cs="Arial" w:eastAsia="Arial" w:hAnsi="Arial"/>
          <w:sz w:val="16"/>
          <w:szCs w:val="16"/>
          <w:color w:val="auto"/>
        </w:rPr>
      </w:pPr>
    </w:p>
    <w:p>
      <w:pPr>
        <w:ind w:left="566" w:right="200"/>
        <w:spacing w:after="0" w:line="255" w:lineRule="auto"/>
        <w:rPr>
          <w:rFonts w:ascii="Arial" w:cs="Arial" w:eastAsia="Arial" w:hAnsi="Arial"/>
          <w:sz w:val="16"/>
          <w:szCs w:val="16"/>
          <w:color w:val="auto"/>
        </w:rPr>
      </w:pPr>
      <w:r>
        <w:rPr>
          <w:rFonts w:ascii="Arial" w:cs="Arial" w:eastAsia="Arial" w:hAnsi="Arial"/>
          <w:sz w:val="16"/>
          <w:szCs w:val="16"/>
          <w:color w:val="auto"/>
        </w:rPr>
        <w:t>The loan accrued interest at a 3-month SOFR variable rate plus a spread of 1.5 percent. Likewise, the expenses related to said transaction were deferred and accrued proportionally during the term of the loan.</w:t>
      </w:r>
    </w:p>
    <w:p>
      <w:pPr>
        <w:spacing w:after="0" w:line="134" w:lineRule="exact"/>
        <w:rPr>
          <w:rFonts w:ascii="Arial" w:cs="Arial" w:eastAsia="Arial" w:hAnsi="Arial"/>
          <w:sz w:val="16"/>
          <w:szCs w:val="16"/>
          <w:color w:val="auto"/>
        </w:rPr>
      </w:pPr>
    </w:p>
    <w:p>
      <w:pPr>
        <w:ind w:left="286" w:right="100" w:hanging="286"/>
        <w:spacing w:after="0" w:line="274" w:lineRule="auto"/>
        <w:tabs>
          <w:tab w:leader="none" w:pos="28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Promotional credit lines represent loans granted by Corporación Financiera de Desarrollo and Fondo de Cooperación para el Desarrollo Social (COFIDE and FONCODES for their Spanish acronyms, respectively) to promote the development of Peru, they mature between January 2025 and January 2032 and bear annual interest in soles at rates that fluctuate between 6.00 percent and 7.60 percent and interest in foreign currency at 7.75 percent as of December 31, 2024 (between January 2024 and January 2032 and with annual interest in soles at rates that fluctuate between 3.50 percent and 7.60 percent and interest in foreign currency between 7.75 percent as of December 31, 2023). These lines of credit are guaranteed with a portfolio of Fondo Mi Vivienda mortgage loans amounting S/4,550.6 million and S/4,389.4 million, as of December 31, 2024, and 2023 respectively.</w:t>
      </w:r>
    </w:p>
    <w:p>
      <w:pPr>
        <w:spacing w:after="0" w:line="122" w:lineRule="exact"/>
        <w:rPr>
          <w:rFonts w:ascii="Arial" w:cs="Arial" w:eastAsia="Arial" w:hAnsi="Arial"/>
          <w:sz w:val="14"/>
          <w:szCs w:val="14"/>
          <w:color w:val="auto"/>
        </w:rPr>
      </w:pPr>
    </w:p>
    <w:p>
      <w:pPr>
        <w:ind w:left="286" w:hanging="286"/>
        <w:spacing w:after="0" w:line="255" w:lineRule="auto"/>
        <w:tabs>
          <w:tab w:leader="none" w:pos="28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following table presents the maturities of due to banks and correspondents as of December 31, 2024 and 2023 based on the period remaining to maturity:</w:t>
      </w:r>
    </w:p>
    <w:p>
      <w:pPr>
        <w:spacing w:after="0" w:line="132" w:lineRule="exact"/>
        <w:rPr>
          <w:sz w:val="20"/>
          <w:szCs w:val="20"/>
          <w:color w:val="auto"/>
        </w:rPr>
      </w:pPr>
    </w:p>
    <w:tbl>
      <w:tblPr>
        <w:tblLayout w:type="fixed"/>
        <w:tblInd w:w="286"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r>
      <w:tr>
        <w:trPr>
          <w:trHeight w:val="206"/>
        </w:trPr>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7600" w:type="dxa"/>
            <w:vAlign w:val="bottom"/>
            <w:gridSpan w:val="2"/>
          </w:tcPr>
          <w:p>
            <w:pPr>
              <w:spacing w:after="0"/>
              <w:rPr>
                <w:sz w:val="20"/>
                <w:szCs w:val="20"/>
                <w:color w:val="auto"/>
              </w:rPr>
            </w:pPr>
            <w:r>
              <w:rPr>
                <w:rFonts w:ascii="Arial" w:cs="Arial" w:eastAsia="Arial" w:hAnsi="Arial"/>
                <w:sz w:val="16"/>
                <w:szCs w:val="16"/>
                <w:color w:val="auto"/>
              </w:rPr>
              <w:t>Up to 3 months</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2,137,820</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3,513,860</w:t>
            </w:r>
          </w:p>
        </w:tc>
      </w:tr>
      <w:tr>
        <w:trPr>
          <w:trHeight w:val="175"/>
        </w:trPr>
        <w:tc>
          <w:tcPr>
            <w:tcW w:w="7600" w:type="dxa"/>
            <w:vAlign w:val="bottom"/>
            <w:gridSpan w:val="2"/>
          </w:tcPr>
          <w:p>
            <w:pPr>
              <w:spacing w:after="0" w:line="175" w:lineRule="exact"/>
              <w:rPr>
                <w:sz w:val="20"/>
                <w:szCs w:val="20"/>
                <w:color w:val="auto"/>
              </w:rPr>
            </w:pPr>
            <w:r>
              <w:rPr>
                <w:rFonts w:ascii="Arial" w:cs="Arial" w:eastAsia="Arial" w:hAnsi="Arial"/>
                <w:sz w:val="16"/>
                <w:szCs w:val="16"/>
                <w:color w:val="auto"/>
              </w:rPr>
              <w:t>From 3 months to 1 year</w:t>
            </w:r>
          </w:p>
        </w:tc>
        <w:tc>
          <w:tcPr>
            <w:tcW w:w="112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3,320,059</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3,514,114</w:t>
            </w:r>
          </w:p>
        </w:tc>
      </w:tr>
      <w:tr>
        <w:trPr>
          <w:trHeight w:val="175"/>
        </w:trPr>
        <w:tc>
          <w:tcPr>
            <w:tcW w:w="7600" w:type="dxa"/>
            <w:vAlign w:val="bottom"/>
            <w:gridSpan w:val="2"/>
          </w:tcPr>
          <w:p>
            <w:pPr>
              <w:spacing w:after="0" w:line="175" w:lineRule="exact"/>
              <w:rPr>
                <w:sz w:val="20"/>
                <w:szCs w:val="20"/>
                <w:color w:val="auto"/>
              </w:rPr>
            </w:pPr>
            <w:r>
              <w:rPr>
                <w:rFonts w:ascii="Arial" w:cs="Arial" w:eastAsia="Arial" w:hAnsi="Arial"/>
                <w:sz w:val="16"/>
                <w:szCs w:val="16"/>
                <w:color w:val="auto"/>
              </w:rPr>
              <w:t>From 1 to 3 years</w:t>
            </w:r>
          </w:p>
        </w:tc>
        <w:tc>
          <w:tcPr>
            <w:tcW w:w="112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1,662,047</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1,568,163</w:t>
            </w:r>
          </w:p>
        </w:tc>
      </w:tr>
      <w:tr>
        <w:trPr>
          <w:trHeight w:val="175"/>
        </w:trPr>
        <w:tc>
          <w:tcPr>
            <w:tcW w:w="7600" w:type="dxa"/>
            <w:vAlign w:val="bottom"/>
            <w:gridSpan w:val="2"/>
          </w:tcPr>
          <w:p>
            <w:pPr>
              <w:spacing w:after="0" w:line="175" w:lineRule="exact"/>
              <w:rPr>
                <w:sz w:val="20"/>
                <w:szCs w:val="20"/>
                <w:color w:val="auto"/>
              </w:rPr>
            </w:pPr>
            <w:r>
              <w:rPr>
                <w:rFonts w:ascii="Arial" w:cs="Arial" w:eastAsia="Arial" w:hAnsi="Arial"/>
                <w:sz w:val="16"/>
                <w:szCs w:val="16"/>
                <w:color w:val="auto"/>
              </w:rPr>
              <w:t>From 3 to 5 years</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824,015</w:t>
            </w:r>
          </w:p>
        </w:tc>
        <w:tc>
          <w:tcPr>
            <w:tcW w:w="180" w:type="dxa"/>
            <w:vAlign w:val="bottom"/>
          </w:tcPr>
          <w:p>
            <w:pPr>
              <w:spacing w:after="0"/>
              <w:rPr>
                <w:sz w:val="15"/>
                <w:szCs w:val="15"/>
                <w:color w:val="auto"/>
              </w:rPr>
            </w:pP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795,765</w:t>
            </w:r>
          </w:p>
        </w:tc>
      </w:tr>
      <w:tr>
        <w:trPr>
          <w:trHeight w:val="190"/>
        </w:trPr>
        <w:tc>
          <w:tcPr>
            <w:tcW w:w="7600" w:type="dxa"/>
            <w:vAlign w:val="bottom"/>
            <w:gridSpan w:val="2"/>
          </w:tcPr>
          <w:p>
            <w:pPr>
              <w:spacing w:after="0"/>
              <w:rPr>
                <w:sz w:val="20"/>
                <w:szCs w:val="20"/>
                <w:color w:val="auto"/>
              </w:rPr>
            </w:pPr>
            <w:r>
              <w:rPr>
                <w:rFonts w:ascii="Arial" w:cs="Arial" w:eastAsia="Arial" w:hAnsi="Arial"/>
                <w:sz w:val="16"/>
                <w:szCs w:val="16"/>
                <w:color w:val="auto"/>
              </w:rPr>
              <w:t>More than 5 years</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2,777,888</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2,684,665</w:t>
            </w:r>
          </w:p>
        </w:tc>
      </w:tr>
      <w:tr>
        <w:trPr>
          <w:trHeight w:val="170"/>
        </w:trPr>
        <w:tc>
          <w:tcPr>
            <w:tcW w:w="75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10,721,829</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12,076,567</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286" w:right="200" w:hanging="286"/>
        <w:spacing w:after="0" w:line="255" w:lineRule="auto"/>
        <w:tabs>
          <w:tab w:leader="none" w:pos="28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As of December 31, 2024, and 2023, lines of credit granted by various local and foreign financial institutions, to be used for future operating activities total S/10,371.8 million and S/11,752.2 million, respectively.</w:t>
      </w:r>
    </w:p>
    <w:p>
      <w:pPr>
        <w:spacing w:after="0" w:line="134" w:lineRule="exact"/>
        <w:rPr>
          <w:rFonts w:ascii="Arial" w:cs="Arial" w:eastAsia="Arial" w:hAnsi="Arial"/>
          <w:sz w:val="16"/>
          <w:szCs w:val="16"/>
          <w:color w:val="auto"/>
        </w:rPr>
      </w:pPr>
    </w:p>
    <w:p>
      <w:pPr>
        <w:ind w:left="286" w:hanging="286"/>
        <w:spacing w:after="0" w:line="241" w:lineRule="auto"/>
        <w:tabs>
          <w:tab w:leader="none" w:pos="28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Certain debts to banks, correspondents and other entities include specific agreements on how the funds received should be used, the financial conditions that the Bank must maintain, as well as other administrative matters. In Management's opinion, these specific agreements have been fulfilled by the Bank as of December 31, 2024, and 2023.</w:t>
      </w:r>
    </w:p>
    <w:p>
      <w:pPr>
        <w:spacing w:after="0" w:line="293" w:lineRule="exact"/>
        <w:rPr>
          <w:sz w:val="20"/>
          <w:szCs w:val="20"/>
          <w:color w:val="auto"/>
        </w:rPr>
      </w:pPr>
    </w:p>
    <w:p>
      <w:pPr>
        <w:ind w:left="4966"/>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94" w:name="page95"/>
    <w:bookmarkEnd w:id="94"/>
    <w:p>
      <w:pPr>
        <w:ind w:left="567" w:hanging="567"/>
        <w:spacing w:after="0"/>
        <w:tabs>
          <w:tab w:leader="none" w:pos="567"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BONDS AND NOTES ISSUED</w:t>
      </w:r>
    </w:p>
    <w:p>
      <w:pPr>
        <w:spacing w:after="0" w:line="155" w:lineRule="exact"/>
        <w:rPr>
          <w:rFonts w:ascii="Arial" w:cs="Arial" w:eastAsia="Arial" w:hAnsi="Arial"/>
          <w:sz w:val="16"/>
          <w:szCs w:val="16"/>
          <w:b w:val="1"/>
          <w:bCs w:val="1"/>
          <w:color w:val="auto"/>
        </w:rPr>
      </w:pPr>
    </w:p>
    <w:p>
      <w:pPr>
        <w:ind w:left="847" w:hanging="286"/>
        <w:spacing w:after="0"/>
        <w:tabs>
          <w:tab w:leader="none" w:pos="84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This item consists of the following:</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Annual</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Arial" w:cs="Arial" w:eastAsia="Arial" w:hAnsi="Arial"/>
                <w:sz w:val="16"/>
                <w:szCs w:val="16"/>
                <w:b w:val="1"/>
                <w:bCs w:val="1"/>
                <w:color w:val="auto"/>
              </w:rPr>
              <w:t>Hedge Accounting</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6"/>
              </w:rPr>
              <w:t>Notional</w:t>
            </w: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6"/>
                <w:szCs w:val="16"/>
                <w:b w:val="1"/>
                <w:bCs w:val="1"/>
                <w:color w:val="auto"/>
              </w:rPr>
              <w:t>Issued</w:t>
            </w: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Issued</w:t>
            </w: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840" w:type="dxa"/>
            <w:vAlign w:val="bottom"/>
            <w:gridSpan w:val="3"/>
          </w:tcPr>
          <w:p>
            <w:pPr>
              <w:ind w:left="100"/>
              <w:spacing w:after="0" w:line="157" w:lineRule="exact"/>
              <w:rPr>
                <w:sz w:val="20"/>
                <w:szCs w:val="20"/>
                <w:color w:val="auto"/>
              </w:rPr>
            </w:pPr>
            <w:r>
              <w:rPr>
                <w:rFonts w:ascii="Arial" w:cs="Arial" w:eastAsia="Arial" w:hAnsi="Arial"/>
                <w:sz w:val="16"/>
                <w:szCs w:val="16"/>
                <w:b w:val="1"/>
                <w:bCs w:val="1"/>
                <w:color w:val="auto"/>
              </w:rPr>
              <w:t>interest</w:t>
            </w: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20"/>
              <w:spacing w:after="0" w:line="157" w:lineRule="exact"/>
              <w:rPr>
                <w:sz w:val="20"/>
                <w:szCs w:val="20"/>
                <w:color w:val="auto"/>
              </w:rPr>
            </w:pPr>
            <w:r>
              <w:rPr>
                <w:rFonts w:ascii="Arial" w:cs="Arial" w:eastAsia="Arial" w:hAnsi="Arial"/>
                <w:sz w:val="16"/>
                <w:szCs w:val="16"/>
                <w:b w:val="1"/>
                <w:bCs w:val="1"/>
                <w:color w:val="auto"/>
              </w:rPr>
              <w:t>Type</w:t>
            </w:r>
          </w:p>
        </w:tc>
        <w:tc>
          <w:tcPr>
            <w:tcW w:w="940" w:type="dxa"/>
            <w:vAlign w:val="bottom"/>
          </w:tcPr>
          <w:p>
            <w:pPr>
              <w:jc w:val="right"/>
              <w:ind w:right="42"/>
              <w:spacing w:after="0" w:line="157" w:lineRule="exact"/>
              <w:rPr>
                <w:sz w:val="20"/>
                <w:szCs w:val="20"/>
                <w:color w:val="auto"/>
              </w:rPr>
            </w:pPr>
            <w:r>
              <w:rPr>
                <w:rFonts w:ascii="Arial" w:cs="Arial" w:eastAsia="Arial" w:hAnsi="Arial"/>
                <w:sz w:val="16"/>
                <w:szCs w:val="16"/>
                <w:b w:val="1"/>
                <w:bCs w:val="1"/>
                <w:color w:val="auto"/>
              </w:rPr>
              <w:t>Notional</w:t>
            </w:r>
          </w:p>
        </w:tc>
        <w:tc>
          <w:tcPr>
            <w:tcW w:w="8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60"/>
              <w:spacing w:after="0" w:line="157" w:lineRule="exact"/>
              <w:rPr>
                <w:sz w:val="20"/>
                <w:szCs w:val="20"/>
                <w:color w:val="auto"/>
              </w:rPr>
            </w:pPr>
            <w:r>
              <w:rPr>
                <w:rFonts w:ascii="Arial" w:cs="Arial" w:eastAsia="Arial" w:hAnsi="Arial"/>
                <w:sz w:val="16"/>
                <w:szCs w:val="16"/>
                <w:b w:val="1"/>
                <w:bCs w:val="1"/>
                <w:color w:val="auto"/>
              </w:rPr>
              <w:t>Maturity</w:t>
            </w:r>
          </w:p>
        </w:tc>
        <w:tc>
          <w:tcPr>
            <w:tcW w:w="1040" w:type="dxa"/>
            <w:vAlign w:val="bottom"/>
            <w:gridSpan w:val="3"/>
            <w:vMerge w:val="continue"/>
          </w:tcPr>
          <w:p>
            <w:pPr>
              <w:spacing w:after="0"/>
              <w:rPr>
                <w:sz w:val="13"/>
                <w:szCs w:val="13"/>
                <w:color w:val="auto"/>
              </w:rPr>
            </w:pPr>
          </w:p>
        </w:tc>
        <w:tc>
          <w:tcPr>
            <w:tcW w:w="800" w:type="dxa"/>
            <w:vAlign w:val="bottom"/>
            <w:gridSpan w:val="2"/>
          </w:tcPr>
          <w:p>
            <w:pPr>
              <w:spacing w:after="0" w:line="157" w:lineRule="exact"/>
              <w:rPr>
                <w:sz w:val="20"/>
                <w:szCs w:val="20"/>
                <w:color w:val="auto"/>
              </w:rPr>
            </w:pPr>
            <w:r>
              <w:rPr>
                <w:rFonts w:ascii="Arial" w:cs="Arial" w:eastAsia="Arial" w:hAnsi="Arial"/>
                <w:sz w:val="16"/>
                <w:szCs w:val="16"/>
                <w:b w:val="1"/>
                <w:bCs w:val="1"/>
                <w:color w:val="auto"/>
              </w:rPr>
              <w:t>Carrying</w:t>
            </w:r>
          </w:p>
        </w:tc>
        <w:tc>
          <w:tcPr>
            <w:tcW w:w="80" w:type="dxa"/>
            <w:vAlign w:val="bottom"/>
          </w:tcPr>
          <w:p>
            <w:pPr>
              <w:spacing w:after="0"/>
              <w:rPr>
                <w:sz w:val="13"/>
                <w:szCs w:val="13"/>
                <w:color w:val="auto"/>
              </w:rPr>
            </w:pPr>
          </w:p>
        </w:tc>
        <w:tc>
          <w:tcPr>
            <w:tcW w:w="860" w:type="dxa"/>
            <w:vAlign w:val="bottom"/>
            <w:gridSpan w:val="2"/>
          </w:tcPr>
          <w:p>
            <w:pPr>
              <w:ind w:left="80"/>
              <w:spacing w:after="0" w:line="157" w:lineRule="exact"/>
              <w:rPr>
                <w:sz w:val="20"/>
                <w:szCs w:val="20"/>
                <w:color w:val="auto"/>
              </w:rPr>
            </w:pPr>
            <w:r>
              <w:rPr>
                <w:rFonts w:ascii="Arial" w:cs="Arial" w:eastAsia="Arial" w:hAnsi="Arial"/>
                <w:sz w:val="16"/>
                <w:szCs w:val="16"/>
                <w:b w:val="1"/>
                <w:bCs w:val="1"/>
                <w:color w:val="auto"/>
              </w:rPr>
              <w:t>Maturity</w:t>
            </w:r>
          </w:p>
        </w:tc>
        <w:tc>
          <w:tcPr>
            <w:tcW w:w="920" w:type="dxa"/>
            <w:vAlign w:val="bottom"/>
            <w:gridSpan w:val="2"/>
            <w:vMerge w:val="continue"/>
          </w:tcPr>
          <w:p>
            <w:pPr>
              <w:spacing w:after="0"/>
              <w:rPr>
                <w:sz w:val="13"/>
                <w:szCs w:val="13"/>
                <w:color w:val="auto"/>
              </w:rPr>
            </w:pPr>
          </w:p>
        </w:tc>
        <w:tc>
          <w:tcPr>
            <w:tcW w:w="1040" w:type="dxa"/>
            <w:vAlign w:val="bottom"/>
            <w:gridSpan w:val="4"/>
          </w:tcPr>
          <w:p>
            <w:pPr>
              <w:ind w:left="40"/>
              <w:spacing w:after="0" w:line="157"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rate</w:t>
            </w:r>
          </w:p>
        </w:tc>
        <w:tc>
          <w:tcPr>
            <w:tcW w:w="700" w:type="dxa"/>
            <w:vAlign w:val="bottom"/>
            <w:vMerge w:val="restart"/>
          </w:tcPr>
          <w:p>
            <w:pPr>
              <w:spacing w:after="0"/>
              <w:rPr>
                <w:sz w:val="20"/>
                <w:szCs w:val="20"/>
                <w:color w:val="auto"/>
              </w:rPr>
            </w:pPr>
            <w:r>
              <w:rPr>
                <w:rFonts w:ascii="Arial" w:cs="Arial" w:eastAsia="Arial" w:hAnsi="Arial"/>
                <w:sz w:val="16"/>
                <w:szCs w:val="16"/>
                <w:b w:val="1"/>
                <w:bCs w:val="1"/>
                <w:color w:val="auto"/>
              </w:rPr>
              <w:t>payment</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2"/>
          </w:tcPr>
          <w:p>
            <w:pPr>
              <w:jc w:val="center"/>
              <w:ind w:right="60"/>
              <w:spacing w:after="0" w:line="175" w:lineRule="exact"/>
              <w:rPr>
                <w:sz w:val="20"/>
                <w:szCs w:val="20"/>
                <w:color w:val="auto"/>
              </w:rPr>
            </w:pPr>
            <w:r>
              <w:rPr>
                <w:rFonts w:ascii="Arial" w:cs="Arial" w:eastAsia="Arial" w:hAnsi="Arial"/>
                <w:sz w:val="16"/>
                <w:szCs w:val="16"/>
                <w:b w:val="1"/>
                <w:bCs w:val="1"/>
                <w:color w:val="auto"/>
                <w:w w:val="96"/>
              </w:rPr>
              <w:t>Equivalent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5"/>
        </w:trPr>
        <w:tc>
          <w:tcPr>
            <w:tcW w:w="18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(000)</w:t>
            </w: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w:t>
            </w: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S/(000)</w:t>
            </w: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820" w:type="dxa"/>
            <w:vAlign w:val="bottom"/>
          </w:tcPr>
          <w:p>
            <w:pPr>
              <w:ind w:left="560"/>
              <w:spacing w:after="0"/>
              <w:rPr>
                <w:sz w:val="20"/>
                <w:szCs w:val="20"/>
                <w:color w:val="auto"/>
              </w:rPr>
            </w:pPr>
            <w:r>
              <w:rPr>
                <w:rFonts w:ascii="Arial" w:cs="Arial" w:eastAsia="Arial" w:hAnsi="Arial"/>
                <w:sz w:val="16"/>
                <w:szCs w:val="16"/>
                <w:b w:val="1"/>
                <w:bCs w:val="1"/>
                <w:color w:val="auto"/>
              </w:rPr>
              <w:t>Senior notes -</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Semi-</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color w:val="auto"/>
              </w:rPr>
              <w:t>January</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ind w:left="80"/>
              <w:spacing w:after="0"/>
              <w:rPr>
                <w:sz w:val="20"/>
                <w:szCs w:val="20"/>
                <w:color w:val="auto"/>
              </w:rPr>
            </w:pPr>
            <w:r>
              <w:rPr>
                <w:rFonts w:ascii="Arial" w:cs="Arial" w:eastAsia="Arial" w:hAnsi="Arial"/>
                <w:sz w:val="16"/>
                <w:szCs w:val="16"/>
                <w:color w:val="auto"/>
              </w:rPr>
              <w:t>January</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BCP (i)</w:t>
            </w:r>
          </w:p>
        </w:tc>
        <w:tc>
          <w:tcPr>
            <w:tcW w:w="760" w:type="dxa"/>
            <w:vAlign w:val="bottom"/>
            <w:gridSpan w:val="2"/>
          </w:tcPr>
          <w:p>
            <w:pPr>
              <w:jc w:val="right"/>
              <w:ind w:right="102"/>
              <w:spacing w:after="0" w:line="175" w:lineRule="exact"/>
              <w:rPr>
                <w:sz w:val="20"/>
                <w:szCs w:val="20"/>
                <w:color w:val="auto"/>
              </w:rPr>
            </w:pPr>
            <w:r>
              <w:rPr>
                <w:rFonts w:ascii="Arial" w:cs="Arial" w:eastAsia="Arial" w:hAnsi="Arial"/>
                <w:sz w:val="16"/>
                <w:szCs w:val="16"/>
                <w:color w:val="auto"/>
              </w:rPr>
              <w:t>2.70</w:t>
            </w: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annual</w:t>
            </w:r>
          </w:p>
        </w:tc>
        <w:tc>
          <w:tcPr>
            <w:tcW w:w="8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Arial" w:cs="Arial" w:eastAsia="Arial" w:hAnsi="Arial"/>
                <w:sz w:val="16"/>
                <w:szCs w:val="16"/>
                <w:color w:val="auto"/>
              </w:rPr>
              <w:t>CCS</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US$220,000</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828,080</w:t>
            </w: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color w:val="auto"/>
              </w:rPr>
              <w:t>US$700,000</w:t>
            </w:r>
          </w:p>
        </w:tc>
        <w:tc>
          <w:tcPr>
            <w:tcW w:w="8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8"/>
              </w:rPr>
              <w:t>2,604,249</w:t>
            </w:r>
          </w:p>
        </w:tc>
        <w:tc>
          <w:tcPr>
            <w:tcW w:w="86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5"/>
                <w:szCs w:val="15"/>
                <w:color w:val="auto"/>
              </w:rPr>
            </w:pPr>
          </w:p>
        </w:tc>
        <w:tc>
          <w:tcPr>
            <w:tcW w:w="920" w:type="dxa"/>
            <w:vAlign w:val="bottom"/>
            <w:gridSpan w:val="2"/>
          </w:tcPr>
          <w:p>
            <w:pPr>
              <w:spacing w:after="0" w:line="175" w:lineRule="exact"/>
              <w:rPr>
                <w:sz w:val="20"/>
                <w:szCs w:val="20"/>
                <w:color w:val="auto"/>
              </w:rPr>
            </w:pPr>
            <w:r>
              <w:rPr>
                <w:rFonts w:ascii="Arial" w:cs="Arial" w:eastAsia="Arial" w:hAnsi="Arial"/>
                <w:sz w:val="16"/>
                <w:szCs w:val="16"/>
                <w:color w:val="auto"/>
              </w:rPr>
              <w:t>US$700,000</w:t>
            </w:r>
          </w:p>
        </w:tc>
        <w:tc>
          <w:tcPr>
            <w:tcW w:w="7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2,571,032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Senior notes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BCP (ii)</w:t>
            </w:r>
          </w:p>
        </w:tc>
        <w:tc>
          <w:tcPr>
            <w:tcW w:w="760" w:type="dxa"/>
            <w:vAlign w:val="bottom"/>
            <w:gridSpan w:val="2"/>
          </w:tcPr>
          <w:p>
            <w:pPr>
              <w:jc w:val="right"/>
              <w:ind w:right="102"/>
              <w:spacing w:after="0" w:line="175" w:lineRule="exact"/>
              <w:rPr>
                <w:sz w:val="20"/>
                <w:szCs w:val="20"/>
                <w:color w:val="auto"/>
              </w:rPr>
            </w:pPr>
            <w:r>
              <w:rPr>
                <w:rFonts w:ascii="Arial" w:cs="Arial" w:eastAsia="Arial" w:hAnsi="Arial"/>
                <w:sz w:val="16"/>
                <w:szCs w:val="16"/>
                <w:color w:val="auto"/>
              </w:rPr>
              <w:t>5.85</w:t>
            </w: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annual</w:t>
            </w:r>
          </w:p>
        </w:tc>
        <w:tc>
          <w:tcPr>
            <w:tcW w:w="8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2029</w:t>
            </w:r>
          </w:p>
        </w:tc>
        <w:tc>
          <w:tcPr>
            <w:tcW w:w="8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color w:val="auto"/>
              </w:rPr>
              <w:t>US$500,000</w:t>
            </w:r>
          </w:p>
        </w:tc>
        <w:tc>
          <w:tcPr>
            <w:tcW w:w="8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8"/>
              </w:rPr>
              <w:t>1,862,468</w:t>
            </w:r>
          </w:p>
        </w:tc>
        <w:tc>
          <w:tcPr>
            <w:tcW w:w="940" w:type="dxa"/>
            <w:vAlign w:val="bottom"/>
            <w:gridSpan w:val="3"/>
          </w:tcPr>
          <w:p>
            <w:pPr>
              <w:ind w:left="80"/>
              <w:spacing w:after="0" w:line="175"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0" w:type="dxa"/>
            <w:vAlign w:val="bottom"/>
            <w:gridSpan w:val="3"/>
          </w:tcPr>
          <w:p>
            <w:pPr>
              <w:jc w:val="right"/>
              <w:ind w:right="28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Senior notes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Credicorp Ltd.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June</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(iii)</w:t>
            </w:r>
          </w:p>
        </w:tc>
        <w:tc>
          <w:tcPr>
            <w:tcW w:w="760" w:type="dxa"/>
            <w:vAlign w:val="bottom"/>
            <w:gridSpan w:val="2"/>
          </w:tcPr>
          <w:p>
            <w:pPr>
              <w:jc w:val="right"/>
              <w:ind w:right="102"/>
              <w:spacing w:after="0" w:line="175" w:lineRule="exact"/>
              <w:rPr>
                <w:sz w:val="20"/>
                <w:szCs w:val="20"/>
                <w:color w:val="auto"/>
              </w:rPr>
            </w:pPr>
            <w:r>
              <w:rPr>
                <w:rFonts w:ascii="Arial" w:cs="Arial" w:eastAsia="Arial" w:hAnsi="Arial"/>
                <w:sz w:val="16"/>
                <w:szCs w:val="16"/>
                <w:color w:val="auto"/>
              </w:rPr>
              <w:t>2.75</w:t>
            </w: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annual</w:t>
            </w:r>
          </w:p>
        </w:tc>
        <w:tc>
          <w:tcPr>
            <w:tcW w:w="8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color w:val="auto"/>
              </w:rPr>
              <w:t>US$500,000</w:t>
            </w:r>
          </w:p>
        </w:tc>
        <w:tc>
          <w:tcPr>
            <w:tcW w:w="8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8"/>
              </w:rPr>
              <w:t>1,810,391</w:t>
            </w:r>
          </w:p>
        </w:tc>
        <w:tc>
          <w:tcPr>
            <w:tcW w:w="940" w:type="dxa"/>
            <w:vAlign w:val="bottom"/>
            <w:gridSpan w:val="3"/>
          </w:tcPr>
          <w:p>
            <w:pPr>
              <w:ind w:left="80"/>
              <w:spacing w:after="0" w:line="175" w:lineRule="exact"/>
              <w:rPr>
                <w:sz w:val="20"/>
                <w:szCs w:val="20"/>
                <w:color w:val="auto"/>
              </w:rPr>
            </w:pPr>
            <w:r>
              <w:rPr>
                <w:rFonts w:ascii="Arial" w:cs="Arial" w:eastAsia="Arial" w:hAnsi="Arial"/>
                <w:sz w:val="16"/>
                <w:szCs w:val="16"/>
                <w:color w:val="auto"/>
              </w:rPr>
              <w:t>June 2025</w:t>
            </w:r>
          </w:p>
        </w:tc>
        <w:tc>
          <w:tcPr>
            <w:tcW w:w="920" w:type="dxa"/>
            <w:vAlign w:val="bottom"/>
            <w:gridSpan w:val="2"/>
          </w:tcPr>
          <w:p>
            <w:pPr>
              <w:spacing w:after="0" w:line="175" w:lineRule="exact"/>
              <w:rPr>
                <w:sz w:val="20"/>
                <w:szCs w:val="20"/>
                <w:color w:val="auto"/>
              </w:rPr>
            </w:pPr>
            <w:r>
              <w:rPr>
                <w:rFonts w:ascii="Arial" w:cs="Arial" w:eastAsia="Arial" w:hAnsi="Arial"/>
                <w:sz w:val="16"/>
                <w:szCs w:val="16"/>
                <w:color w:val="auto"/>
              </w:rPr>
              <w:t>US$500,000</w:t>
            </w:r>
          </w:p>
        </w:tc>
        <w:tc>
          <w:tcPr>
            <w:tcW w:w="7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1,706,587</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Senior notes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BCP (ii)</w:t>
            </w:r>
          </w:p>
        </w:tc>
        <w:tc>
          <w:tcPr>
            <w:tcW w:w="760" w:type="dxa"/>
            <w:vAlign w:val="bottom"/>
            <w:gridSpan w:val="2"/>
          </w:tcPr>
          <w:p>
            <w:pPr>
              <w:jc w:val="right"/>
              <w:ind w:right="102"/>
              <w:spacing w:after="0" w:line="175" w:lineRule="exact"/>
              <w:rPr>
                <w:sz w:val="20"/>
                <w:szCs w:val="20"/>
                <w:color w:val="auto"/>
              </w:rPr>
            </w:pPr>
            <w:r>
              <w:rPr>
                <w:rFonts w:ascii="Arial" w:cs="Arial" w:eastAsia="Arial" w:hAnsi="Arial"/>
                <w:sz w:val="16"/>
                <w:szCs w:val="16"/>
                <w:color w:val="auto"/>
              </w:rPr>
              <w:t>7.85</w:t>
            </w: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annual</w:t>
            </w:r>
          </w:p>
        </w:tc>
        <w:tc>
          <w:tcPr>
            <w:tcW w:w="8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2029</w:t>
            </w:r>
          </w:p>
        </w:tc>
        <w:tc>
          <w:tcPr>
            <w:tcW w:w="80" w:type="dxa"/>
            <w:vAlign w:val="bottom"/>
          </w:tcPr>
          <w:p>
            <w:pPr>
              <w:spacing w:after="0"/>
              <w:rPr>
                <w:sz w:val="15"/>
                <w:szCs w:val="15"/>
                <w:color w:val="auto"/>
              </w:rPr>
            </w:pPr>
          </w:p>
        </w:tc>
        <w:tc>
          <w:tcPr>
            <w:tcW w:w="9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9"/>
              </w:rPr>
              <w:t>S/1,150,000</w:t>
            </w:r>
          </w:p>
        </w:tc>
        <w:tc>
          <w:tcPr>
            <w:tcW w:w="8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8"/>
              </w:rPr>
              <w:t>1,150,000</w:t>
            </w:r>
          </w:p>
        </w:tc>
        <w:tc>
          <w:tcPr>
            <w:tcW w:w="940" w:type="dxa"/>
            <w:vAlign w:val="bottom"/>
            <w:gridSpan w:val="3"/>
          </w:tcPr>
          <w:p>
            <w:pPr>
              <w:ind w:left="80"/>
              <w:spacing w:after="0" w:line="175"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0" w:type="dxa"/>
            <w:vAlign w:val="bottom"/>
            <w:gridSpan w:val="3"/>
          </w:tcPr>
          <w:p>
            <w:pPr>
              <w:jc w:val="right"/>
              <w:ind w:right="28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Senior notes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June</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BCP (iv)</w:t>
            </w:r>
          </w:p>
        </w:tc>
        <w:tc>
          <w:tcPr>
            <w:tcW w:w="760" w:type="dxa"/>
            <w:vAlign w:val="bottom"/>
            <w:gridSpan w:val="2"/>
          </w:tcPr>
          <w:p>
            <w:pPr>
              <w:jc w:val="right"/>
              <w:ind w:right="102"/>
              <w:spacing w:after="0" w:line="175" w:lineRule="exact"/>
              <w:rPr>
                <w:sz w:val="20"/>
                <w:szCs w:val="20"/>
                <w:color w:val="auto"/>
              </w:rPr>
            </w:pPr>
            <w:r>
              <w:rPr>
                <w:rFonts w:ascii="Arial" w:cs="Arial" w:eastAsia="Arial" w:hAnsi="Arial"/>
                <w:sz w:val="16"/>
                <w:szCs w:val="16"/>
                <w:color w:val="auto"/>
              </w:rPr>
              <w:t>5.05</w:t>
            </w: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annual</w:t>
            </w:r>
          </w:p>
        </w:tc>
        <w:tc>
          <w:tcPr>
            <w:tcW w:w="8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2027</w:t>
            </w:r>
          </w:p>
        </w:tc>
        <w:tc>
          <w:tcPr>
            <w:tcW w:w="80" w:type="dxa"/>
            <w:vAlign w:val="bottom"/>
          </w:tcPr>
          <w:p>
            <w:pPr>
              <w:spacing w:after="0"/>
              <w:rPr>
                <w:sz w:val="15"/>
                <w:szCs w:val="15"/>
                <w:color w:val="auto"/>
              </w:rPr>
            </w:pPr>
          </w:p>
        </w:tc>
        <w:tc>
          <w:tcPr>
            <w:tcW w:w="960" w:type="dxa"/>
            <w:vAlign w:val="bottom"/>
            <w:gridSpan w:val="2"/>
          </w:tcPr>
          <w:p>
            <w:pPr>
              <w:ind w:left="100"/>
              <w:spacing w:after="0" w:line="175" w:lineRule="exact"/>
              <w:rPr>
                <w:sz w:val="20"/>
                <w:szCs w:val="20"/>
                <w:color w:val="auto"/>
              </w:rPr>
            </w:pPr>
            <w:r>
              <w:rPr>
                <w:rFonts w:ascii="Arial" w:cs="Arial" w:eastAsia="Arial" w:hAnsi="Arial"/>
                <w:sz w:val="16"/>
                <w:szCs w:val="16"/>
                <w:color w:val="auto"/>
              </w:rPr>
              <w:t>US$30,000</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112,471</w:t>
            </w:r>
          </w:p>
        </w:tc>
        <w:tc>
          <w:tcPr>
            <w:tcW w:w="80" w:type="dxa"/>
            <w:vAlign w:val="bottom"/>
          </w:tcPr>
          <w:p>
            <w:pPr>
              <w:spacing w:after="0"/>
              <w:rPr>
                <w:sz w:val="15"/>
                <w:szCs w:val="15"/>
                <w:color w:val="auto"/>
              </w:rPr>
            </w:pPr>
          </w:p>
        </w:tc>
        <w:tc>
          <w:tcPr>
            <w:tcW w:w="940" w:type="dxa"/>
            <w:vAlign w:val="bottom"/>
            <w:gridSpan w:val="3"/>
          </w:tcPr>
          <w:p>
            <w:pPr>
              <w:ind w:left="80"/>
              <w:spacing w:after="0" w:line="175" w:lineRule="exact"/>
              <w:rPr>
                <w:sz w:val="20"/>
                <w:szCs w:val="20"/>
                <w:color w:val="auto"/>
              </w:rPr>
            </w:pPr>
            <w:r>
              <w:rPr>
                <w:rFonts w:ascii="Arial" w:cs="Arial" w:eastAsia="Arial" w:hAnsi="Arial"/>
                <w:sz w:val="16"/>
                <w:szCs w:val="16"/>
                <w:color w:val="auto"/>
              </w:rPr>
              <w:t>June 2027</w:t>
            </w:r>
          </w:p>
        </w:tc>
        <w:tc>
          <w:tcPr>
            <w:tcW w:w="920" w:type="dxa"/>
            <w:vAlign w:val="bottom"/>
            <w:gridSpan w:val="2"/>
          </w:tcPr>
          <w:p>
            <w:pPr>
              <w:ind w:left="100"/>
              <w:spacing w:after="0" w:line="175" w:lineRule="exact"/>
              <w:rPr>
                <w:sz w:val="20"/>
                <w:szCs w:val="20"/>
                <w:color w:val="auto"/>
              </w:rPr>
            </w:pPr>
            <w:r>
              <w:rPr>
                <w:rFonts w:ascii="Arial" w:cs="Arial" w:eastAsia="Arial" w:hAnsi="Arial"/>
                <w:sz w:val="16"/>
                <w:szCs w:val="16"/>
                <w:color w:val="auto"/>
                <w:w w:val="99"/>
              </w:rPr>
              <w:t>US$30,000</w:t>
            </w:r>
          </w:p>
        </w:tc>
        <w:tc>
          <w:tcPr>
            <w:tcW w:w="7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111,143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Senior notes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w w:val="94"/>
              </w:rPr>
              <w:t>November</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80"/>
              <w:spacing w:after="0" w:line="175" w:lineRule="exact"/>
              <w:rPr>
                <w:sz w:val="20"/>
                <w:szCs w:val="20"/>
                <w:color w:val="auto"/>
              </w:rPr>
            </w:pPr>
            <w:r>
              <w:rPr>
                <w:rFonts w:ascii="Arial" w:cs="Arial" w:eastAsia="Arial" w:hAnsi="Arial"/>
                <w:sz w:val="16"/>
                <w:szCs w:val="16"/>
                <w:color w:val="auto"/>
              </w:rPr>
              <w:t>November</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BCP (v)</w:t>
            </w:r>
          </w:p>
        </w:tc>
        <w:tc>
          <w:tcPr>
            <w:tcW w:w="760" w:type="dxa"/>
            <w:vAlign w:val="bottom"/>
            <w:gridSpan w:val="2"/>
          </w:tcPr>
          <w:p>
            <w:pPr>
              <w:jc w:val="right"/>
              <w:ind w:right="102"/>
              <w:spacing w:after="0" w:line="175" w:lineRule="exact"/>
              <w:rPr>
                <w:sz w:val="20"/>
                <w:szCs w:val="20"/>
                <w:color w:val="auto"/>
              </w:rPr>
            </w:pPr>
            <w:r>
              <w:rPr>
                <w:rFonts w:ascii="Arial" w:cs="Arial" w:eastAsia="Arial" w:hAnsi="Arial"/>
                <w:sz w:val="16"/>
                <w:szCs w:val="16"/>
                <w:color w:val="auto"/>
              </w:rPr>
              <w:t>0.97</w:t>
            </w: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annual</w:t>
            </w:r>
          </w:p>
        </w:tc>
        <w:tc>
          <w:tcPr>
            <w:tcW w:w="80" w:type="dxa"/>
            <w:vAlign w:val="bottom"/>
          </w:tcPr>
          <w:p>
            <w:pPr>
              <w:spacing w:after="0"/>
              <w:rPr>
                <w:sz w:val="15"/>
                <w:szCs w:val="15"/>
                <w:color w:val="auto"/>
              </w:rPr>
            </w:pPr>
          </w:p>
        </w:tc>
        <w:tc>
          <w:tcPr>
            <w:tcW w:w="540" w:type="dxa"/>
            <w:vAlign w:val="bottom"/>
          </w:tcPr>
          <w:p>
            <w:pPr>
              <w:spacing w:after="0" w:line="175" w:lineRule="exact"/>
              <w:rPr>
                <w:sz w:val="20"/>
                <w:szCs w:val="20"/>
                <w:color w:val="auto"/>
              </w:rPr>
            </w:pPr>
            <w:r>
              <w:rPr>
                <w:rFonts w:ascii="Arial" w:cs="Arial" w:eastAsia="Arial" w:hAnsi="Arial"/>
                <w:sz w:val="16"/>
                <w:szCs w:val="16"/>
                <w:color w:val="auto"/>
              </w:rPr>
              <w:t>CCS</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¥3,000,000</w:t>
            </w:r>
          </w:p>
        </w:tc>
        <w:tc>
          <w:tcPr>
            <w:tcW w:w="8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71,940</w:t>
            </w: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2025</w:t>
            </w:r>
          </w:p>
        </w:tc>
        <w:tc>
          <w:tcPr>
            <w:tcW w:w="9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¥3,000,000</w:t>
            </w:r>
          </w:p>
        </w:tc>
        <w:tc>
          <w:tcPr>
            <w:tcW w:w="8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71,796</w:t>
            </w:r>
          </w:p>
        </w:tc>
        <w:tc>
          <w:tcPr>
            <w:tcW w:w="86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5"/>
                <w:szCs w:val="15"/>
                <w:color w:val="auto"/>
              </w:rPr>
            </w:pPr>
          </w:p>
        </w:tc>
        <w:tc>
          <w:tcPr>
            <w:tcW w:w="9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¥3,000,000</w:t>
            </w:r>
          </w:p>
        </w:tc>
        <w:tc>
          <w:tcPr>
            <w:tcW w:w="1040" w:type="dxa"/>
            <w:vAlign w:val="bottom"/>
            <w:gridSpan w:val="4"/>
          </w:tcPr>
          <w:p>
            <w:pPr>
              <w:jc w:val="right"/>
              <w:ind w:right="280"/>
              <w:spacing w:after="0" w:line="175" w:lineRule="exact"/>
              <w:rPr>
                <w:sz w:val="20"/>
                <w:szCs w:val="20"/>
                <w:color w:val="auto"/>
              </w:rPr>
            </w:pPr>
            <w:r>
              <w:rPr>
                <w:rFonts w:ascii="Arial" w:cs="Arial" w:eastAsia="Arial" w:hAnsi="Arial"/>
                <w:sz w:val="16"/>
                <w:szCs w:val="16"/>
                <w:color w:val="auto"/>
              </w:rPr>
              <w:t>78,828</w:t>
            </w:r>
          </w:p>
        </w:tc>
        <w:tc>
          <w:tcPr>
            <w:tcW w:w="0" w:type="dxa"/>
            <w:vAlign w:val="bottom"/>
          </w:tcPr>
          <w:p>
            <w:pPr>
              <w:spacing w:after="0"/>
              <w:rPr>
                <w:sz w:val="1"/>
                <w:szCs w:val="1"/>
                <w:color w:val="auto"/>
              </w:rPr>
            </w:pPr>
          </w:p>
        </w:tc>
      </w:tr>
      <w:tr>
        <w:trPr>
          <w:trHeight w:val="175"/>
        </w:trPr>
        <w:tc>
          <w:tcPr>
            <w:tcW w:w="1820" w:type="dxa"/>
            <w:vAlign w:val="bottom"/>
          </w:tcPr>
          <w:p>
            <w:pPr>
              <w:ind w:left="560"/>
              <w:spacing w:after="0" w:line="175" w:lineRule="exact"/>
              <w:rPr>
                <w:sz w:val="20"/>
                <w:szCs w:val="20"/>
                <w:color w:val="auto"/>
              </w:rPr>
            </w:pPr>
            <w:r>
              <w:rPr>
                <w:rFonts w:ascii="Arial" w:cs="Arial" w:eastAsia="Arial" w:hAnsi="Arial"/>
                <w:sz w:val="16"/>
                <w:szCs w:val="16"/>
                <w:b w:val="1"/>
                <w:bCs w:val="1"/>
                <w:color w:val="auto"/>
              </w:rPr>
              <w:t>Senior notes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80"/>
              <w:spacing w:after="0" w:line="175" w:lineRule="exact"/>
              <w:rPr>
                <w:sz w:val="20"/>
                <w:szCs w:val="20"/>
                <w:color w:val="auto"/>
              </w:rPr>
            </w:pPr>
            <w:r>
              <w:rPr>
                <w:rFonts w:ascii="Arial" w:cs="Arial" w:eastAsia="Arial" w:hAnsi="Arial"/>
                <w:sz w:val="16"/>
                <w:szCs w:val="16"/>
                <w:color w:val="auto"/>
              </w:rPr>
              <w:t>September</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820" w:type="dxa"/>
            <w:vAlign w:val="bottom"/>
          </w:tcPr>
          <w:p>
            <w:pPr>
              <w:ind w:left="560"/>
              <w:spacing w:after="0"/>
              <w:rPr>
                <w:sz w:val="20"/>
                <w:szCs w:val="20"/>
                <w:color w:val="auto"/>
              </w:rPr>
            </w:pPr>
            <w:r>
              <w:rPr>
                <w:rFonts w:ascii="Arial" w:cs="Arial" w:eastAsia="Arial" w:hAnsi="Arial"/>
                <w:sz w:val="16"/>
                <w:szCs w:val="16"/>
                <w:b w:val="1"/>
                <w:bCs w:val="1"/>
                <w:color w:val="auto"/>
              </w:rPr>
              <w:t>BCP (vi)</w:t>
            </w:r>
          </w:p>
        </w:tc>
        <w:tc>
          <w:tcPr>
            <w:tcW w:w="760" w:type="dxa"/>
            <w:vAlign w:val="bottom"/>
            <w:gridSpan w:val="2"/>
          </w:tcPr>
          <w:p>
            <w:pPr>
              <w:jc w:val="right"/>
              <w:ind w:right="102"/>
              <w:spacing w:after="0"/>
              <w:rPr>
                <w:sz w:val="20"/>
                <w:szCs w:val="20"/>
                <w:color w:val="auto"/>
              </w:rPr>
            </w:pPr>
            <w:r>
              <w:rPr>
                <w:rFonts w:ascii="Arial" w:cs="Arial" w:eastAsia="Arial" w:hAnsi="Arial"/>
                <w:sz w:val="16"/>
                <w:szCs w:val="16"/>
                <w:color w:val="auto"/>
              </w:rPr>
              <w:t>4.65</w:t>
            </w:r>
          </w:p>
        </w:tc>
        <w:tc>
          <w:tcPr>
            <w:tcW w:w="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annual</w:t>
            </w:r>
          </w:p>
        </w:tc>
        <w:tc>
          <w:tcPr>
            <w:tcW w:w="8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80"/>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S/2,900,000</w:t>
            </w: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2,496,413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1820" w:type="dxa"/>
            <w:vAlign w:val="bottom"/>
          </w:tcPr>
          <w:p>
            <w:pPr>
              <w:ind w:left="56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20" w:type="dxa"/>
            <w:vAlign w:val="bottom"/>
          </w:tcPr>
          <w:p>
            <w:pPr>
              <w:ind w:left="560"/>
              <w:spacing w:after="0"/>
              <w:rPr>
                <w:sz w:val="20"/>
                <w:szCs w:val="20"/>
                <w:color w:val="auto"/>
              </w:rPr>
            </w:pPr>
            <w:r>
              <w:rPr>
                <w:rFonts w:ascii="Arial" w:cs="Arial" w:eastAsia="Arial" w:hAnsi="Arial"/>
                <w:sz w:val="16"/>
                <w:szCs w:val="16"/>
                <w:b w:val="1"/>
                <w:bCs w:val="1"/>
                <w:color w:val="auto"/>
              </w:rPr>
              <w:t>bonds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820" w:type="dxa"/>
            <w:vAlign w:val="bottom"/>
          </w:tcPr>
          <w:p>
            <w:pPr>
              <w:ind w:left="700"/>
              <w:spacing w:after="0"/>
              <w:rPr>
                <w:sz w:val="20"/>
                <w:szCs w:val="20"/>
                <w:color w:val="auto"/>
              </w:rPr>
            </w:pPr>
            <w:r>
              <w:rPr>
                <w:rFonts w:ascii="Arial" w:cs="Arial" w:eastAsia="Arial" w:hAnsi="Arial"/>
                <w:sz w:val="16"/>
                <w:szCs w:val="16"/>
                <w:b w:val="1"/>
                <w:bCs w:val="1"/>
                <w:color w:val="auto"/>
              </w:rPr>
              <w:t>First program</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700"/>
              <w:spacing w:after="0" w:line="175" w:lineRule="exact"/>
              <w:rPr>
                <w:sz w:val="20"/>
                <w:szCs w:val="20"/>
                <w:color w:val="auto"/>
              </w:rPr>
            </w:pPr>
            <w:r>
              <w:rPr>
                <w:rFonts w:ascii="Arial" w:cs="Arial" w:eastAsia="Arial" w:hAnsi="Arial"/>
                <w:sz w:val="16"/>
                <w:szCs w:val="16"/>
                <w:color w:val="auto"/>
              </w:rPr>
              <w:t>First issuance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700"/>
              <w:spacing w:after="0" w:line="175" w:lineRule="exact"/>
              <w:rPr>
                <w:sz w:val="20"/>
                <w:szCs w:val="20"/>
                <w:color w:val="auto"/>
              </w:rPr>
            </w:pPr>
            <w:r>
              <w:rPr>
                <w:rFonts w:ascii="Arial" w:cs="Arial" w:eastAsia="Arial" w:hAnsi="Arial"/>
                <w:sz w:val="16"/>
                <w:szCs w:val="16"/>
                <w:color w:val="auto"/>
              </w:rPr>
              <w:t>(Series A) -</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700"/>
              <w:spacing w:after="0" w:line="175" w:lineRule="exact"/>
              <w:rPr>
                <w:sz w:val="20"/>
                <w:szCs w:val="20"/>
                <w:color w:val="auto"/>
              </w:rPr>
            </w:pPr>
            <w:r>
              <w:rPr>
                <w:rFonts w:ascii="Arial" w:cs="Arial" w:eastAsia="Arial" w:hAnsi="Arial"/>
                <w:sz w:val="16"/>
                <w:szCs w:val="16"/>
                <w:color w:val="auto"/>
              </w:rPr>
              <w:t>Mibanco</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80"/>
              <w:spacing w:after="0" w:line="175" w:lineRule="exact"/>
              <w:rPr>
                <w:sz w:val="20"/>
                <w:szCs w:val="20"/>
                <w:color w:val="auto"/>
              </w:rPr>
            </w:pPr>
            <w:r>
              <w:rPr>
                <w:rFonts w:ascii="Arial" w:cs="Arial" w:eastAsia="Arial" w:hAnsi="Arial"/>
                <w:sz w:val="16"/>
                <w:szCs w:val="16"/>
                <w:color w:val="auto"/>
              </w:rPr>
              <w:t>January</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820" w:type="dxa"/>
            <w:vAlign w:val="bottom"/>
          </w:tcPr>
          <w:p>
            <w:pPr>
              <w:ind w:left="700"/>
              <w:spacing w:after="0"/>
              <w:rPr>
                <w:sz w:val="20"/>
                <w:szCs w:val="20"/>
                <w:color w:val="auto"/>
              </w:rPr>
            </w:pPr>
            <w:r>
              <w:rPr>
                <w:rFonts w:ascii="Arial" w:cs="Arial" w:eastAsia="Arial" w:hAnsi="Arial"/>
                <w:sz w:val="16"/>
                <w:szCs w:val="16"/>
                <w:color w:val="auto"/>
              </w:rPr>
              <w:t>Colombia</w:t>
            </w:r>
          </w:p>
        </w:tc>
        <w:tc>
          <w:tcPr>
            <w:tcW w:w="760" w:type="dxa"/>
            <w:vAlign w:val="bottom"/>
            <w:gridSpan w:val="2"/>
          </w:tcPr>
          <w:p>
            <w:pPr>
              <w:jc w:val="right"/>
              <w:ind w:right="102"/>
              <w:spacing w:after="0"/>
              <w:rPr>
                <w:sz w:val="20"/>
                <w:szCs w:val="20"/>
                <w:color w:val="auto"/>
              </w:rPr>
            </w:pPr>
            <w:r>
              <w:rPr>
                <w:rFonts w:ascii="Arial" w:cs="Arial" w:eastAsia="Arial" w:hAnsi="Arial"/>
                <w:sz w:val="16"/>
                <w:szCs w:val="16"/>
                <w:color w:val="auto"/>
              </w:rPr>
              <w:t>9.00</w:t>
            </w:r>
          </w:p>
        </w:tc>
        <w:tc>
          <w:tcPr>
            <w:tcW w:w="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Quarterly</w:t>
            </w:r>
          </w:p>
        </w:tc>
        <w:tc>
          <w:tcPr>
            <w:tcW w:w="8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
              <w:spacing w:after="0"/>
              <w:rPr>
                <w:sz w:val="20"/>
                <w:szCs w:val="20"/>
                <w:color w:val="auto"/>
              </w:rPr>
            </w:pPr>
            <w:r>
              <w:rPr>
                <w:rFonts w:ascii="Arial" w:cs="Arial" w:eastAsia="Arial" w:hAnsi="Arial"/>
                <w:sz w:val="16"/>
                <w:szCs w:val="16"/>
                <w:color w:val="auto"/>
              </w:rPr>
              <w:t>2025</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$112,500</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22,441</w:t>
            </w:r>
          </w:p>
        </w:tc>
        <w:tc>
          <w:tcPr>
            <w:tcW w:w="860" w:type="dxa"/>
            <w:vAlign w:val="bottom"/>
            <w:gridSpan w:val="2"/>
          </w:tcPr>
          <w:p>
            <w:pPr>
              <w:ind w:left="80"/>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$112,500</w:t>
            </w:r>
          </w:p>
        </w:tc>
        <w:tc>
          <w:tcPr>
            <w:tcW w:w="1040" w:type="dxa"/>
            <w:vAlign w:val="bottom"/>
            <w:gridSpan w:val="4"/>
          </w:tcPr>
          <w:p>
            <w:pPr>
              <w:jc w:val="right"/>
              <w:ind w:right="280"/>
              <w:spacing w:after="0"/>
              <w:rPr>
                <w:sz w:val="20"/>
                <w:szCs w:val="20"/>
                <w:color w:val="auto"/>
              </w:rPr>
            </w:pPr>
            <w:r>
              <w:rPr>
                <w:rFonts w:ascii="Arial" w:cs="Arial" w:eastAsia="Arial" w:hAnsi="Arial"/>
                <w:sz w:val="16"/>
                <w:szCs w:val="16"/>
                <w:color w:val="auto"/>
              </w:rPr>
              <w:t>82,712</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w w:val="98"/>
              </w:rPr>
              <w:t>7,633,816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w w:val="98"/>
              </w:rPr>
              <w:t>7,046,715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0"/>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-92-</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7"/>
          </w:cols>
          <w:pgMar w:left="313" w:top="124" w:right="31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20" w:type="dxa"/>
            <w:vAlign w:val="bottom"/>
          </w:tcPr>
          <w:p>
            <w:pPr>
              <w:spacing w:after="0"/>
              <w:rPr>
                <w:sz w:val="16"/>
                <w:szCs w:val="1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Annual</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40" w:type="dxa"/>
            <w:vAlign w:val="bottom"/>
            <w:gridSpan w:val="5"/>
          </w:tcPr>
          <w:p>
            <w:pPr>
              <w:ind w:left="80"/>
              <w:spacing w:after="0"/>
              <w:rPr>
                <w:sz w:val="20"/>
                <w:szCs w:val="20"/>
                <w:color w:val="auto"/>
              </w:rPr>
            </w:pPr>
            <w:r>
              <w:rPr>
                <w:rFonts w:ascii="Arial" w:cs="Arial" w:eastAsia="Arial" w:hAnsi="Arial"/>
                <w:sz w:val="16"/>
                <w:szCs w:val="16"/>
                <w:b w:val="1"/>
                <w:bCs w:val="1"/>
                <w:color w:val="auto"/>
              </w:rPr>
              <w:t>Hedge Accounting</w:t>
            </w:r>
          </w:p>
        </w:tc>
        <w:tc>
          <w:tcPr>
            <w:tcW w:w="76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Notional</w:t>
            </w:r>
          </w:p>
        </w:tc>
        <w:tc>
          <w:tcPr>
            <w:tcW w:w="80" w:type="dxa"/>
            <w:vAlign w:val="bottom"/>
            <w:vMerge w:val="restart"/>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6"/>
                <w:szCs w:val="16"/>
                <w:b w:val="1"/>
                <w:bCs w:val="1"/>
                <w:color w:val="auto"/>
              </w:rPr>
              <w:t>Issued</w:t>
            </w: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20" w:type="dxa"/>
            <w:vAlign w:val="bottom"/>
          </w:tcPr>
          <w:p>
            <w:pPr>
              <w:spacing w:after="0"/>
              <w:rPr>
                <w:sz w:val="13"/>
                <w:szCs w:val="13"/>
                <w:color w:val="auto"/>
              </w:rPr>
            </w:pPr>
          </w:p>
        </w:tc>
        <w:tc>
          <w:tcPr>
            <w:tcW w:w="660" w:type="dxa"/>
            <w:vAlign w:val="bottom"/>
            <w:gridSpan w:val="2"/>
          </w:tcPr>
          <w:p>
            <w:pPr>
              <w:ind w:left="60"/>
              <w:spacing w:after="0" w:line="157" w:lineRule="exact"/>
              <w:rPr>
                <w:sz w:val="20"/>
                <w:szCs w:val="20"/>
                <w:color w:val="auto"/>
              </w:rPr>
            </w:pPr>
            <w:r>
              <w:rPr>
                <w:rFonts w:ascii="Arial" w:cs="Arial" w:eastAsia="Arial" w:hAnsi="Arial"/>
                <w:sz w:val="16"/>
                <w:szCs w:val="16"/>
                <w:b w:val="1"/>
                <w:bCs w:val="1"/>
                <w:color w:val="auto"/>
              </w:rPr>
              <w:t>interest</w:t>
            </w: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spacing w:after="0" w:line="157" w:lineRule="exact"/>
              <w:rPr>
                <w:sz w:val="20"/>
                <w:szCs w:val="20"/>
                <w:color w:val="auto"/>
              </w:rPr>
            </w:pPr>
            <w:r>
              <w:rPr>
                <w:rFonts w:ascii="Arial" w:cs="Arial" w:eastAsia="Arial" w:hAnsi="Arial"/>
                <w:sz w:val="16"/>
                <w:szCs w:val="16"/>
                <w:b w:val="1"/>
                <w:bCs w:val="1"/>
                <w:color w:val="auto"/>
              </w:rPr>
              <w:t>Type Notional</w:t>
            </w:r>
          </w:p>
        </w:tc>
        <w:tc>
          <w:tcPr>
            <w:tcW w:w="7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60" w:type="dxa"/>
            <w:vAlign w:val="bottom"/>
          </w:tcPr>
          <w:p>
            <w:pPr>
              <w:ind w:left="80"/>
              <w:spacing w:after="0" w:line="157" w:lineRule="exact"/>
              <w:rPr>
                <w:sz w:val="20"/>
                <w:szCs w:val="20"/>
                <w:color w:val="auto"/>
              </w:rPr>
            </w:pPr>
            <w:r>
              <w:rPr>
                <w:rFonts w:ascii="Arial" w:cs="Arial" w:eastAsia="Arial" w:hAnsi="Arial"/>
                <w:sz w:val="16"/>
                <w:szCs w:val="16"/>
                <w:b w:val="1"/>
                <w:bCs w:val="1"/>
                <w:color w:val="auto"/>
              </w:rPr>
              <w:t>Maturity</w:t>
            </w:r>
          </w:p>
        </w:tc>
        <w:tc>
          <w:tcPr>
            <w:tcW w:w="1120" w:type="dxa"/>
            <w:vAlign w:val="bottom"/>
            <w:gridSpan w:val="3"/>
            <w:vMerge w:val="continue"/>
          </w:tcPr>
          <w:p>
            <w:pPr>
              <w:spacing w:after="0"/>
              <w:rPr>
                <w:sz w:val="13"/>
                <w:szCs w:val="13"/>
                <w:color w:val="auto"/>
              </w:rPr>
            </w:pPr>
          </w:p>
        </w:tc>
        <w:tc>
          <w:tcPr>
            <w:tcW w:w="960" w:type="dxa"/>
            <w:vAlign w:val="bottom"/>
            <w:gridSpan w:val="3"/>
          </w:tcPr>
          <w:p>
            <w:pPr>
              <w:ind w:left="20"/>
              <w:spacing w:after="0" w:line="157" w:lineRule="exact"/>
              <w:rPr>
                <w:sz w:val="20"/>
                <w:szCs w:val="20"/>
                <w:color w:val="auto"/>
              </w:rPr>
            </w:pPr>
            <w:r>
              <w:rPr>
                <w:rFonts w:ascii="Arial" w:cs="Arial" w:eastAsia="Arial" w:hAnsi="Arial"/>
                <w:sz w:val="16"/>
                <w:szCs w:val="16"/>
                <w:b w:val="1"/>
                <w:bCs w:val="1"/>
                <w:color w:val="auto"/>
              </w:rPr>
              <w:t>Carrying</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spacing w:after="0" w:line="157" w:lineRule="exact"/>
              <w:rPr>
                <w:sz w:val="20"/>
                <w:szCs w:val="20"/>
                <w:color w:val="auto"/>
              </w:rPr>
            </w:pPr>
            <w:r>
              <w:rPr>
                <w:rFonts w:ascii="Arial" w:cs="Arial" w:eastAsia="Arial" w:hAnsi="Arial"/>
                <w:sz w:val="16"/>
                <w:szCs w:val="16"/>
                <w:b w:val="1"/>
                <w:bCs w:val="1"/>
                <w:color w:val="auto"/>
              </w:rPr>
              <w:t>Issued</w:t>
            </w:r>
          </w:p>
        </w:tc>
        <w:tc>
          <w:tcPr>
            <w:tcW w:w="1060" w:type="dxa"/>
            <w:vAlign w:val="bottom"/>
            <w:gridSpan w:val="2"/>
          </w:tcPr>
          <w:p>
            <w:pPr>
              <w:spacing w:after="0" w:line="157"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rate</w:t>
            </w:r>
          </w:p>
        </w:tc>
        <w:tc>
          <w:tcPr>
            <w:tcW w:w="7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7"/>
              </w:rPr>
              <w:t>payment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Equivalent</w:t>
            </w:r>
          </w:p>
        </w:tc>
        <w:tc>
          <w:tcPr>
            <w:tcW w:w="760" w:type="dxa"/>
            <w:vAlign w:val="bottom"/>
          </w:tcPr>
          <w:p>
            <w:pPr>
              <w:spacing w:after="0"/>
              <w:rPr>
                <w:sz w:val="15"/>
                <w:szCs w:val="15"/>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Maturity</w:t>
            </w:r>
          </w:p>
        </w:tc>
        <w:tc>
          <w:tcPr>
            <w:tcW w:w="1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5"/>
        </w:trPr>
        <w:tc>
          <w:tcPr>
            <w:tcW w:w="20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(000)</w:t>
            </w: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(000)</w:t>
            </w: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20" w:type="dxa"/>
            <w:vAlign w:val="bottom"/>
          </w:tcPr>
          <w:p>
            <w:pPr>
              <w:ind w:left="820"/>
              <w:spacing w:after="0"/>
              <w:rPr>
                <w:sz w:val="20"/>
                <w:szCs w:val="20"/>
                <w:color w:val="auto"/>
              </w:rPr>
            </w:pPr>
            <w:r>
              <w:rPr>
                <w:rFonts w:ascii="Arial" w:cs="Arial" w:eastAsia="Arial" w:hAnsi="Arial"/>
                <w:sz w:val="16"/>
                <w:szCs w:val="16"/>
                <w:b w:val="1"/>
                <w:bCs w:val="1"/>
                <w:color w:val="auto"/>
              </w:rPr>
              <w:t>Subordinated</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820"/>
              <w:spacing w:after="0" w:line="175" w:lineRule="exact"/>
              <w:rPr>
                <w:sz w:val="20"/>
                <w:szCs w:val="20"/>
                <w:color w:val="auto"/>
              </w:rPr>
            </w:pPr>
            <w:r>
              <w:rPr>
                <w:rFonts w:ascii="Arial" w:cs="Arial" w:eastAsia="Arial" w:hAnsi="Arial"/>
                <w:sz w:val="16"/>
                <w:szCs w:val="16"/>
                <w:b w:val="1"/>
                <w:bCs w:val="1"/>
                <w:color w:val="auto"/>
              </w:rPr>
              <w:t>bonds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b w:val="1"/>
                <w:bCs w:val="1"/>
                <w:color w:val="auto"/>
              </w:rPr>
              <w:t>Subordinated</w:t>
            </w:r>
          </w:p>
        </w:tc>
        <w:tc>
          <w:tcPr>
            <w:tcW w:w="66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From</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w w:val="95"/>
              </w:rPr>
              <w:t>July 2030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July 2030 /</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b w:val="1"/>
                <w:bCs w:val="1"/>
                <w:color w:val="auto"/>
              </w:rPr>
              <w:t>bonds - BCP</w:t>
            </w:r>
          </w:p>
        </w:tc>
        <w:tc>
          <w:tcPr>
            <w:tcW w:w="66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3.13 to</w:t>
            </w: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w w:val="94"/>
              </w:rPr>
              <w:t>September</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September</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b w:val="1"/>
                <w:bCs w:val="1"/>
                <w:color w:val="auto"/>
              </w:rPr>
              <w:t>(vii)</w:t>
            </w:r>
          </w:p>
        </w:tc>
        <w:tc>
          <w:tcPr>
            <w:tcW w:w="66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3.25</w:t>
            </w: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2031</w:t>
            </w:r>
          </w:p>
        </w:tc>
        <w:tc>
          <w:tcPr>
            <w:tcW w:w="80" w:type="dxa"/>
            <w:vAlign w:val="bottom"/>
          </w:tcPr>
          <w:p>
            <w:pPr>
              <w:spacing w:after="0"/>
              <w:rPr>
                <w:sz w:val="15"/>
                <w:szCs w:val="15"/>
                <w:color w:val="auto"/>
              </w:rPr>
            </w:pPr>
          </w:p>
        </w:tc>
        <w:tc>
          <w:tcPr>
            <w:tcW w:w="1040" w:type="dxa"/>
            <w:vAlign w:val="bottom"/>
            <w:gridSpan w:val="2"/>
          </w:tcPr>
          <w:p>
            <w:pPr>
              <w:spacing w:after="0" w:line="175" w:lineRule="exact"/>
              <w:rPr>
                <w:sz w:val="20"/>
                <w:szCs w:val="20"/>
                <w:color w:val="auto"/>
              </w:rPr>
            </w:pPr>
            <w:r>
              <w:rPr>
                <w:rFonts w:ascii="Arial" w:cs="Arial" w:eastAsia="Arial" w:hAnsi="Arial"/>
                <w:sz w:val="16"/>
                <w:szCs w:val="16"/>
                <w:color w:val="auto"/>
                <w:w w:val="99"/>
              </w:rPr>
              <w:t>US$1,350,000</w:t>
            </w:r>
          </w:p>
        </w:tc>
        <w:tc>
          <w:tcPr>
            <w:tcW w:w="9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5,049,870</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2031</w:t>
            </w:r>
          </w:p>
        </w:tc>
        <w:tc>
          <w:tcPr>
            <w:tcW w:w="80" w:type="dxa"/>
            <w:vAlign w:val="bottom"/>
          </w:tcPr>
          <w:p>
            <w:pPr>
              <w:spacing w:after="0"/>
              <w:rPr>
                <w:sz w:val="15"/>
                <w:szCs w:val="15"/>
                <w:color w:val="auto"/>
              </w:rPr>
            </w:pPr>
          </w:p>
        </w:tc>
        <w:tc>
          <w:tcPr>
            <w:tcW w:w="1060" w:type="dxa"/>
            <w:vAlign w:val="bottom"/>
            <w:gridSpan w:val="2"/>
          </w:tcPr>
          <w:p>
            <w:pPr>
              <w:spacing w:after="0" w:line="175" w:lineRule="exact"/>
              <w:rPr>
                <w:sz w:val="20"/>
                <w:szCs w:val="20"/>
                <w:color w:val="auto"/>
              </w:rPr>
            </w:pPr>
            <w:r>
              <w:rPr>
                <w:rFonts w:ascii="Arial" w:cs="Arial" w:eastAsia="Arial" w:hAnsi="Arial"/>
                <w:sz w:val="16"/>
                <w:szCs w:val="16"/>
                <w:color w:val="auto"/>
              </w:rPr>
              <w:t>US$1,350,000</w:t>
            </w:r>
          </w:p>
        </w:tc>
        <w:tc>
          <w:tcPr>
            <w:tcW w:w="1060" w:type="dxa"/>
            <w:vAlign w:val="bottom"/>
            <w:gridSpan w:val="2"/>
          </w:tcPr>
          <w:p>
            <w:pPr>
              <w:jc w:val="right"/>
              <w:ind w:right="280"/>
              <w:spacing w:after="0" w:line="175" w:lineRule="exact"/>
              <w:rPr>
                <w:sz w:val="20"/>
                <w:szCs w:val="20"/>
                <w:color w:val="auto"/>
              </w:rPr>
            </w:pPr>
            <w:r>
              <w:rPr>
                <w:rFonts w:ascii="Arial" w:cs="Arial" w:eastAsia="Arial" w:hAnsi="Arial"/>
                <w:sz w:val="16"/>
                <w:szCs w:val="16"/>
                <w:color w:val="auto"/>
              </w:rPr>
              <w:t>4,954,968</w:t>
            </w: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b w:val="1"/>
                <w:bCs w:val="1"/>
                <w:color w:val="auto"/>
              </w:rPr>
              <w:t>Subordinated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b w:val="1"/>
                <w:bCs w:val="1"/>
                <w:color w:val="auto"/>
              </w:rPr>
              <w:t>bonds - BCP</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March</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20" w:type="dxa"/>
            <w:vAlign w:val="bottom"/>
          </w:tcPr>
          <w:p>
            <w:pPr>
              <w:ind w:left="960"/>
              <w:spacing w:after="0"/>
              <w:rPr>
                <w:sz w:val="20"/>
                <w:szCs w:val="20"/>
                <w:color w:val="auto"/>
              </w:rPr>
            </w:pPr>
            <w:r>
              <w:rPr>
                <w:rFonts w:ascii="Arial" w:cs="Arial" w:eastAsia="Arial" w:hAnsi="Arial"/>
                <w:sz w:val="16"/>
                <w:szCs w:val="16"/>
                <w:b w:val="1"/>
                <w:bCs w:val="1"/>
                <w:color w:val="auto"/>
              </w:rPr>
              <w:t>(viii)</w:t>
            </w:r>
          </w:p>
        </w:tc>
        <w:tc>
          <w:tcPr>
            <w:tcW w:w="660" w:type="dxa"/>
            <w:vAlign w:val="bottom"/>
            <w:gridSpan w:val="2"/>
          </w:tcPr>
          <w:p>
            <w:pPr>
              <w:jc w:val="right"/>
              <w:ind w:right="62"/>
              <w:spacing w:after="0"/>
              <w:rPr>
                <w:sz w:val="20"/>
                <w:szCs w:val="20"/>
                <w:color w:val="auto"/>
              </w:rPr>
            </w:pPr>
            <w:r>
              <w:rPr>
                <w:rFonts w:ascii="Arial" w:cs="Arial" w:eastAsia="Arial" w:hAnsi="Arial"/>
                <w:sz w:val="16"/>
                <w:szCs w:val="16"/>
                <w:color w:val="auto"/>
              </w:rPr>
              <w:t>5.80</w:t>
            </w:r>
          </w:p>
        </w:tc>
        <w:tc>
          <w:tcPr>
            <w:tcW w:w="740" w:type="dxa"/>
            <w:vAlign w:val="bottom"/>
            <w:gridSpan w:val="2"/>
          </w:tcPr>
          <w:p>
            <w:pPr>
              <w:ind w:left="80"/>
              <w:spacing w:after="0"/>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r>
              <w:rPr>
                <w:rFonts w:ascii="Arial" w:cs="Arial" w:eastAsia="Arial" w:hAnsi="Arial"/>
                <w:sz w:val="16"/>
                <w:szCs w:val="16"/>
                <w:color w:val="auto"/>
              </w:rPr>
              <w:t>2035</w:t>
            </w: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US$600,000</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2,241,242</w:t>
            </w:r>
          </w:p>
        </w:tc>
        <w:tc>
          <w:tcPr>
            <w:tcW w:w="840" w:type="dxa"/>
            <w:vAlign w:val="bottom"/>
            <w:gridSpan w:val="2"/>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62"/>
        </w:trPr>
        <w:tc>
          <w:tcPr>
            <w:tcW w:w="2020" w:type="dxa"/>
            <w:vAlign w:val="bottom"/>
          </w:tcPr>
          <w:p>
            <w:pPr>
              <w:ind w:left="960"/>
              <w:spacing w:after="0"/>
              <w:rPr>
                <w:sz w:val="20"/>
                <w:szCs w:val="20"/>
                <w:color w:val="auto"/>
              </w:rPr>
            </w:pPr>
            <w:r>
              <w:rPr>
                <w:rFonts w:ascii="Arial" w:cs="Arial" w:eastAsia="Arial" w:hAnsi="Arial"/>
                <w:sz w:val="16"/>
                <w:szCs w:val="16"/>
                <w:b w:val="1"/>
                <w:bCs w:val="1"/>
                <w:color w:val="auto"/>
              </w:rPr>
              <w:t>Second</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20" w:type="dxa"/>
            <w:vAlign w:val="bottom"/>
          </w:tcPr>
          <w:p>
            <w:pPr>
              <w:ind w:left="960"/>
              <w:spacing w:after="0" w:line="177" w:lineRule="exact"/>
              <w:rPr>
                <w:sz w:val="20"/>
                <w:szCs w:val="20"/>
                <w:color w:val="auto"/>
              </w:rPr>
            </w:pPr>
            <w:r>
              <w:rPr>
                <w:rFonts w:ascii="Arial" w:cs="Arial" w:eastAsia="Arial" w:hAnsi="Arial"/>
                <w:sz w:val="16"/>
                <w:szCs w:val="16"/>
                <w:b w:val="1"/>
                <w:bCs w:val="1"/>
                <w:color w:val="auto"/>
              </w:rPr>
              <w:t>program</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Second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issuance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(Series B)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Pacífico</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Seguros</w:t>
            </w:r>
          </w:p>
        </w:tc>
        <w:tc>
          <w:tcPr>
            <w:tcW w:w="660" w:type="dxa"/>
            <w:vAlign w:val="bottom"/>
            <w:gridSpan w:val="2"/>
          </w:tcPr>
          <w:p>
            <w:pPr>
              <w:jc w:val="right"/>
              <w:ind w:right="62"/>
              <w:spacing w:after="0" w:line="175" w:lineRule="exact"/>
              <w:rPr>
                <w:sz w:val="20"/>
                <w:szCs w:val="20"/>
                <w:color w:val="auto"/>
              </w:rPr>
            </w:pPr>
            <w:r>
              <w:rPr>
                <w:rFonts w:ascii="Arial" w:cs="Arial" w:eastAsia="Arial" w:hAnsi="Arial"/>
                <w:sz w:val="16"/>
                <w:szCs w:val="16"/>
                <w:color w:val="auto"/>
              </w:rPr>
              <w:t>8.00</w:t>
            </w: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620" w:type="dxa"/>
            <w:vAlign w:val="bottom"/>
            <w:gridSpan w:val="3"/>
          </w:tcPr>
          <w:p>
            <w:pPr>
              <w:ind w:left="700"/>
              <w:spacing w:after="0" w:line="175" w:lineRule="exact"/>
              <w:rPr>
                <w:sz w:val="20"/>
                <w:szCs w:val="20"/>
                <w:color w:val="auto"/>
              </w:rPr>
            </w:pPr>
            <w:r>
              <w:rPr>
                <w:rFonts w:ascii="Arial" w:cs="Arial" w:eastAsia="Arial" w:hAnsi="Arial"/>
                <w:sz w:val="16"/>
                <w:szCs w:val="16"/>
                <w:color w:val="auto"/>
              </w:rPr>
              <w:t>− May 2033</w:t>
            </w:r>
          </w:p>
        </w:tc>
        <w:tc>
          <w:tcPr>
            <w:tcW w:w="8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US$60,000</w:t>
            </w:r>
          </w:p>
        </w:tc>
        <w:tc>
          <w:tcPr>
            <w:tcW w:w="9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225,840</w:t>
            </w: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May 2033</w:t>
            </w:r>
          </w:p>
        </w:tc>
        <w:tc>
          <w:tcPr>
            <w:tcW w:w="1060" w:type="dxa"/>
            <w:vAlign w:val="bottom"/>
            <w:gridSpan w:val="2"/>
          </w:tcPr>
          <w:p>
            <w:pPr>
              <w:ind w:left="220"/>
              <w:spacing w:after="0" w:line="175" w:lineRule="exact"/>
              <w:rPr>
                <w:sz w:val="20"/>
                <w:szCs w:val="20"/>
                <w:color w:val="auto"/>
              </w:rPr>
            </w:pPr>
            <w:r>
              <w:rPr>
                <w:rFonts w:ascii="Arial" w:cs="Arial" w:eastAsia="Arial" w:hAnsi="Arial"/>
                <w:sz w:val="16"/>
                <w:szCs w:val="16"/>
                <w:color w:val="auto"/>
              </w:rPr>
              <w:t>US$60,000</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185,450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Second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issuance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(Series A)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Pacífico</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December</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December</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Seguros</w:t>
            </w:r>
          </w:p>
        </w:tc>
        <w:tc>
          <w:tcPr>
            <w:tcW w:w="660" w:type="dxa"/>
            <w:vAlign w:val="bottom"/>
            <w:gridSpan w:val="2"/>
          </w:tcPr>
          <w:p>
            <w:pPr>
              <w:jc w:val="right"/>
              <w:ind w:right="62"/>
              <w:spacing w:after="0" w:line="175" w:lineRule="exact"/>
              <w:rPr>
                <w:sz w:val="20"/>
                <w:szCs w:val="20"/>
                <w:color w:val="auto"/>
              </w:rPr>
            </w:pPr>
            <w:r>
              <w:rPr>
                <w:rFonts w:ascii="Arial" w:cs="Arial" w:eastAsia="Arial" w:hAnsi="Arial"/>
                <w:sz w:val="16"/>
                <w:szCs w:val="16"/>
                <w:color w:val="auto"/>
              </w:rPr>
              <w:t>4.41</w:t>
            </w: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2030</w:t>
            </w:r>
          </w:p>
        </w:tc>
        <w:tc>
          <w:tcPr>
            <w:tcW w:w="8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US$50,000</w:t>
            </w:r>
          </w:p>
        </w:tc>
        <w:tc>
          <w:tcPr>
            <w:tcW w:w="9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171,365</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2030</w:t>
            </w:r>
          </w:p>
        </w:tc>
        <w:tc>
          <w:tcPr>
            <w:tcW w:w="80" w:type="dxa"/>
            <w:vAlign w:val="bottom"/>
          </w:tcPr>
          <w:p>
            <w:pPr>
              <w:spacing w:after="0"/>
              <w:rPr>
                <w:sz w:val="15"/>
                <w:szCs w:val="15"/>
                <w:color w:val="auto"/>
              </w:rPr>
            </w:pPr>
          </w:p>
        </w:tc>
        <w:tc>
          <w:tcPr>
            <w:tcW w:w="1060" w:type="dxa"/>
            <w:vAlign w:val="bottom"/>
            <w:gridSpan w:val="2"/>
          </w:tcPr>
          <w:p>
            <w:pPr>
              <w:ind w:left="220"/>
              <w:spacing w:after="0" w:line="175" w:lineRule="exact"/>
              <w:rPr>
                <w:sz w:val="20"/>
                <w:szCs w:val="20"/>
                <w:color w:val="auto"/>
              </w:rPr>
            </w:pPr>
            <w:r>
              <w:rPr>
                <w:rFonts w:ascii="Arial" w:cs="Arial" w:eastAsia="Arial" w:hAnsi="Arial"/>
                <w:sz w:val="16"/>
                <w:szCs w:val="16"/>
                <w:color w:val="auto"/>
              </w:rPr>
              <w:t>US$50,000</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205,952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First issuance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(Series B)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20" w:type="dxa"/>
            <w:vAlign w:val="bottom"/>
          </w:tcPr>
          <w:p>
            <w:pPr>
              <w:ind w:left="960"/>
              <w:spacing w:after="0"/>
              <w:rPr>
                <w:sz w:val="20"/>
                <w:szCs w:val="20"/>
                <w:color w:val="auto"/>
              </w:rPr>
            </w:pPr>
            <w:r>
              <w:rPr>
                <w:rFonts w:ascii="Arial" w:cs="Arial" w:eastAsia="Arial" w:hAnsi="Arial"/>
                <w:sz w:val="16"/>
                <w:szCs w:val="16"/>
                <w:color w:val="auto"/>
              </w:rPr>
              <w:t>MiBanco</w:t>
            </w:r>
          </w:p>
        </w:tc>
        <w:tc>
          <w:tcPr>
            <w:tcW w:w="660" w:type="dxa"/>
            <w:vAlign w:val="bottom"/>
            <w:gridSpan w:val="2"/>
          </w:tcPr>
          <w:p>
            <w:pPr>
              <w:jc w:val="right"/>
              <w:ind w:right="62"/>
              <w:spacing w:after="0"/>
              <w:rPr>
                <w:sz w:val="20"/>
                <w:szCs w:val="20"/>
                <w:color w:val="auto"/>
              </w:rPr>
            </w:pPr>
            <w:r>
              <w:rPr>
                <w:rFonts w:ascii="Arial" w:cs="Arial" w:eastAsia="Arial" w:hAnsi="Arial"/>
                <w:sz w:val="16"/>
                <w:szCs w:val="16"/>
                <w:color w:val="auto"/>
              </w:rPr>
              <w:t>7.22</w:t>
            </w:r>
          </w:p>
        </w:tc>
        <w:tc>
          <w:tcPr>
            <w:tcW w:w="740" w:type="dxa"/>
            <w:vAlign w:val="bottom"/>
            <w:gridSpan w:val="2"/>
          </w:tcPr>
          <w:p>
            <w:pPr>
              <w:ind w:left="80"/>
              <w:spacing w:after="0"/>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ind w:left="700"/>
              <w:spacing w:after="0"/>
              <w:rPr>
                <w:sz w:val="20"/>
                <w:szCs w:val="20"/>
                <w:color w:val="auto"/>
              </w:rPr>
            </w:pPr>
            <w:r>
              <w:rPr>
                <w:rFonts w:ascii="Arial" w:cs="Arial" w:eastAsia="Arial" w:hAnsi="Arial"/>
                <w:sz w:val="16"/>
                <w:szCs w:val="16"/>
                <w:color w:val="auto"/>
              </w:rPr>
              <w:t>− June 2027</w:t>
            </w:r>
          </w:p>
        </w:tc>
        <w:tc>
          <w:tcPr>
            <w:tcW w:w="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S/30,000</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30,000</w:t>
            </w:r>
          </w:p>
        </w:tc>
        <w:tc>
          <w:tcPr>
            <w:tcW w:w="840" w:type="dxa"/>
            <w:vAlign w:val="bottom"/>
            <w:gridSpan w:val="2"/>
          </w:tcPr>
          <w:p>
            <w:pPr>
              <w:spacing w:after="0"/>
              <w:rPr>
                <w:sz w:val="20"/>
                <w:szCs w:val="20"/>
                <w:color w:val="auto"/>
              </w:rPr>
            </w:pPr>
            <w:r>
              <w:rPr>
                <w:rFonts w:ascii="Arial" w:cs="Arial" w:eastAsia="Arial" w:hAnsi="Arial"/>
                <w:sz w:val="16"/>
                <w:szCs w:val="16"/>
                <w:color w:val="auto"/>
              </w:rPr>
              <w:t>June 2027</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S/30,000</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338"/>
        </w:trPr>
        <w:tc>
          <w:tcPr>
            <w:tcW w:w="202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Third</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20" w:type="dxa"/>
            <w:vAlign w:val="bottom"/>
          </w:tcPr>
          <w:p>
            <w:pPr>
              <w:ind w:left="960"/>
              <w:spacing w:after="0" w:line="177" w:lineRule="exact"/>
              <w:rPr>
                <w:sz w:val="20"/>
                <w:szCs w:val="20"/>
                <w:color w:val="auto"/>
              </w:rPr>
            </w:pPr>
            <w:r>
              <w:rPr>
                <w:rFonts w:ascii="Arial" w:cs="Arial" w:eastAsia="Arial" w:hAnsi="Arial"/>
                <w:sz w:val="16"/>
                <w:szCs w:val="16"/>
                <w:b w:val="1"/>
                <w:bCs w:val="1"/>
                <w:color w:val="auto"/>
              </w:rPr>
              <w:t>program</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Issuance IV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Banco de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Crédito de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February</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February</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Bolivia</w:t>
            </w:r>
          </w:p>
        </w:tc>
        <w:tc>
          <w:tcPr>
            <w:tcW w:w="660" w:type="dxa"/>
            <w:vAlign w:val="bottom"/>
            <w:gridSpan w:val="2"/>
          </w:tcPr>
          <w:p>
            <w:pPr>
              <w:jc w:val="right"/>
              <w:ind w:right="62"/>
              <w:spacing w:after="0" w:line="175" w:lineRule="exact"/>
              <w:rPr>
                <w:sz w:val="20"/>
                <w:szCs w:val="20"/>
                <w:color w:val="auto"/>
              </w:rPr>
            </w:pPr>
            <w:r>
              <w:rPr>
                <w:rFonts w:ascii="Arial" w:cs="Arial" w:eastAsia="Arial" w:hAnsi="Arial"/>
                <w:sz w:val="16"/>
                <w:szCs w:val="16"/>
                <w:color w:val="auto"/>
              </w:rPr>
              <w:t>5.85</w:t>
            </w: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2033</w:t>
            </w:r>
          </w:p>
        </w:tc>
        <w:tc>
          <w:tcPr>
            <w:tcW w:w="8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Bs120,810</w:t>
            </w:r>
          </w:p>
        </w:tc>
        <w:tc>
          <w:tcPr>
            <w:tcW w:w="9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63,707</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2033</w:t>
            </w:r>
          </w:p>
        </w:tc>
        <w:tc>
          <w:tcPr>
            <w:tcW w:w="80" w:type="dxa"/>
            <w:vAlign w:val="bottom"/>
          </w:tcPr>
          <w:p>
            <w:pPr>
              <w:spacing w:after="0"/>
              <w:rPr>
                <w:sz w:val="15"/>
                <w:szCs w:val="15"/>
                <w:color w:val="auto"/>
              </w:rPr>
            </w:pP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Bs137,200</w:t>
            </w:r>
          </w:p>
        </w:tc>
        <w:tc>
          <w:tcPr>
            <w:tcW w:w="1060" w:type="dxa"/>
            <w:vAlign w:val="bottom"/>
            <w:gridSpan w:val="2"/>
          </w:tcPr>
          <w:p>
            <w:pPr>
              <w:jc w:val="right"/>
              <w:ind w:right="280"/>
              <w:spacing w:after="0" w:line="175" w:lineRule="exact"/>
              <w:rPr>
                <w:sz w:val="20"/>
                <w:szCs w:val="20"/>
                <w:color w:val="auto"/>
              </w:rPr>
            </w:pPr>
            <w:r>
              <w:rPr>
                <w:rFonts w:ascii="Arial" w:cs="Arial" w:eastAsia="Arial" w:hAnsi="Arial"/>
                <w:sz w:val="16"/>
                <w:szCs w:val="16"/>
                <w:color w:val="auto"/>
              </w:rPr>
              <w:t>65,562</w:t>
            </w: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Issuance III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Banco de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Crédito de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August</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August</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Bolivia</w:t>
            </w:r>
          </w:p>
        </w:tc>
        <w:tc>
          <w:tcPr>
            <w:tcW w:w="660" w:type="dxa"/>
            <w:vAlign w:val="bottom"/>
            <w:gridSpan w:val="2"/>
          </w:tcPr>
          <w:p>
            <w:pPr>
              <w:jc w:val="right"/>
              <w:ind w:right="62"/>
              <w:spacing w:after="0" w:line="175" w:lineRule="exact"/>
              <w:rPr>
                <w:sz w:val="20"/>
                <w:szCs w:val="20"/>
                <w:color w:val="auto"/>
              </w:rPr>
            </w:pPr>
            <w:r>
              <w:rPr>
                <w:rFonts w:ascii="Arial" w:cs="Arial" w:eastAsia="Arial" w:hAnsi="Arial"/>
                <w:sz w:val="16"/>
                <w:szCs w:val="16"/>
                <w:color w:val="auto"/>
              </w:rPr>
              <w:t>6.00</w:t>
            </w: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2030</w:t>
            </w:r>
          </w:p>
        </w:tc>
        <w:tc>
          <w:tcPr>
            <w:tcW w:w="8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Bs100,000</w:t>
            </w:r>
          </w:p>
        </w:tc>
        <w:tc>
          <w:tcPr>
            <w:tcW w:w="9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52,268</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2030</w:t>
            </w:r>
          </w:p>
        </w:tc>
        <w:tc>
          <w:tcPr>
            <w:tcW w:w="80" w:type="dxa"/>
            <w:vAlign w:val="bottom"/>
          </w:tcPr>
          <w:p>
            <w:pPr>
              <w:spacing w:after="0"/>
              <w:rPr>
                <w:sz w:val="15"/>
                <w:szCs w:val="15"/>
                <w:color w:val="auto"/>
              </w:rPr>
            </w:pP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Bs100,000</w:t>
            </w:r>
          </w:p>
        </w:tc>
        <w:tc>
          <w:tcPr>
            <w:tcW w:w="1060" w:type="dxa"/>
            <w:vAlign w:val="bottom"/>
            <w:gridSpan w:val="2"/>
          </w:tcPr>
          <w:p>
            <w:pPr>
              <w:jc w:val="right"/>
              <w:ind w:right="280"/>
              <w:spacing w:after="0" w:line="175" w:lineRule="exact"/>
              <w:rPr>
                <w:sz w:val="20"/>
                <w:szCs w:val="20"/>
                <w:color w:val="auto"/>
              </w:rPr>
            </w:pPr>
            <w:r>
              <w:rPr>
                <w:rFonts w:ascii="Arial" w:cs="Arial" w:eastAsia="Arial" w:hAnsi="Arial"/>
                <w:sz w:val="16"/>
                <w:szCs w:val="16"/>
                <w:color w:val="auto"/>
              </w:rPr>
              <w:t>54,067</w:t>
            </w: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Issuance I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Banco de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Crédito de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August</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August</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20" w:type="dxa"/>
            <w:vAlign w:val="bottom"/>
          </w:tcPr>
          <w:p>
            <w:pPr>
              <w:ind w:left="960"/>
              <w:spacing w:after="0"/>
              <w:rPr>
                <w:sz w:val="20"/>
                <w:szCs w:val="20"/>
                <w:color w:val="auto"/>
              </w:rPr>
            </w:pPr>
            <w:r>
              <w:rPr>
                <w:rFonts w:ascii="Arial" w:cs="Arial" w:eastAsia="Arial" w:hAnsi="Arial"/>
                <w:sz w:val="16"/>
                <w:szCs w:val="16"/>
                <w:color w:val="auto"/>
              </w:rPr>
              <w:t>Bolivia</w:t>
            </w:r>
          </w:p>
        </w:tc>
        <w:tc>
          <w:tcPr>
            <w:tcW w:w="660" w:type="dxa"/>
            <w:vAlign w:val="bottom"/>
            <w:gridSpan w:val="2"/>
          </w:tcPr>
          <w:p>
            <w:pPr>
              <w:jc w:val="right"/>
              <w:ind w:right="62"/>
              <w:spacing w:after="0"/>
              <w:rPr>
                <w:sz w:val="20"/>
                <w:szCs w:val="20"/>
                <w:color w:val="auto"/>
              </w:rPr>
            </w:pPr>
            <w:r>
              <w:rPr>
                <w:rFonts w:ascii="Arial" w:cs="Arial" w:eastAsia="Arial" w:hAnsi="Arial"/>
                <w:sz w:val="16"/>
                <w:szCs w:val="16"/>
                <w:color w:val="auto"/>
              </w:rPr>
              <w:t>6.25</w:t>
            </w:r>
          </w:p>
        </w:tc>
        <w:tc>
          <w:tcPr>
            <w:tcW w:w="740" w:type="dxa"/>
            <w:vAlign w:val="bottom"/>
            <w:gridSpan w:val="2"/>
          </w:tcPr>
          <w:p>
            <w:pPr>
              <w:ind w:left="80"/>
              <w:spacing w:after="0"/>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r>
              <w:rPr>
                <w:rFonts w:ascii="Arial" w:cs="Arial" w:eastAsia="Arial" w:hAnsi="Arial"/>
                <w:sz w:val="16"/>
                <w:szCs w:val="16"/>
                <w:color w:val="auto"/>
              </w:rPr>
              <w:t>2028</w:t>
            </w:r>
          </w:p>
        </w:tc>
        <w:tc>
          <w:tcPr>
            <w:tcW w:w="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Bs70,000</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36,146</w:t>
            </w:r>
          </w:p>
        </w:tc>
        <w:tc>
          <w:tcPr>
            <w:tcW w:w="760" w:type="dxa"/>
            <w:vAlign w:val="bottom"/>
          </w:tcPr>
          <w:p>
            <w:pPr>
              <w:spacing w:after="0"/>
              <w:rPr>
                <w:sz w:val="20"/>
                <w:szCs w:val="20"/>
                <w:color w:val="auto"/>
              </w:rPr>
            </w:pPr>
            <w:r>
              <w:rPr>
                <w:rFonts w:ascii="Arial" w:cs="Arial" w:eastAsia="Arial" w:hAnsi="Arial"/>
                <w:sz w:val="16"/>
                <w:szCs w:val="16"/>
                <w:color w:val="auto"/>
              </w:rPr>
              <w:t>2028</w:t>
            </w:r>
          </w:p>
        </w:tc>
        <w:tc>
          <w:tcPr>
            <w:tcW w:w="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Bs70,000</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37,847</w:t>
            </w:r>
          </w:p>
        </w:tc>
        <w:tc>
          <w:tcPr>
            <w:tcW w:w="0" w:type="dxa"/>
            <w:vAlign w:val="bottom"/>
          </w:tcPr>
          <w:p>
            <w:pPr>
              <w:spacing w:after="0"/>
              <w:rPr>
                <w:sz w:val="1"/>
                <w:szCs w:val="1"/>
                <w:color w:val="auto"/>
              </w:rPr>
            </w:pPr>
          </w:p>
        </w:tc>
      </w:tr>
      <w:tr>
        <w:trPr>
          <w:trHeight w:val="307"/>
        </w:trPr>
        <w:tc>
          <w:tcPr>
            <w:tcW w:w="2020" w:type="dxa"/>
            <w:vAlign w:val="bottom"/>
          </w:tcPr>
          <w:p>
            <w:pPr>
              <w:ind w:left="960"/>
              <w:spacing w:after="0"/>
              <w:rPr>
                <w:sz w:val="20"/>
                <w:szCs w:val="20"/>
                <w:color w:val="auto"/>
              </w:rPr>
            </w:pPr>
            <w:r>
              <w:rPr>
                <w:rFonts w:ascii="Arial" w:cs="Arial" w:eastAsia="Arial" w:hAnsi="Arial"/>
                <w:sz w:val="16"/>
                <w:szCs w:val="16"/>
                <w:b w:val="1"/>
                <w:bCs w:val="1"/>
                <w:color w:val="auto"/>
              </w:rPr>
              <w:t>Fourth</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20" w:type="dxa"/>
            <w:vAlign w:val="bottom"/>
          </w:tcPr>
          <w:p>
            <w:pPr>
              <w:ind w:left="960"/>
              <w:spacing w:after="0" w:line="177" w:lineRule="exact"/>
              <w:rPr>
                <w:sz w:val="20"/>
                <w:szCs w:val="20"/>
                <w:color w:val="auto"/>
              </w:rPr>
            </w:pPr>
            <w:r>
              <w:rPr>
                <w:rFonts w:ascii="Arial" w:cs="Arial" w:eastAsia="Arial" w:hAnsi="Arial"/>
                <w:sz w:val="16"/>
                <w:szCs w:val="16"/>
                <w:b w:val="1"/>
                <w:bCs w:val="1"/>
                <w:color w:val="auto"/>
              </w:rPr>
              <w:t>program</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First issuance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960"/>
              <w:spacing w:after="0" w:line="175" w:lineRule="exact"/>
              <w:rPr>
                <w:sz w:val="20"/>
                <w:szCs w:val="20"/>
                <w:color w:val="auto"/>
              </w:rPr>
            </w:pPr>
            <w:r>
              <w:rPr>
                <w:rFonts w:ascii="Arial" w:cs="Arial" w:eastAsia="Arial" w:hAnsi="Arial"/>
                <w:sz w:val="16"/>
                <w:szCs w:val="16"/>
                <w:color w:val="auto"/>
              </w:rPr>
              <w:t>(Series A) -</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Semi-</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March</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March</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20" w:type="dxa"/>
            <w:vAlign w:val="bottom"/>
          </w:tcPr>
          <w:p>
            <w:pPr>
              <w:ind w:left="960"/>
              <w:spacing w:after="0"/>
              <w:rPr>
                <w:sz w:val="20"/>
                <w:szCs w:val="20"/>
                <w:color w:val="auto"/>
              </w:rPr>
            </w:pPr>
            <w:r>
              <w:rPr>
                <w:rFonts w:ascii="Arial" w:cs="Arial" w:eastAsia="Arial" w:hAnsi="Arial"/>
                <w:sz w:val="16"/>
                <w:szCs w:val="16"/>
                <w:color w:val="auto"/>
              </w:rPr>
              <w:t>MiBanco (ix)</w:t>
            </w:r>
          </w:p>
        </w:tc>
        <w:tc>
          <w:tcPr>
            <w:tcW w:w="660" w:type="dxa"/>
            <w:vAlign w:val="bottom"/>
            <w:gridSpan w:val="2"/>
          </w:tcPr>
          <w:p>
            <w:pPr>
              <w:jc w:val="right"/>
              <w:ind w:right="62"/>
              <w:spacing w:after="0"/>
              <w:rPr>
                <w:sz w:val="20"/>
                <w:szCs w:val="20"/>
                <w:color w:val="auto"/>
              </w:rPr>
            </w:pPr>
            <w:r>
              <w:rPr>
                <w:rFonts w:ascii="Arial" w:cs="Arial" w:eastAsia="Arial" w:hAnsi="Arial"/>
                <w:sz w:val="16"/>
                <w:szCs w:val="16"/>
                <w:color w:val="auto"/>
              </w:rPr>
              <w:t>5.84</w:t>
            </w:r>
          </w:p>
        </w:tc>
        <w:tc>
          <w:tcPr>
            <w:tcW w:w="740" w:type="dxa"/>
            <w:vAlign w:val="bottom"/>
            <w:gridSpan w:val="2"/>
          </w:tcPr>
          <w:p>
            <w:pPr>
              <w:ind w:left="80"/>
              <w:spacing w:after="0"/>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r>
              <w:rPr>
                <w:rFonts w:ascii="Arial" w:cs="Arial" w:eastAsia="Arial" w:hAnsi="Arial"/>
                <w:sz w:val="16"/>
                <w:szCs w:val="16"/>
                <w:color w:val="auto"/>
              </w:rPr>
              <w:t>2031</w:t>
            </w:r>
          </w:p>
        </w:tc>
        <w:tc>
          <w:tcPr>
            <w:tcW w:w="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S/155,000</w:t>
            </w: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146,274</w:t>
            </w:r>
          </w:p>
        </w:tc>
        <w:tc>
          <w:tcPr>
            <w:tcW w:w="760" w:type="dxa"/>
            <w:vAlign w:val="bottom"/>
          </w:tcPr>
          <w:p>
            <w:pPr>
              <w:spacing w:after="0"/>
              <w:rPr>
                <w:sz w:val="20"/>
                <w:szCs w:val="20"/>
                <w:color w:val="auto"/>
              </w:rPr>
            </w:pPr>
            <w:r>
              <w:rPr>
                <w:rFonts w:ascii="Arial" w:cs="Arial" w:eastAsia="Arial" w:hAnsi="Arial"/>
                <w:sz w:val="16"/>
                <w:szCs w:val="16"/>
                <w:color w:val="auto"/>
              </w:rPr>
              <w:t>2031</w:t>
            </w:r>
          </w:p>
        </w:tc>
        <w:tc>
          <w:tcPr>
            <w:tcW w:w="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S/155,000</w:t>
            </w:r>
          </w:p>
        </w:tc>
        <w:tc>
          <w:tcPr>
            <w:tcW w:w="780" w:type="dxa"/>
            <w:vAlign w:val="bottom"/>
          </w:tcPr>
          <w:p>
            <w:pPr>
              <w:jc w:val="right"/>
              <w:spacing w:after="0"/>
              <w:rPr>
                <w:sz w:val="20"/>
                <w:szCs w:val="20"/>
                <w:color w:val="auto"/>
              </w:rPr>
            </w:pPr>
            <w:r>
              <w:rPr>
                <w:rFonts w:ascii="Arial" w:cs="Arial" w:eastAsia="Arial" w:hAnsi="Arial"/>
                <w:sz w:val="16"/>
                <w:szCs w:val="16"/>
                <w:color w:val="auto"/>
              </w:rPr>
              <w:t>146,274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8,016,712</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5,680,120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020" w:type="dxa"/>
            <w:vAlign w:val="bottom"/>
          </w:tcPr>
          <w:p>
            <w:pPr>
              <w:ind w:left="820"/>
              <w:spacing w:after="0"/>
              <w:rPr>
                <w:sz w:val="20"/>
                <w:szCs w:val="20"/>
                <w:color w:val="auto"/>
              </w:rPr>
            </w:pPr>
            <w:r>
              <w:rPr>
                <w:rFonts w:ascii="Arial" w:cs="Arial" w:eastAsia="Arial" w:hAnsi="Arial"/>
                <w:sz w:val="16"/>
                <w:szCs w:val="16"/>
                <w:b w:val="1"/>
                <w:bCs w:val="1"/>
                <w:color w:val="auto"/>
              </w:rPr>
              <w:t>Negotiable</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820"/>
              <w:spacing w:after="0" w:line="175" w:lineRule="exact"/>
              <w:rPr>
                <w:sz w:val="20"/>
                <w:szCs w:val="20"/>
                <w:color w:val="auto"/>
              </w:rPr>
            </w:pPr>
            <w:r>
              <w:rPr>
                <w:rFonts w:ascii="Arial" w:cs="Arial" w:eastAsia="Arial" w:hAnsi="Arial"/>
                <w:sz w:val="16"/>
                <w:szCs w:val="16"/>
                <w:b w:val="1"/>
                <w:bCs w:val="1"/>
                <w:color w:val="auto"/>
              </w:rPr>
              <w:t>certificate of</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January</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820"/>
              <w:spacing w:after="0" w:line="175" w:lineRule="exact"/>
              <w:rPr>
                <w:sz w:val="20"/>
                <w:szCs w:val="20"/>
                <w:color w:val="auto"/>
              </w:rPr>
            </w:pPr>
            <w:r>
              <w:rPr>
                <w:rFonts w:ascii="Arial" w:cs="Arial" w:eastAsia="Arial" w:hAnsi="Arial"/>
                <w:sz w:val="16"/>
                <w:szCs w:val="16"/>
                <w:b w:val="1"/>
                <w:bCs w:val="1"/>
                <w:color w:val="auto"/>
              </w:rPr>
              <w:t>deposit -</w:t>
            </w:r>
          </w:p>
        </w:tc>
        <w:tc>
          <w:tcPr>
            <w:tcW w:w="66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From</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2025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2024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820"/>
              <w:spacing w:after="0" w:line="175" w:lineRule="exact"/>
              <w:rPr>
                <w:sz w:val="20"/>
                <w:szCs w:val="20"/>
                <w:color w:val="auto"/>
              </w:rPr>
            </w:pPr>
            <w:r>
              <w:rPr>
                <w:rFonts w:ascii="Arial" w:cs="Arial" w:eastAsia="Arial" w:hAnsi="Arial"/>
                <w:sz w:val="16"/>
                <w:szCs w:val="16"/>
                <w:b w:val="1"/>
                <w:bCs w:val="1"/>
                <w:color w:val="auto"/>
              </w:rPr>
              <w:t>MiBanco</w:t>
            </w:r>
          </w:p>
        </w:tc>
        <w:tc>
          <w:tcPr>
            <w:tcW w:w="66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1.00 to</w:t>
            </w: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To</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October</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January</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820"/>
              <w:spacing w:after="0" w:line="175" w:lineRule="exact"/>
              <w:rPr>
                <w:sz w:val="20"/>
                <w:szCs w:val="20"/>
                <w:color w:val="auto"/>
              </w:rPr>
            </w:pPr>
            <w:r>
              <w:rPr>
                <w:rFonts w:ascii="Arial" w:cs="Arial" w:eastAsia="Arial" w:hAnsi="Arial"/>
                <w:sz w:val="16"/>
                <w:szCs w:val="16"/>
                <w:b w:val="1"/>
                <w:bCs w:val="1"/>
                <w:color w:val="auto"/>
              </w:rPr>
              <w:t>Colombia</w:t>
            </w:r>
          </w:p>
        </w:tc>
        <w:tc>
          <w:tcPr>
            <w:tcW w:w="66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17.20</w:t>
            </w:r>
          </w:p>
        </w:tc>
        <w:tc>
          <w:tcPr>
            <w:tcW w:w="74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maturity</w:t>
            </w:r>
          </w:p>
        </w:tc>
        <w:tc>
          <w:tcPr>
            <w:tcW w:w="36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2027</w:t>
            </w:r>
          </w:p>
        </w:tc>
        <w:tc>
          <w:tcPr>
            <w:tcW w:w="112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$1,343,411</w:t>
            </w:r>
          </w:p>
        </w:tc>
        <w:tc>
          <w:tcPr>
            <w:tcW w:w="96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1,254,245</w:t>
            </w: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2027</w:t>
            </w:r>
          </w:p>
        </w:tc>
        <w:tc>
          <w:tcPr>
            <w:tcW w:w="80" w:type="dxa"/>
            <w:vAlign w:val="bottom"/>
          </w:tcPr>
          <w:p>
            <w:pPr>
              <w:spacing w:after="0"/>
              <w:rPr>
                <w:sz w:val="15"/>
                <w:szCs w:val="15"/>
                <w:color w:val="auto"/>
              </w:rPr>
            </w:pP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$1,295,640</w:t>
            </w:r>
          </w:p>
        </w:tc>
        <w:tc>
          <w:tcPr>
            <w:tcW w:w="1060" w:type="dxa"/>
            <w:vAlign w:val="bottom"/>
            <w:gridSpan w:val="2"/>
          </w:tcPr>
          <w:p>
            <w:pPr>
              <w:jc w:val="right"/>
              <w:ind w:right="280"/>
              <w:spacing w:after="0" w:line="175" w:lineRule="exact"/>
              <w:rPr>
                <w:sz w:val="20"/>
                <w:szCs w:val="20"/>
                <w:color w:val="auto"/>
              </w:rPr>
            </w:pPr>
            <w:r>
              <w:rPr>
                <w:rFonts w:ascii="Arial" w:cs="Arial" w:eastAsia="Arial" w:hAnsi="Arial"/>
                <w:sz w:val="16"/>
                <w:szCs w:val="16"/>
                <w:color w:val="auto"/>
              </w:rPr>
              <w:t>1,239,824</w:t>
            </w:r>
          </w:p>
        </w:tc>
        <w:tc>
          <w:tcPr>
            <w:tcW w:w="0" w:type="dxa"/>
            <w:vAlign w:val="bottom"/>
          </w:tcPr>
          <w:p>
            <w:pPr>
              <w:spacing w:after="0"/>
              <w:rPr>
                <w:sz w:val="1"/>
                <w:szCs w:val="1"/>
                <w:color w:val="auto"/>
              </w:rPr>
            </w:pPr>
          </w:p>
        </w:tc>
      </w:tr>
      <w:tr>
        <w:trPr>
          <w:trHeight w:val="175"/>
        </w:trPr>
        <w:tc>
          <w:tcPr>
            <w:tcW w:w="2020" w:type="dxa"/>
            <w:vAlign w:val="bottom"/>
          </w:tcPr>
          <w:p>
            <w:pPr>
              <w:ind w:left="820"/>
              <w:spacing w:after="0" w:line="175" w:lineRule="exact"/>
              <w:rPr>
                <w:sz w:val="20"/>
                <w:szCs w:val="20"/>
                <w:color w:val="auto"/>
              </w:rPr>
            </w:pPr>
            <w:r>
              <w:rPr>
                <w:rFonts w:ascii="Arial" w:cs="Arial" w:eastAsia="Arial" w:hAnsi="Arial"/>
                <w:sz w:val="16"/>
                <w:szCs w:val="16"/>
                <w:b w:val="1"/>
                <w:bCs w:val="1"/>
                <w:color w:val="auto"/>
              </w:rPr>
              <w:t>Negotiable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January</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820"/>
              <w:spacing w:after="0" w:line="175" w:lineRule="exact"/>
              <w:rPr>
                <w:sz w:val="20"/>
                <w:szCs w:val="20"/>
                <w:color w:val="auto"/>
              </w:rPr>
            </w:pPr>
            <w:r>
              <w:rPr>
                <w:rFonts w:ascii="Arial" w:cs="Arial" w:eastAsia="Arial" w:hAnsi="Arial"/>
                <w:sz w:val="16"/>
                <w:szCs w:val="16"/>
                <w:b w:val="1"/>
                <w:bCs w:val="1"/>
                <w:color w:val="auto"/>
              </w:rPr>
              <w:t>certificate of</w:t>
            </w:r>
          </w:p>
        </w:tc>
        <w:tc>
          <w:tcPr>
            <w:tcW w:w="66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From</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2025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Arial" w:cs="Arial" w:eastAsia="Arial" w:hAnsi="Arial"/>
                <w:sz w:val="16"/>
                <w:szCs w:val="16"/>
                <w:color w:val="auto"/>
              </w:rPr>
              <w:t>January</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820"/>
              <w:spacing w:after="0" w:line="175" w:lineRule="exact"/>
              <w:rPr>
                <w:sz w:val="20"/>
                <w:szCs w:val="20"/>
                <w:color w:val="auto"/>
              </w:rPr>
            </w:pPr>
            <w:r>
              <w:rPr>
                <w:rFonts w:ascii="Arial" w:cs="Arial" w:eastAsia="Arial" w:hAnsi="Arial"/>
                <w:sz w:val="16"/>
                <w:szCs w:val="16"/>
                <w:b w:val="1"/>
                <w:bCs w:val="1"/>
                <w:color w:val="auto"/>
              </w:rPr>
              <w:t>deposit -</w:t>
            </w:r>
          </w:p>
        </w:tc>
        <w:tc>
          <w:tcPr>
            <w:tcW w:w="66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3.30 to</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w w:val="94"/>
              </w:rPr>
              <w:t>September</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line="175" w:lineRule="exact"/>
              <w:rPr>
                <w:sz w:val="20"/>
                <w:szCs w:val="20"/>
                <w:color w:val="auto"/>
              </w:rPr>
            </w:pPr>
            <w:r>
              <w:rPr>
                <w:rFonts w:ascii="Arial" w:cs="Arial" w:eastAsia="Arial" w:hAnsi="Arial"/>
                <w:sz w:val="16"/>
                <w:szCs w:val="16"/>
                <w:color w:val="auto"/>
              </w:rPr>
              <w:t>2024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820"/>
              <w:spacing w:after="0"/>
              <w:rPr>
                <w:sz w:val="20"/>
                <w:szCs w:val="20"/>
                <w:color w:val="auto"/>
              </w:rPr>
            </w:pPr>
            <w:r>
              <w:rPr>
                <w:rFonts w:ascii="Arial" w:cs="Arial" w:eastAsia="Arial" w:hAnsi="Arial"/>
                <w:sz w:val="16"/>
                <w:szCs w:val="16"/>
                <w:b w:val="1"/>
                <w:bCs w:val="1"/>
                <w:color w:val="auto"/>
              </w:rPr>
              <w:t>MiBanco</w:t>
            </w:r>
          </w:p>
        </w:tc>
        <w:tc>
          <w:tcPr>
            <w:tcW w:w="660" w:type="dxa"/>
            <w:vAlign w:val="bottom"/>
            <w:gridSpan w:val="2"/>
          </w:tcPr>
          <w:p>
            <w:pPr>
              <w:ind w:left="60"/>
              <w:spacing w:after="0"/>
              <w:rPr>
                <w:sz w:val="20"/>
                <w:szCs w:val="20"/>
                <w:color w:val="auto"/>
              </w:rPr>
            </w:pPr>
            <w:r>
              <w:rPr>
                <w:rFonts w:ascii="Arial" w:cs="Arial" w:eastAsia="Arial" w:hAnsi="Arial"/>
                <w:sz w:val="16"/>
                <w:szCs w:val="16"/>
                <w:color w:val="auto"/>
              </w:rPr>
              <w:t>5.47</w:t>
            </w:r>
          </w:p>
        </w:tc>
        <w:tc>
          <w:tcPr>
            <w:tcW w:w="740" w:type="dxa"/>
            <w:vAlign w:val="bottom"/>
            <w:gridSpan w:val="2"/>
          </w:tcPr>
          <w:p>
            <w:pPr>
              <w:ind w:left="80"/>
              <w:spacing w:after="0"/>
              <w:rPr>
                <w:sz w:val="20"/>
                <w:szCs w:val="20"/>
                <w:color w:val="auto"/>
              </w:rPr>
            </w:pPr>
            <w:r>
              <w:rPr>
                <w:rFonts w:ascii="Arial" w:cs="Arial" w:eastAsia="Arial" w:hAnsi="Arial"/>
                <w:sz w:val="16"/>
                <w:szCs w:val="16"/>
                <w:color w:val="auto"/>
              </w:rPr>
              <w:t>Annual</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r>
              <w:rPr>
                <w:rFonts w:ascii="Arial" w:cs="Arial" w:eastAsia="Arial" w:hAnsi="Arial"/>
                <w:sz w:val="16"/>
                <w:szCs w:val="16"/>
                <w:color w:val="auto"/>
              </w:rPr>
              <w:t>2026</w:t>
            </w:r>
          </w:p>
        </w:tc>
        <w:tc>
          <w:tcPr>
            <w:tcW w:w="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S/314,870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118,813</w:t>
            </w:r>
          </w:p>
        </w:tc>
        <w:tc>
          <w:tcPr>
            <w:tcW w:w="14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auto"/>
              </w:rPr>
              <w:t>June 2025</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S/407,101</w:t>
            </w:r>
          </w:p>
        </w:tc>
        <w:tc>
          <w:tcPr>
            <w:tcW w:w="780" w:type="dxa"/>
            <w:vAlign w:val="bottom"/>
          </w:tcPr>
          <w:p>
            <w:pPr>
              <w:jc w:val="right"/>
              <w:spacing w:after="0"/>
              <w:rPr>
                <w:sz w:val="20"/>
                <w:szCs w:val="20"/>
                <w:color w:val="auto"/>
              </w:rPr>
            </w:pPr>
            <w:r>
              <w:rPr>
                <w:rFonts w:ascii="Arial" w:cs="Arial" w:eastAsia="Arial" w:hAnsi="Arial"/>
                <w:sz w:val="16"/>
                <w:szCs w:val="16"/>
                <w:color w:val="auto"/>
              </w:rPr>
              <w:t>407,101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20" w:type="dxa"/>
            <w:vAlign w:val="bottom"/>
            <w:vMerge w:val="restart"/>
          </w:tcPr>
          <w:p>
            <w:pPr>
              <w:ind w:left="820"/>
              <w:spacing w:after="0"/>
              <w:rPr>
                <w:sz w:val="20"/>
                <w:szCs w:val="20"/>
                <w:color w:val="auto"/>
              </w:rPr>
            </w:pPr>
            <w:r>
              <w:rPr>
                <w:rFonts w:ascii="Arial" w:cs="Arial" w:eastAsia="Arial" w:hAnsi="Arial"/>
                <w:sz w:val="16"/>
                <w:szCs w:val="16"/>
                <w:color w:val="auto"/>
              </w:rPr>
              <w:t>Interest payable</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w w:val="97"/>
              </w:rPr>
              <w:t>17,023,586</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w w:val="94"/>
              </w:rPr>
              <w:t>14,373,760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244,857</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221,025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820"/>
              <w:spacing w:after="0" w:line="167"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7"/>
              </w:rPr>
              <w:t>17,268,443</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14,594,785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0"/>
        </w:trPr>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auto"/>
              </w:rPr>
              <w:t>-93-</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96" w:name="page97"/>
    <w:bookmarkEnd w:id="96"/>
    <w:p>
      <w:pPr>
        <w:ind w:left="6" w:right="20"/>
        <w:spacing w:after="0" w:line="256" w:lineRule="auto"/>
        <w:rPr>
          <w:sz w:val="20"/>
          <w:szCs w:val="20"/>
          <w:color w:val="auto"/>
        </w:rPr>
      </w:pPr>
      <w:r>
        <w:rPr>
          <w:rFonts w:ascii="Arial" w:cs="Arial" w:eastAsia="Arial" w:hAnsi="Arial"/>
          <w:sz w:val="16"/>
          <w:szCs w:val="16"/>
          <w:color w:val="auto"/>
        </w:rPr>
        <w:t>International issues contain certain operating covenants, which, in Management's opinion, the Group has complied with at the dates of the consolidated statement of financial position.</w:t>
      </w:r>
    </w:p>
    <w:p>
      <w:pPr>
        <w:spacing w:after="0" w:line="122" w:lineRule="exact"/>
        <w:rPr>
          <w:sz w:val="20"/>
          <w:szCs w:val="20"/>
          <w:color w:val="auto"/>
        </w:rPr>
      </w:pPr>
    </w:p>
    <w:p>
      <w:pPr>
        <w:ind w:left="426" w:right="180" w:hanging="426"/>
        <w:spacing w:after="0" w:line="238" w:lineRule="auto"/>
        <w:tabs>
          <w:tab w:leader="none" w:pos="426" w:val="left"/>
        </w:tabs>
        <w:numPr>
          <w:ilvl w:val="0"/>
          <w:numId w:val="120"/>
        </w:numPr>
        <w:rPr>
          <w:rFonts w:ascii="Arial" w:cs="Arial" w:eastAsia="Arial" w:hAnsi="Arial"/>
          <w:sz w:val="16"/>
          <w:szCs w:val="16"/>
          <w:color w:val="auto"/>
        </w:rPr>
      </w:pPr>
      <w:r>
        <w:rPr>
          <w:rFonts w:ascii="Arial" w:cs="Arial" w:eastAsia="Arial" w:hAnsi="Arial"/>
          <w:sz w:val="16"/>
          <w:szCs w:val="16"/>
          <w:color w:val="111111"/>
        </w:rPr>
        <w:t>The Bank issued Senior Notes under the Medium-Term Program proof approximately US$700.0 million at a semi-annual coupon rate of 2.70 percent maturing in January 2025. From December 11, 2024 onwards, the Bank can redeem the total or part of the notes to a redemption price equal to 100.0 percent of the aggregate principal amount of the notes to be redeemed. The payment of principal will take place on the due date or when the Bank redeems the notes</w:t>
      </w:r>
      <w:r>
        <w:rPr>
          <w:rFonts w:ascii="Arial" w:cs="Arial" w:eastAsia="Arial" w:hAnsi="Arial"/>
          <w:sz w:val="16"/>
          <w:szCs w:val="16"/>
          <w:color w:val="000000"/>
        </w:rPr>
        <w:t>.</w:t>
      </w:r>
    </w:p>
    <w:p>
      <w:pPr>
        <w:spacing w:after="0" w:line="145" w:lineRule="exact"/>
        <w:rPr>
          <w:rFonts w:ascii="Arial" w:cs="Arial" w:eastAsia="Arial" w:hAnsi="Arial"/>
          <w:sz w:val="16"/>
          <w:szCs w:val="16"/>
          <w:color w:val="auto"/>
        </w:rPr>
      </w:pPr>
    </w:p>
    <w:p>
      <w:pPr>
        <w:ind w:left="426" w:right="20"/>
        <w:spacing w:after="0" w:line="293" w:lineRule="auto"/>
        <w:rPr>
          <w:rFonts w:ascii="Arial" w:cs="Arial" w:eastAsia="Arial" w:hAnsi="Arial"/>
          <w:sz w:val="16"/>
          <w:szCs w:val="16"/>
          <w:color w:val="auto"/>
        </w:rPr>
      </w:pPr>
      <w:r>
        <w:rPr>
          <w:rFonts w:ascii="Arial" w:cs="Arial" w:eastAsia="Arial" w:hAnsi="Arial"/>
          <w:sz w:val="14"/>
          <w:szCs w:val="14"/>
          <w:color w:val="auto"/>
        </w:rPr>
        <w:t>On December 31, 2024, the Bank maintains a CCS which was designated as cash flows hedges of a part of Senior Notes in U.S Dollar subject to exchange rate risk for a notional amount of US$220.0 million, equivalent to S/828.1 million (US$220.0 million equivalent to S/816.0 million, as of December 31, 2023), see Note 12(c). By means of the CCS, the cover part of senior notes was economically converted to soles.</w:t>
      </w:r>
    </w:p>
    <w:p>
      <w:pPr>
        <w:spacing w:after="0" w:line="98" w:lineRule="exact"/>
        <w:rPr>
          <w:rFonts w:ascii="Arial" w:cs="Arial" w:eastAsia="Arial" w:hAnsi="Arial"/>
          <w:sz w:val="16"/>
          <w:szCs w:val="16"/>
          <w:color w:val="auto"/>
        </w:rPr>
      </w:pPr>
    </w:p>
    <w:p>
      <w:pPr>
        <w:ind w:left="426" w:right="40" w:hanging="426"/>
        <w:spacing w:after="0" w:line="233" w:lineRule="auto"/>
        <w:tabs>
          <w:tab w:leader="none" w:pos="426" w:val="left"/>
        </w:tabs>
        <w:numPr>
          <w:ilvl w:val="0"/>
          <w:numId w:val="120"/>
        </w:numPr>
        <w:rPr>
          <w:rFonts w:ascii="Arial" w:cs="Arial" w:eastAsia="Arial" w:hAnsi="Arial"/>
          <w:sz w:val="16"/>
          <w:szCs w:val="16"/>
          <w:color w:val="111111"/>
        </w:rPr>
      </w:pPr>
      <w:r>
        <w:rPr>
          <w:rFonts w:ascii="Arial" w:cs="Arial" w:eastAsia="Arial" w:hAnsi="Arial"/>
          <w:sz w:val="16"/>
          <w:szCs w:val="16"/>
          <w:color w:val="111111"/>
        </w:rPr>
        <w:t>On January 11, 2024, the Bank issued Senior Notes under its Medium-Term Notes program for a total amount of US$ 500.0 million in U.S. Dollars, with a coupon rate of 5.85 percent, and S/1,150.0 million in Peruvian Soles, with a coupon rate of 7.85 percent; both issuances mature in January 2029. Prior to December 11, 2028, the Bank may redeem all or part of the Senior Notes at a redemption price equal to the greater of (i) 100.0 percent of the principal amount of the Senior Notes, or (ii) the sum of the remaining cash flows discounted at a rate equivalent to the U.S. Treasury interest rate plus 30 basis points (for the U.S. Dollar issuance) and the interest rate of Peruvian Government Sovereign Bonds or another comparable security plus 30 basis points (for the Peruvian Soles issuance). The principal payment will be made on the maturity date of the Senior Notes or upon their redemption by the Bank. From December 11, 2028, onwards, the Bank may redeem all or part of the Notes at a redemption price equal to 100.0 percent of the aggregate principal amount of the Notes being redeemed.</w:t>
      </w:r>
    </w:p>
    <w:p>
      <w:pPr>
        <w:spacing w:after="0" w:line="134" w:lineRule="exact"/>
        <w:rPr>
          <w:rFonts w:ascii="Arial" w:cs="Arial" w:eastAsia="Arial" w:hAnsi="Arial"/>
          <w:sz w:val="16"/>
          <w:szCs w:val="16"/>
          <w:color w:val="111111"/>
        </w:rPr>
      </w:pPr>
    </w:p>
    <w:p>
      <w:pPr>
        <w:ind w:left="426" w:hanging="426"/>
        <w:spacing w:after="0" w:line="255" w:lineRule="auto"/>
        <w:tabs>
          <w:tab w:leader="none" w:pos="42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As of December 31, 2024, Credicorp Ltd. holds Senior Notes for approximately US$486.0 million, equivalent to S/1,829.3 million (US$486.0 million, equivalent to S/1,802.6 million as of December 31, 2023) at a fixed rate and maturing on June 17, 2025.</w:t>
      </w:r>
    </w:p>
    <w:p>
      <w:pPr>
        <w:spacing w:after="0" w:line="122" w:lineRule="exact"/>
        <w:rPr>
          <w:rFonts w:ascii="Arial" w:cs="Arial" w:eastAsia="Arial" w:hAnsi="Arial"/>
          <w:sz w:val="16"/>
          <w:szCs w:val="16"/>
          <w:color w:val="auto"/>
        </w:rPr>
      </w:pPr>
    </w:p>
    <w:p>
      <w:pPr>
        <w:jc w:val="both"/>
        <w:ind w:left="426"/>
        <w:spacing w:after="0" w:line="241" w:lineRule="auto"/>
        <w:rPr>
          <w:rFonts w:ascii="Arial" w:cs="Arial" w:eastAsia="Arial" w:hAnsi="Arial"/>
          <w:sz w:val="16"/>
          <w:szCs w:val="16"/>
          <w:color w:val="auto"/>
        </w:rPr>
      </w:pPr>
      <w:r>
        <w:rPr>
          <w:rFonts w:ascii="Arial" w:cs="Arial" w:eastAsia="Arial" w:hAnsi="Arial"/>
          <w:sz w:val="16"/>
          <w:szCs w:val="16"/>
          <w:color w:val="auto"/>
        </w:rPr>
        <w:t>All or part of the notes may be redeemed primarily in the following ways: (i) on any date prior to May 17, 2025, upon full or partial repurchase, bearing as a penalty an interest rate equal to the U.S. Treasury rate plus 40 basis points, and (ii) on any date on or after May 17, 2025, at par value. Principal will be paid on the maturity date or upon redemption of the notes</w:t>
      </w:r>
    </w:p>
    <w:p>
      <w:pPr>
        <w:spacing w:after="0" w:line="134" w:lineRule="exact"/>
        <w:rPr>
          <w:rFonts w:ascii="Arial" w:cs="Arial" w:eastAsia="Arial" w:hAnsi="Arial"/>
          <w:sz w:val="16"/>
          <w:szCs w:val="16"/>
          <w:color w:val="auto"/>
        </w:rPr>
      </w:pPr>
    </w:p>
    <w:p>
      <w:pPr>
        <w:ind w:left="426" w:hanging="426"/>
        <w:spacing w:after="0"/>
        <w:tabs>
          <w:tab w:leader="none" w:pos="42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On June 21, 2022, the Bank issued senior notes under the medium-term bond program amounting to US$30.0 million at a semi-annual rate of</w:t>
      </w:r>
    </w:p>
    <w:p>
      <w:pPr>
        <w:spacing w:after="0" w:line="28" w:lineRule="exact"/>
        <w:rPr>
          <w:rFonts w:ascii="Arial" w:cs="Arial" w:eastAsia="Arial" w:hAnsi="Arial"/>
          <w:sz w:val="14"/>
          <w:szCs w:val="14"/>
          <w:color w:val="auto"/>
        </w:rPr>
      </w:pPr>
    </w:p>
    <w:p>
      <w:pPr>
        <w:jc w:val="both"/>
        <w:ind w:left="426" w:right="100"/>
        <w:spacing w:after="0" w:line="283" w:lineRule="auto"/>
        <w:rPr>
          <w:rFonts w:ascii="Arial" w:cs="Arial" w:eastAsia="Arial" w:hAnsi="Arial"/>
          <w:sz w:val="14"/>
          <w:szCs w:val="14"/>
          <w:color w:val="auto"/>
        </w:rPr>
      </w:pPr>
      <w:r>
        <w:rPr>
          <w:rFonts w:ascii="Arial" w:cs="Arial" w:eastAsia="Arial" w:hAnsi="Arial"/>
          <w:sz w:val="14"/>
          <w:szCs w:val="14"/>
          <w:color w:val="auto"/>
        </w:rPr>
        <w:t>5.05 percent maturing in June 2027. An amount equivalent to the net proceeds from the offering will be used to finance or refinance, in whole or in part, new or existing green Eligible Projects, as per BCP’s Sustainability Financing Framework dated January 2022. The Bank may redeem all or part of the notes at a redemption price equal to 100.0 percent of the aggregate amount of the principal of the notes to be redeemed.</w:t>
      </w:r>
    </w:p>
    <w:p>
      <w:pPr>
        <w:spacing w:after="0" w:line="104" w:lineRule="exact"/>
        <w:rPr>
          <w:rFonts w:ascii="Arial" w:cs="Arial" w:eastAsia="Arial" w:hAnsi="Arial"/>
          <w:sz w:val="14"/>
          <w:szCs w:val="14"/>
          <w:color w:val="auto"/>
        </w:rPr>
      </w:pPr>
    </w:p>
    <w:p>
      <w:pPr>
        <w:ind w:left="426" w:right="60" w:hanging="426"/>
        <w:spacing w:after="0" w:line="255" w:lineRule="auto"/>
        <w:tabs>
          <w:tab w:leader="none" w:pos="42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On September 19, 2023, the Bank issued Senior Notes for approximately ¥3,000.0 million, equivalent to S/78.9 million as of December 31, 2023, with a fixed rate of 0.97 percent, whose maturity on November 19, 2025.</w:t>
      </w:r>
    </w:p>
    <w:p>
      <w:pPr>
        <w:spacing w:after="0" w:line="122" w:lineRule="exact"/>
        <w:rPr>
          <w:rFonts w:ascii="Arial" w:cs="Arial" w:eastAsia="Arial" w:hAnsi="Arial"/>
          <w:sz w:val="16"/>
          <w:szCs w:val="16"/>
          <w:color w:val="auto"/>
        </w:rPr>
      </w:pPr>
    </w:p>
    <w:p>
      <w:pPr>
        <w:jc w:val="both"/>
        <w:ind w:left="426" w:right="20"/>
        <w:spacing w:after="0" w:line="241" w:lineRule="auto"/>
        <w:rPr>
          <w:rFonts w:ascii="Arial" w:cs="Arial" w:eastAsia="Arial" w:hAnsi="Arial"/>
          <w:sz w:val="16"/>
          <w:szCs w:val="16"/>
          <w:color w:val="auto"/>
        </w:rPr>
      </w:pPr>
      <w:r>
        <w:rPr>
          <w:rFonts w:ascii="Arial" w:cs="Arial" w:eastAsia="Arial" w:hAnsi="Arial"/>
          <w:sz w:val="16"/>
          <w:szCs w:val="16"/>
          <w:color w:val="auto"/>
        </w:rPr>
        <w:t>As of December 31, 2024, the Bank agreed to a cross currency swap (CCS) for a nominal amount of ¥3,000.0 million equivalent to S/71.9 million, see Note 12(c), which was broken down by risk variables into two cross currency swap (CCS) in order to designate them as a cash flow hedge of a fixed-rate yen issued bond, which was converted to Soles at a fixed rate and as cash flow hedge of loans.</w:t>
      </w:r>
    </w:p>
    <w:p>
      <w:pPr>
        <w:spacing w:after="0" w:line="281" w:lineRule="exact"/>
        <w:rPr>
          <w:sz w:val="20"/>
          <w:szCs w:val="20"/>
          <w:color w:val="auto"/>
        </w:rPr>
      </w:pPr>
    </w:p>
    <w:p>
      <w:pPr>
        <w:ind w:left="4686"/>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426"/>
          </w:cols>
          <w:pgMar w:left="1154" w:top="124" w:right="319" w:bottom="1440" w:gutter="0" w:footer="0" w:header="0"/>
        </w:sectPr>
      </w:pPr>
    </w:p>
    <w:bookmarkStart w:id="97" w:name="page98"/>
    <w:bookmarkEnd w:id="97"/>
    <w:p>
      <w:pPr>
        <w:ind w:left="426" w:right="220" w:hanging="426"/>
        <w:spacing w:after="0" w:line="257" w:lineRule="auto"/>
        <w:tabs>
          <w:tab w:leader="none" w:pos="42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September 17, 2024, the bond was fully redeemed. This bond was issued in September 2019 under the framework of the Medium-Term Notes Program for S/2,500.0 million, with a semi-annual coupon rate of 4.65 percent, maturing in September 2024.</w:t>
      </w:r>
    </w:p>
    <w:p>
      <w:pPr>
        <w:spacing w:after="0" w:line="120" w:lineRule="exact"/>
        <w:rPr>
          <w:rFonts w:ascii="Arial" w:cs="Arial" w:eastAsia="Arial" w:hAnsi="Arial"/>
          <w:sz w:val="16"/>
          <w:szCs w:val="16"/>
          <w:color w:val="auto"/>
        </w:rPr>
      </w:pPr>
    </w:p>
    <w:p>
      <w:pPr>
        <w:ind w:left="426" w:hanging="426"/>
        <w:spacing w:after="0" w:line="271" w:lineRule="auto"/>
        <w:tabs>
          <w:tab w:leader="none" w:pos="426" w:val="left"/>
        </w:tabs>
        <w:numPr>
          <w:ilvl w:val="0"/>
          <w:numId w:val="121"/>
        </w:numPr>
        <w:rPr>
          <w:rFonts w:ascii="Arial" w:cs="Arial" w:eastAsia="Arial" w:hAnsi="Arial"/>
          <w:sz w:val="14"/>
          <w:szCs w:val="14"/>
          <w:color w:val="auto"/>
        </w:rPr>
      </w:pPr>
      <w:r>
        <w:rPr>
          <w:rFonts w:ascii="Arial" w:cs="Arial" w:eastAsia="Arial" w:hAnsi="Arial"/>
          <w:sz w:val="14"/>
          <w:szCs w:val="14"/>
          <w:color w:val="auto"/>
        </w:rPr>
        <w:t>On July 1, 2020, the Bank issued Subordinated Notes under the medium-term bond program amounting to US$850.0 million at a semiannual rate of 3.13 percent maturing in July 2030 called “3.13 percent Fixed Rate Subordinated Notes Due 2030 (Callable 2025).” As of July 1, 2025, it will be paid a fixed interest rate equal to States of U.S. Treasury interest rate, comparable to 5 years, plus 300.0 basis point. On July 1, 2025, the Bank may redeem all or part of the notes at a redemption price that is equal to 100.0 percent of the aggregate principal amount of the notes to be redeemed. Thereafter, the Bank may redeem all or part of the notes at a redemption price equal to the higher of (i) 100.0 percent of the principal amount of the notes and (ii) the sum of the remaining flows discounted to a rate equivalent to the United States Treasury interest rate plus 45 basis points. The payment of the principal will take place on the expiration date of the notes or when the Bank redeems them.</w:t>
      </w:r>
    </w:p>
    <w:p>
      <w:pPr>
        <w:spacing w:after="0" w:line="116" w:lineRule="exact"/>
        <w:rPr>
          <w:rFonts w:ascii="Arial" w:cs="Arial" w:eastAsia="Arial" w:hAnsi="Arial"/>
          <w:sz w:val="14"/>
          <w:szCs w:val="14"/>
          <w:color w:val="auto"/>
        </w:rPr>
      </w:pPr>
    </w:p>
    <w:p>
      <w:pPr>
        <w:ind w:left="426"/>
        <w:spacing w:after="0" w:line="270" w:lineRule="auto"/>
        <w:rPr>
          <w:rFonts w:ascii="Arial" w:cs="Arial" w:eastAsia="Arial" w:hAnsi="Arial"/>
          <w:sz w:val="14"/>
          <w:szCs w:val="14"/>
          <w:color w:val="auto"/>
        </w:rPr>
      </w:pPr>
      <w:r>
        <w:rPr>
          <w:rFonts w:ascii="Arial" w:cs="Arial" w:eastAsia="Arial" w:hAnsi="Arial"/>
          <w:sz w:val="14"/>
          <w:szCs w:val="14"/>
          <w:color w:val="auto"/>
        </w:rPr>
        <w:t>On the other hand, effective March 30, 2021, the Bank issued Subordinated Notes under the Medium-Term Bond Program for US$500.0 million at a semi-annual coupon rate of 3.25 percent maturing in September 2031. called “Subordinated Bonds at a Fixed Interest Rate at 3.25 percent maturing in 2031 (Callable in 2026)”. As of September 30, 2026, a fixed interest rate will be paid equal to the United States Treasury interest rate, comparable to 5 years, plus 245.0 basis points. On September 30, 2026, the Bank may redeem all or part of the subordinated notes at a redemption price that is equal to 100.0 percent of the aggregate principal amount of the subordinated notes to be redeemed. Thereafter, the Bank may redeem all or part of the subordinated notes at a redemption price that is equal to the greater of (i) 100.0 percent of the principal amount of the subordinated notes and (ii) the sum of the cash flows remaining discounted at a rate equivalent to the United States Treasury interest rate plus 40 basis points. Principal payment will take place on the maturity date of the subordinated notes or when the Bank redeems them.</w:t>
      </w:r>
    </w:p>
    <w:p>
      <w:pPr>
        <w:spacing w:after="0" w:line="114" w:lineRule="exact"/>
        <w:rPr>
          <w:rFonts w:ascii="Arial" w:cs="Arial" w:eastAsia="Arial" w:hAnsi="Arial"/>
          <w:sz w:val="14"/>
          <w:szCs w:val="14"/>
          <w:color w:val="auto"/>
        </w:rPr>
      </w:pPr>
    </w:p>
    <w:p>
      <w:pPr>
        <w:ind w:left="426" w:hanging="426"/>
        <w:spacing w:after="0" w:line="233" w:lineRule="auto"/>
        <w:tabs>
          <w:tab w:leader="none" w:pos="42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On September 10, 2024, the Bank issued Subordinated Notes under the framework of its Medium-Term Notes Program for US$ 600.0 million at a semi-annual coupon rate of 5.80 percent, maturing in March 2035, designated as “5.8 Subordinated Fixed-to-Fixed Rate Notes due 2035 (Callable 2030)”. Starting on March 10, 2030, the notes will bear a fixed interest rate equal to the U.S. Treasury interest rate for a comparable 5-year term plus 224.0 basis points. From March 30, 2030, onwards, the Bank may redeem all or part of the Subordinated Notes at a redemption price equal to 100.0 percent of the aggregate principal amount of the notes being redeemed. Thereafter, the Bank may redeem all or part of the Subordinated Notes at a redemption price equal to the greater of (i) 100.0 percent of the principal amount of the Subordinated Notes or (ii) the sum of the remaining cash flows discounted at a rate equivalent to the U.S. Treasury interest rate plus 35 basis points. The principal payment will be made on the maturity date of the Subordinated Notes or upon their redemption by the Bank.</w:t>
      </w:r>
    </w:p>
    <w:p>
      <w:pPr>
        <w:spacing w:after="0" w:line="134" w:lineRule="exact"/>
        <w:rPr>
          <w:rFonts w:ascii="Arial" w:cs="Arial" w:eastAsia="Arial" w:hAnsi="Arial"/>
          <w:sz w:val="16"/>
          <w:szCs w:val="16"/>
          <w:color w:val="auto"/>
        </w:rPr>
      </w:pPr>
    </w:p>
    <w:p>
      <w:pPr>
        <w:ind w:left="426" w:right="120" w:hanging="426"/>
        <w:spacing w:after="0" w:line="241" w:lineRule="auto"/>
        <w:tabs>
          <w:tab w:leader="none" w:pos="42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 of March 30, 2021, Mibanco S.A. issued the Fourth Subordinated Bond Program, Series A, for S/155.0 million at a fixed rate of 5.84 percent, maturing on March 31, 2031. The principal payment will be made on the maturity date or upon redemption by Mibanco S.A., provided that a minimum period of five years has elapsed since the issuance date.</w:t>
      </w:r>
    </w:p>
    <w:p>
      <w:pPr>
        <w:spacing w:after="0" w:line="281" w:lineRule="exact"/>
        <w:rPr>
          <w:sz w:val="20"/>
          <w:szCs w:val="20"/>
          <w:color w:val="auto"/>
        </w:rPr>
      </w:pPr>
    </w:p>
    <w:p>
      <w:pPr>
        <w:ind w:left="4686"/>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406"/>
          </w:cols>
          <w:pgMar w:left="1154" w:top="124" w:right="339" w:bottom="1440" w:gutter="0" w:footer="0" w:header="0"/>
        </w:sectPr>
      </w:pPr>
    </w:p>
    <w:bookmarkStart w:id="98" w:name="page99"/>
    <w:bookmarkEnd w:id="98"/>
    <w:p>
      <w:pPr>
        <w:ind w:left="567"/>
        <w:spacing w:after="0"/>
        <w:tabs>
          <w:tab w:leader="none" w:pos="826"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The table below shows the bonds and notes issued, classified by maturity, without accrued interests:</w:t>
      </w:r>
    </w:p>
    <w:p>
      <w:pPr>
        <w:spacing w:after="0" w:line="158" w:lineRule="exact"/>
        <w:rPr>
          <w:sz w:val="20"/>
          <w:szCs w:val="20"/>
          <w:color w:val="auto"/>
        </w:rPr>
      </w:pPr>
    </w:p>
    <w:tbl>
      <w:tblPr>
        <w:tblLayout w:type="fixed"/>
        <w:tblInd w:w="847"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3940" w:type="dxa"/>
            <w:vAlign w:val="bottom"/>
            <w:gridSpan w:val="2"/>
          </w:tcPr>
          <w:p>
            <w:pPr>
              <w:jc w:val="right"/>
              <w:ind w:right="642"/>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5"/>
                <w:szCs w:val="15"/>
                <w:color w:val="auto"/>
              </w:rPr>
            </w:pPr>
          </w:p>
        </w:tc>
        <w:tc>
          <w:tcPr>
            <w:tcW w:w="1060" w:type="dxa"/>
            <w:vAlign w:val="bottom"/>
          </w:tcPr>
          <w:p>
            <w:pPr>
              <w:jc w:val="right"/>
              <w:ind w:right="663"/>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Pr>
          <w:p>
            <w:pPr>
              <w:spacing w:after="0"/>
              <w:rPr>
                <w:sz w:val="15"/>
                <w:szCs w:val="15"/>
                <w:color w:val="auto"/>
              </w:rPr>
            </w:pPr>
          </w:p>
        </w:tc>
      </w:tr>
      <w:tr>
        <w:trPr>
          <w:trHeight w:val="206"/>
        </w:trPr>
        <w:tc>
          <w:tcPr>
            <w:tcW w:w="46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ind w:right="383"/>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84"/>
        </w:trPr>
        <w:tc>
          <w:tcPr>
            <w:tcW w:w="4600" w:type="dxa"/>
            <w:vAlign w:val="bottom"/>
          </w:tcPr>
          <w:p>
            <w:pPr>
              <w:spacing w:after="0"/>
              <w:rPr>
                <w:sz w:val="20"/>
                <w:szCs w:val="20"/>
                <w:color w:val="auto"/>
              </w:rPr>
            </w:pPr>
            <w:r>
              <w:rPr>
                <w:rFonts w:ascii="Arial" w:cs="Arial" w:eastAsia="Arial" w:hAnsi="Arial"/>
                <w:sz w:val="16"/>
                <w:szCs w:val="16"/>
                <w:color w:val="auto"/>
              </w:rPr>
              <w:t>Up to 3 months</w:t>
            </w:r>
          </w:p>
        </w:tc>
        <w:tc>
          <w:tcPr>
            <w:tcW w:w="4120" w:type="dxa"/>
            <w:vAlign w:val="bottom"/>
            <w:gridSpan w:val="3"/>
          </w:tcPr>
          <w:p>
            <w:pPr>
              <w:jc w:val="right"/>
              <w:ind w:right="180"/>
              <w:spacing w:after="0"/>
              <w:rPr>
                <w:sz w:val="20"/>
                <w:szCs w:val="20"/>
                <w:color w:val="auto"/>
              </w:rPr>
            </w:pPr>
            <w:r>
              <w:rPr>
                <w:rFonts w:ascii="Arial" w:cs="Arial" w:eastAsia="Arial" w:hAnsi="Arial"/>
                <w:sz w:val="16"/>
                <w:szCs w:val="16"/>
                <w:color w:val="auto"/>
              </w:rPr>
              <w:t>2,709,847</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174,341</w:t>
            </w:r>
          </w:p>
        </w:tc>
      </w:tr>
      <w:tr>
        <w:trPr>
          <w:trHeight w:val="175"/>
        </w:trPr>
        <w:tc>
          <w:tcPr>
            <w:tcW w:w="4600" w:type="dxa"/>
            <w:vAlign w:val="bottom"/>
          </w:tcPr>
          <w:p>
            <w:pPr>
              <w:spacing w:after="0" w:line="175" w:lineRule="exact"/>
              <w:rPr>
                <w:sz w:val="20"/>
                <w:szCs w:val="20"/>
                <w:color w:val="auto"/>
              </w:rPr>
            </w:pPr>
            <w:r>
              <w:rPr>
                <w:rFonts w:ascii="Arial" w:cs="Arial" w:eastAsia="Arial" w:hAnsi="Arial"/>
                <w:sz w:val="16"/>
                <w:szCs w:val="16"/>
                <w:color w:val="auto"/>
              </w:rPr>
              <w:t>From 3 months to 1 year</w:t>
            </w:r>
          </w:p>
        </w:tc>
        <w:tc>
          <w:tcPr>
            <w:tcW w:w="41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2,718,199</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3,660,915</w:t>
            </w:r>
          </w:p>
        </w:tc>
      </w:tr>
      <w:tr>
        <w:trPr>
          <w:trHeight w:val="175"/>
        </w:trPr>
        <w:tc>
          <w:tcPr>
            <w:tcW w:w="4600" w:type="dxa"/>
            <w:vAlign w:val="bottom"/>
          </w:tcPr>
          <w:p>
            <w:pPr>
              <w:spacing w:after="0" w:line="175" w:lineRule="exact"/>
              <w:rPr>
                <w:sz w:val="20"/>
                <w:szCs w:val="20"/>
                <w:color w:val="auto"/>
              </w:rPr>
            </w:pPr>
            <w:r>
              <w:rPr>
                <w:rFonts w:ascii="Arial" w:cs="Arial" w:eastAsia="Arial" w:hAnsi="Arial"/>
                <w:sz w:val="16"/>
                <w:szCs w:val="16"/>
                <w:color w:val="auto"/>
              </w:rPr>
              <w:t>From 1 to 3 years</w:t>
            </w:r>
          </w:p>
        </w:tc>
        <w:tc>
          <w:tcPr>
            <w:tcW w:w="3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582,747</w:t>
            </w:r>
          </w:p>
        </w:tc>
        <w:tc>
          <w:tcPr>
            <w:tcW w:w="18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4,728,629</w:t>
            </w:r>
          </w:p>
        </w:tc>
      </w:tr>
      <w:tr>
        <w:trPr>
          <w:trHeight w:val="175"/>
        </w:trPr>
        <w:tc>
          <w:tcPr>
            <w:tcW w:w="4600" w:type="dxa"/>
            <w:vAlign w:val="bottom"/>
          </w:tcPr>
          <w:p>
            <w:pPr>
              <w:spacing w:after="0" w:line="175" w:lineRule="exact"/>
              <w:rPr>
                <w:sz w:val="20"/>
                <w:szCs w:val="20"/>
                <w:color w:val="auto"/>
              </w:rPr>
            </w:pPr>
            <w:r>
              <w:rPr>
                <w:rFonts w:ascii="Arial" w:cs="Arial" w:eastAsia="Arial" w:hAnsi="Arial"/>
                <w:sz w:val="16"/>
                <w:szCs w:val="16"/>
                <w:color w:val="auto"/>
              </w:rPr>
              <w:t>From 3 to 5 years</w:t>
            </w:r>
          </w:p>
        </w:tc>
        <w:tc>
          <w:tcPr>
            <w:tcW w:w="41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3,062,227</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159,754</w:t>
            </w:r>
          </w:p>
        </w:tc>
      </w:tr>
      <w:tr>
        <w:trPr>
          <w:trHeight w:val="190"/>
        </w:trPr>
        <w:tc>
          <w:tcPr>
            <w:tcW w:w="4600" w:type="dxa"/>
            <w:vAlign w:val="bottom"/>
          </w:tcPr>
          <w:p>
            <w:pPr>
              <w:spacing w:after="0"/>
              <w:rPr>
                <w:sz w:val="20"/>
                <w:szCs w:val="20"/>
                <w:color w:val="auto"/>
              </w:rPr>
            </w:pPr>
            <w:r>
              <w:rPr>
                <w:rFonts w:ascii="Arial" w:cs="Arial" w:eastAsia="Arial" w:hAnsi="Arial"/>
                <w:sz w:val="16"/>
                <w:szCs w:val="16"/>
                <w:color w:val="auto"/>
              </w:rPr>
              <w:t>More than 5 years</w:t>
            </w:r>
          </w:p>
        </w:tc>
        <w:tc>
          <w:tcPr>
            <w:tcW w:w="4120" w:type="dxa"/>
            <w:vAlign w:val="bottom"/>
            <w:gridSpan w:val="3"/>
          </w:tcPr>
          <w:p>
            <w:pPr>
              <w:jc w:val="right"/>
              <w:ind w:right="180"/>
              <w:spacing w:after="0"/>
              <w:rPr>
                <w:sz w:val="20"/>
                <w:szCs w:val="20"/>
                <w:color w:val="auto"/>
              </w:rPr>
            </w:pPr>
            <w:r>
              <w:rPr>
                <w:rFonts w:ascii="Arial" w:cs="Arial" w:eastAsia="Arial" w:hAnsi="Arial"/>
                <w:sz w:val="16"/>
                <w:szCs w:val="16"/>
                <w:color w:val="auto"/>
              </w:rPr>
              <w:t>7,950,566</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5,650,121</w:t>
            </w:r>
          </w:p>
        </w:tc>
      </w:tr>
      <w:tr>
        <w:trPr>
          <w:trHeight w:val="170"/>
        </w:trPr>
        <w:tc>
          <w:tcPr>
            <w:tcW w:w="4600" w:type="dxa"/>
            <w:vAlign w:val="bottom"/>
          </w:tcPr>
          <w:p>
            <w:pPr>
              <w:spacing w:after="0" w:line="167" w:lineRule="exact"/>
              <w:rPr>
                <w:sz w:val="20"/>
                <w:szCs w:val="20"/>
                <w:color w:val="auto"/>
              </w:rPr>
            </w:pPr>
            <w:r>
              <w:rPr>
                <w:rFonts w:ascii="Arial" w:cs="Arial" w:eastAsia="Arial" w:hAnsi="Arial"/>
                <w:sz w:val="16"/>
                <w:szCs w:val="16"/>
                <w:color w:val="auto"/>
              </w:rPr>
              <w:t>Total</w:t>
            </w:r>
          </w:p>
        </w:tc>
        <w:tc>
          <w:tcPr>
            <w:tcW w:w="29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17,023,586</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14,373,760</w:t>
            </w:r>
          </w:p>
        </w:tc>
        <w:tc>
          <w:tcPr>
            <w:tcW w:w="20" w:type="dxa"/>
            <w:vAlign w:val="bottom"/>
          </w:tcPr>
          <w:p>
            <w:pPr>
              <w:spacing w:after="0"/>
              <w:rPr>
                <w:sz w:val="14"/>
                <w:szCs w:val="14"/>
                <w:color w:val="auto"/>
              </w:rPr>
            </w:pPr>
          </w:p>
        </w:tc>
      </w:tr>
    </w:tbl>
    <w:p>
      <w:pPr>
        <w:spacing w:after="0" w:line="147" w:lineRule="exact"/>
        <w:rPr>
          <w:sz w:val="20"/>
          <w:szCs w:val="20"/>
          <w:color w:val="auto"/>
        </w:rPr>
      </w:pPr>
    </w:p>
    <w:p>
      <w:pPr>
        <w:ind w:left="567" w:hanging="567"/>
        <w:spacing w:after="0"/>
        <w:tabs>
          <w:tab w:leader="none" w:pos="567"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EQUITY</w:t>
      </w:r>
    </w:p>
    <w:p>
      <w:pPr>
        <w:spacing w:after="0" w:line="156" w:lineRule="exact"/>
        <w:rPr>
          <w:rFonts w:ascii="Arial" w:cs="Arial" w:eastAsia="Arial" w:hAnsi="Arial"/>
          <w:sz w:val="16"/>
          <w:szCs w:val="16"/>
          <w:b w:val="1"/>
          <w:bCs w:val="1"/>
          <w:color w:val="auto"/>
        </w:rPr>
      </w:pPr>
    </w:p>
    <w:p>
      <w:pPr>
        <w:ind w:left="847" w:hanging="286"/>
        <w:spacing w:after="0"/>
        <w:tabs>
          <w:tab w:leader="none" w:pos="84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Capital stock -</w:t>
      </w:r>
    </w:p>
    <w:p>
      <w:pPr>
        <w:spacing w:after="0" w:line="154" w:lineRule="exact"/>
        <w:rPr>
          <w:rFonts w:ascii="Arial" w:cs="Arial" w:eastAsia="Arial" w:hAnsi="Arial"/>
          <w:sz w:val="16"/>
          <w:szCs w:val="16"/>
          <w:color w:val="auto"/>
        </w:rPr>
      </w:pPr>
    </w:p>
    <w:p>
      <w:pPr>
        <w:ind w:left="847"/>
        <w:spacing w:after="0"/>
        <w:rPr>
          <w:rFonts w:ascii="Arial" w:cs="Arial" w:eastAsia="Arial" w:hAnsi="Arial"/>
          <w:sz w:val="16"/>
          <w:szCs w:val="16"/>
          <w:color w:val="auto"/>
        </w:rPr>
      </w:pPr>
      <w:r>
        <w:rPr>
          <w:rFonts w:ascii="Arial" w:cs="Arial" w:eastAsia="Arial" w:hAnsi="Arial"/>
          <w:sz w:val="16"/>
          <w:szCs w:val="16"/>
          <w:color w:val="auto"/>
        </w:rPr>
        <w:t>As of December 31, 2024, 2023 and 2022 a total of 94,382,317 shares have been issued at US$5 per share.</w:t>
      </w:r>
    </w:p>
    <w:p>
      <w:pPr>
        <w:spacing w:after="0" w:line="154" w:lineRule="exact"/>
        <w:rPr>
          <w:rFonts w:ascii="Arial" w:cs="Arial" w:eastAsia="Arial" w:hAnsi="Arial"/>
          <w:sz w:val="16"/>
          <w:szCs w:val="16"/>
          <w:color w:val="auto"/>
        </w:rPr>
      </w:pPr>
    </w:p>
    <w:p>
      <w:pPr>
        <w:ind w:left="847" w:hanging="286"/>
        <w:spacing w:after="0"/>
        <w:tabs>
          <w:tab w:leader="none" w:pos="84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Treasury stock -</w:t>
      </w:r>
    </w:p>
    <w:p>
      <w:pPr>
        <w:spacing w:after="0" w:line="154" w:lineRule="exact"/>
        <w:rPr>
          <w:rFonts w:ascii="Arial" w:cs="Arial" w:eastAsia="Arial" w:hAnsi="Arial"/>
          <w:sz w:val="16"/>
          <w:szCs w:val="16"/>
          <w:color w:val="auto"/>
        </w:rPr>
      </w:pPr>
    </w:p>
    <w:p>
      <w:pPr>
        <w:ind w:left="847"/>
        <w:spacing w:after="0"/>
        <w:rPr>
          <w:rFonts w:ascii="Arial" w:cs="Arial" w:eastAsia="Arial" w:hAnsi="Arial"/>
          <w:sz w:val="16"/>
          <w:szCs w:val="16"/>
          <w:color w:val="auto"/>
        </w:rPr>
      </w:pPr>
      <w:r>
        <w:rPr>
          <w:rFonts w:ascii="Arial" w:cs="Arial" w:eastAsia="Arial" w:hAnsi="Arial"/>
          <w:sz w:val="16"/>
          <w:szCs w:val="16"/>
          <w:color w:val="auto"/>
        </w:rPr>
        <w:t>We present below the stocks of Credicorp Ltd., that the entities of the Group maintain as of December 31, 2024, 2023 and 2022:</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9"/>
              </w:rPr>
              <w:t>Number of shares</w:t>
            </w: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r>
      <w:tr>
        <w:trPr>
          <w:trHeight w:val="150"/>
        </w:trPr>
        <w:tc>
          <w:tcPr>
            <w:tcW w:w="48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line="150" w:lineRule="exact"/>
              <w:rPr>
                <w:sz w:val="20"/>
                <w:szCs w:val="20"/>
                <w:color w:val="auto"/>
              </w:rPr>
            </w:pPr>
            <w:r>
              <w:rPr>
                <w:rFonts w:ascii="Arial" w:cs="Arial" w:eastAsia="Arial" w:hAnsi="Arial"/>
                <w:sz w:val="16"/>
                <w:szCs w:val="16"/>
                <w:b w:val="1"/>
                <w:bCs w:val="1"/>
                <w:color w:val="auto"/>
              </w:rPr>
              <w:t>Shares of the</w:t>
            </w:r>
          </w:p>
        </w:tc>
        <w:tc>
          <w:tcPr>
            <w:tcW w:w="180" w:type="dxa"/>
            <w:vAlign w:val="bottom"/>
          </w:tcPr>
          <w:p>
            <w:pPr>
              <w:spacing w:after="0"/>
              <w:rPr>
                <w:sz w:val="13"/>
                <w:szCs w:val="13"/>
                <w:color w:val="auto"/>
              </w:rPr>
            </w:pPr>
          </w:p>
        </w:tc>
        <w:tc>
          <w:tcPr>
            <w:tcW w:w="12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Shared-based</w:t>
            </w: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92"/>
        </w:trPr>
        <w:tc>
          <w:tcPr>
            <w:tcW w:w="4840" w:type="dxa"/>
            <w:vAlign w:val="bottom"/>
          </w:tcPr>
          <w:p>
            <w:pPr>
              <w:ind w:left="840"/>
              <w:spacing w:after="0"/>
              <w:rPr>
                <w:sz w:val="20"/>
                <w:szCs w:val="20"/>
                <w:color w:val="auto"/>
              </w:rPr>
            </w:pPr>
            <w:r>
              <w:rPr>
                <w:rFonts w:ascii="Arial" w:cs="Arial" w:eastAsia="Arial" w:hAnsi="Arial"/>
                <w:sz w:val="16"/>
                <w:szCs w:val="16"/>
                <w:b w:val="1"/>
                <w:bCs w:val="1"/>
                <w:color w:val="auto"/>
              </w:rPr>
              <w:t>2024</w:t>
            </w:r>
          </w:p>
        </w:tc>
        <w:tc>
          <w:tcPr>
            <w:tcW w:w="226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Group</w:t>
            </w:r>
          </w:p>
        </w:tc>
        <w:tc>
          <w:tcPr>
            <w:tcW w:w="1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payment (*)</w:t>
            </w:r>
          </w:p>
        </w:tc>
        <w:tc>
          <w:tcPr>
            <w:tcW w:w="180" w:type="dxa"/>
            <w:vAlign w:val="bottom"/>
          </w:tcPr>
          <w:p>
            <w:pPr>
              <w:spacing w:after="0"/>
              <w:rPr>
                <w:sz w:val="16"/>
                <w:szCs w:val="16"/>
                <w:color w:val="auto"/>
              </w:rPr>
            </w:pPr>
          </w:p>
        </w:tc>
        <w:tc>
          <w:tcPr>
            <w:tcW w:w="1720" w:type="dxa"/>
            <w:vAlign w:val="bottom"/>
            <w:gridSpan w:val="3"/>
          </w:tcPr>
          <w:p>
            <w:pPr>
              <w:jc w:val="right"/>
              <w:ind w:right="1340"/>
              <w:spacing w:after="0"/>
              <w:rPr>
                <w:sz w:val="20"/>
                <w:szCs w:val="20"/>
                <w:color w:val="auto"/>
              </w:rPr>
            </w:pPr>
            <w:r>
              <w:rPr>
                <w:rFonts w:ascii="Arial" w:cs="Arial" w:eastAsia="Arial" w:hAnsi="Arial"/>
                <w:sz w:val="16"/>
                <w:szCs w:val="16"/>
                <w:b w:val="1"/>
                <w:bCs w:val="1"/>
                <w:color w:val="auto"/>
                <w:w w:val="94"/>
              </w:rPr>
              <w:t>Total</w:t>
            </w:r>
          </w:p>
        </w:tc>
      </w:tr>
      <w:tr>
        <w:trPr>
          <w:trHeight w:val="20"/>
        </w:trPr>
        <w:tc>
          <w:tcPr>
            <w:tcW w:w="4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15"/>
        </w:trPr>
        <w:tc>
          <w:tcPr>
            <w:tcW w:w="4840" w:type="dxa"/>
            <w:vAlign w:val="bottom"/>
          </w:tcPr>
          <w:p>
            <w:pPr>
              <w:ind w:left="840"/>
              <w:spacing w:after="0"/>
              <w:rPr>
                <w:sz w:val="20"/>
                <w:szCs w:val="20"/>
                <w:color w:val="auto"/>
              </w:rPr>
            </w:pPr>
            <w:r>
              <w:rPr>
                <w:rFonts w:ascii="Arial" w:cs="Arial" w:eastAsia="Arial" w:hAnsi="Arial"/>
                <w:sz w:val="16"/>
                <w:szCs w:val="16"/>
                <w:color w:val="auto"/>
              </w:rPr>
              <w:t>Atlantic Security Holding Corporation</w:t>
            </w:r>
          </w:p>
        </w:tc>
        <w:tc>
          <w:tcPr>
            <w:tcW w:w="2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14,620,846</w:t>
            </w:r>
          </w:p>
        </w:tc>
        <w:tc>
          <w:tcPr>
            <w:tcW w:w="1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14,620,846</w:t>
            </w:r>
          </w:p>
        </w:tc>
        <w:tc>
          <w:tcPr>
            <w:tcW w:w="640" w:type="dxa"/>
            <w:vAlign w:val="bottom"/>
          </w:tcPr>
          <w:p>
            <w:pPr>
              <w:spacing w:after="0"/>
              <w:rPr>
                <w:sz w:val="24"/>
                <w:szCs w:val="24"/>
                <w:color w:val="auto"/>
              </w:rPr>
            </w:pPr>
          </w:p>
        </w:tc>
      </w:tr>
      <w:tr>
        <w:trPr>
          <w:trHeight w:val="175"/>
        </w:trPr>
        <w:tc>
          <w:tcPr>
            <w:tcW w:w="4840" w:type="dxa"/>
            <w:vAlign w:val="bottom"/>
          </w:tcPr>
          <w:p>
            <w:pPr>
              <w:ind w:left="840"/>
              <w:spacing w:after="0" w:line="175" w:lineRule="exact"/>
              <w:rPr>
                <w:sz w:val="20"/>
                <w:szCs w:val="20"/>
                <w:color w:val="auto"/>
              </w:rPr>
            </w:pPr>
            <w:r>
              <w:rPr>
                <w:rFonts w:ascii="Arial" w:cs="Arial" w:eastAsia="Arial" w:hAnsi="Arial"/>
                <w:sz w:val="16"/>
                <w:szCs w:val="16"/>
                <w:color w:val="auto"/>
              </w:rPr>
              <w:t>Atlantic Security International Financial Services</w:t>
            </w:r>
          </w:p>
        </w:tc>
        <w:tc>
          <w:tcPr>
            <w:tcW w:w="2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125,843</w:t>
            </w:r>
          </w:p>
        </w:tc>
        <w:tc>
          <w:tcPr>
            <w:tcW w:w="17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125,843</w:t>
            </w:r>
          </w:p>
        </w:tc>
      </w:tr>
      <w:tr>
        <w:trPr>
          <w:trHeight w:val="175"/>
        </w:trPr>
        <w:tc>
          <w:tcPr>
            <w:tcW w:w="4840" w:type="dxa"/>
            <w:vAlign w:val="bottom"/>
          </w:tcPr>
          <w:p>
            <w:pPr>
              <w:ind w:left="840"/>
              <w:spacing w:after="0" w:line="175" w:lineRule="exact"/>
              <w:rPr>
                <w:sz w:val="20"/>
                <w:szCs w:val="20"/>
                <w:color w:val="auto"/>
              </w:rPr>
            </w:pPr>
            <w:r>
              <w:rPr>
                <w:rFonts w:ascii="Arial" w:cs="Arial" w:eastAsia="Arial" w:hAnsi="Arial"/>
                <w:sz w:val="16"/>
                <w:szCs w:val="16"/>
                <w:color w:val="auto"/>
              </w:rPr>
              <w:t>BCP</w:t>
            </w:r>
          </w:p>
        </w:tc>
        <w:tc>
          <w:tcPr>
            <w:tcW w:w="226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94,686</w:t>
            </w:r>
          </w:p>
        </w:tc>
        <w:tc>
          <w:tcPr>
            <w:tcW w:w="17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94,686</w:t>
            </w:r>
          </w:p>
        </w:tc>
      </w:tr>
      <w:tr>
        <w:trPr>
          <w:trHeight w:val="175"/>
        </w:trPr>
        <w:tc>
          <w:tcPr>
            <w:tcW w:w="4840" w:type="dxa"/>
            <w:vAlign w:val="bottom"/>
          </w:tcPr>
          <w:p>
            <w:pPr>
              <w:ind w:left="840"/>
              <w:spacing w:after="0" w:line="175" w:lineRule="exact"/>
              <w:rPr>
                <w:sz w:val="20"/>
                <w:szCs w:val="20"/>
                <w:color w:val="auto"/>
              </w:rPr>
            </w:pPr>
            <w:r>
              <w:rPr>
                <w:rFonts w:ascii="Arial" w:cs="Arial" w:eastAsia="Arial" w:hAnsi="Arial"/>
                <w:sz w:val="16"/>
                <w:szCs w:val="16"/>
                <w:color w:val="auto"/>
              </w:rPr>
              <w:t>Grupo Crédito</w:t>
            </w:r>
          </w:p>
        </w:tc>
        <w:tc>
          <w:tcPr>
            <w:tcW w:w="226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38,050</w:t>
            </w:r>
          </w:p>
        </w:tc>
        <w:tc>
          <w:tcPr>
            <w:tcW w:w="17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38,050</w:t>
            </w:r>
          </w:p>
        </w:tc>
      </w:tr>
      <w:tr>
        <w:trPr>
          <w:trHeight w:val="175"/>
        </w:trPr>
        <w:tc>
          <w:tcPr>
            <w:tcW w:w="4840" w:type="dxa"/>
            <w:vAlign w:val="bottom"/>
          </w:tcPr>
          <w:p>
            <w:pPr>
              <w:ind w:left="840"/>
              <w:spacing w:after="0" w:line="175" w:lineRule="exact"/>
              <w:rPr>
                <w:sz w:val="20"/>
                <w:szCs w:val="20"/>
                <w:color w:val="auto"/>
              </w:rPr>
            </w:pPr>
            <w:r>
              <w:rPr>
                <w:rFonts w:ascii="Arial" w:cs="Arial" w:eastAsia="Arial" w:hAnsi="Arial"/>
                <w:sz w:val="16"/>
                <w:szCs w:val="16"/>
                <w:color w:val="auto"/>
              </w:rPr>
              <w:t>Pacífico Seguros</w:t>
            </w:r>
          </w:p>
        </w:tc>
        <w:tc>
          <w:tcPr>
            <w:tcW w:w="226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17,756</w:t>
            </w:r>
          </w:p>
        </w:tc>
        <w:tc>
          <w:tcPr>
            <w:tcW w:w="17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17,756</w:t>
            </w:r>
          </w:p>
        </w:tc>
      </w:tr>
      <w:tr>
        <w:trPr>
          <w:trHeight w:val="175"/>
        </w:trPr>
        <w:tc>
          <w:tcPr>
            <w:tcW w:w="4840" w:type="dxa"/>
            <w:vAlign w:val="bottom"/>
          </w:tcPr>
          <w:p>
            <w:pPr>
              <w:ind w:left="840"/>
              <w:spacing w:after="0" w:line="175" w:lineRule="exact"/>
              <w:rPr>
                <w:sz w:val="20"/>
                <w:szCs w:val="20"/>
                <w:color w:val="auto"/>
              </w:rPr>
            </w:pPr>
            <w:r>
              <w:rPr>
                <w:rFonts w:ascii="Arial" w:cs="Arial" w:eastAsia="Arial" w:hAnsi="Arial"/>
                <w:sz w:val="16"/>
                <w:szCs w:val="16"/>
                <w:color w:val="auto"/>
              </w:rPr>
              <w:t>MiBanco</w:t>
            </w:r>
          </w:p>
        </w:tc>
        <w:tc>
          <w:tcPr>
            <w:tcW w:w="226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12,720</w:t>
            </w:r>
          </w:p>
        </w:tc>
        <w:tc>
          <w:tcPr>
            <w:tcW w:w="17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12,720</w:t>
            </w:r>
          </w:p>
        </w:tc>
      </w:tr>
      <w:tr>
        <w:trPr>
          <w:trHeight w:val="175"/>
        </w:trPr>
        <w:tc>
          <w:tcPr>
            <w:tcW w:w="4840" w:type="dxa"/>
            <w:vAlign w:val="bottom"/>
          </w:tcPr>
          <w:p>
            <w:pPr>
              <w:ind w:left="840"/>
              <w:spacing w:after="0" w:line="175" w:lineRule="exact"/>
              <w:rPr>
                <w:sz w:val="20"/>
                <w:szCs w:val="20"/>
                <w:color w:val="auto"/>
              </w:rPr>
            </w:pPr>
            <w:r>
              <w:rPr>
                <w:rFonts w:ascii="Arial" w:cs="Arial" w:eastAsia="Arial" w:hAnsi="Arial"/>
                <w:sz w:val="16"/>
                <w:szCs w:val="16"/>
                <w:color w:val="auto"/>
              </w:rPr>
              <w:t>Credicorp Capital Servicios Financieros</w:t>
            </w:r>
          </w:p>
        </w:tc>
        <w:tc>
          <w:tcPr>
            <w:tcW w:w="226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10,440</w:t>
            </w:r>
          </w:p>
        </w:tc>
        <w:tc>
          <w:tcPr>
            <w:tcW w:w="17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10,440</w:t>
            </w:r>
          </w:p>
        </w:tc>
      </w:tr>
      <w:tr>
        <w:trPr>
          <w:trHeight w:val="175"/>
        </w:trPr>
        <w:tc>
          <w:tcPr>
            <w:tcW w:w="4840" w:type="dxa"/>
            <w:vAlign w:val="bottom"/>
          </w:tcPr>
          <w:p>
            <w:pPr>
              <w:ind w:left="840"/>
              <w:spacing w:after="0" w:line="175" w:lineRule="exact"/>
              <w:rPr>
                <w:sz w:val="20"/>
                <w:szCs w:val="20"/>
                <w:color w:val="auto"/>
              </w:rPr>
            </w:pPr>
            <w:r>
              <w:rPr>
                <w:rFonts w:ascii="Arial" w:cs="Arial" w:eastAsia="Arial" w:hAnsi="Arial"/>
                <w:sz w:val="16"/>
                <w:szCs w:val="16"/>
                <w:color w:val="auto"/>
              </w:rPr>
              <w:t>ASB Bank Corp</w:t>
            </w:r>
          </w:p>
        </w:tc>
        <w:tc>
          <w:tcPr>
            <w:tcW w:w="226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10,310</w:t>
            </w:r>
          </w:p>
        </w:tc>
        <w:tc>
          <w:tcPr>
            <w:tcW w:w="17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10,310</w:t>
            </w:r>
          </w:p>
        </w:tc>
      </w:tr>
      <w:tr>
        <w:trPr>
          <w:trHeight w:val="175"/>
        </w:trPr>
        <w:tc>
          <w:tcPr>
            <w:tcW w:w="4840" w:type="dxa"/>
            <w:vAlign w:val="bottom"/>
          </w:tcPr>
          <w:p>
            <w:pPr>
              <w:ind w:left="840"/>
              <w:spacing w:after="0" w:line="175" w:lineRule="exact"/>
              <w:rPr>
                <w:sz w:val="20"/>
                <w:szCs w:val="20"/>
                <w:color w:val="auto"/>
              </w:rPr>
            </w:pPr>
            <w:r>
              <w:rPr>
                <w:rFonts w:ascii="Arial" w:cs="Arial" w:eastAsia="Arial" w:hAnsi="Arial"/>
                <w:sz w:val="16"/>
                <w:szCs w:val="16"/>
                <w:color w:val="auto"/>
              </w:rPr>
              <w:t>Prima AFP</w:t>
            </w:r>
          </w:p>
        </w:tc>
        <w:tc>
          <w:tcPr>
            <w:tcW w:w="226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3,174</w:t>
            </w:r>
          </w:p>
        </w:tc>
        <w:tc>
          <w:tcPr>
            <w:tcW w:w="17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3,174</w:t>
            </w:r>
          </w:p>
        </w:tc>
      </w:tr>
      <w:tr>
        <w:trPr>
          <w:trHeight w:val="190"/>
        </w:trPr>
        <w:tc>
          <w:tcPr>
            <w:tcW w:w="4840" w:type="dxa"/>
            <w:vAlign w:val="bottom"/>
          </w:tcPr>
          <w:p>
            <w:pPr>
              <w:ind w:left="840"/>
              <w:spacing w:after="0"/>
              <w:rPr>
                <w:sz w:val="20"/>
                <w:szCs w:val="20"/>
                <w:color w:val="auto"/>
              </w:rPr>
            </w:pPr>
            <w:r>
              <w:rPr>
                <w:rFonts w:ascii="Arial" w:cs="Arial" w:eastAsia="Arial" w:hAnsi="Arial"/>
                <w:sz w:val="16"/>
                <w:szCs w:val="16"/>
                <w:color w:val="auto"/>
              </w:rPr>
              <w:t>Other Subsidiaries</w:t>
            </w:r>
          </w:p>
        </w:tc>
        <w:tc>
          <w:tcPr>
            <w:tcW w:w="2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12,812</w:t>
            </w:r>
          </w:p>
        </w:tc>
        <w:tc>
          <w:tcPr>
            <w:tcW w:w="1720" w:type="dxa"/>
            <w:vAlign w:val="bottom"/>
            <w:gridSpan w:val="3"/>
          </w:tcPr>
          <w:p>
            <w:pPr>
              <w:jc w:val="right"/>
              <w:ind w:right="640"/>
              <w:spacing w:after="0"/>
              <w:rPr>
                <w:sz w:val="20"/>
                <w:szCs w:val="20"/>
                <w:color w:val="auto"/>
              </w:rPr>
            </w:pPr>
            <w:r>
              <w:rPr>
                <w:rFonts w:ascii="Arial" w:cs="Arial" w:eastAsia="Arial" w:hAnsi="Arial"/>
                <w:sz w:val="16"/>
                <w:szCs w:val="16"/>
                <w:color w:val="auto"/>
              </w:rPr>
              <w:t>12,812</w:t>
            </w:r>
          </w:p>
        </w:tc>
      </w:tr>
      <w:tr>
        <w:trPr>
          <w:trHeight w:val="170"/>
        </w:trPr>
        <w:tc>
          <w:tcPr>
            <w:tcW w:w="48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14,620,846</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325,791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14,946,637</w:t>
            </w:r>
          </w:p>
        </w:tc>
        <w:tc>
          <w:tcPr>
            <w:tcW w:w="640" w:type="dxa"/>
            <w:vAlign w:val="bottom"/>
          </w:tcPr>
          <w:p>
            <w:pPr>
              <w:spacing w:after="0"/>
              <w:rPr>
                <w:sz w:val="14"/>
                <w:szCs w:val="14"/>
                <w:color w:val="auto"/>
              </w:rPr>
            </w:pPr>
          </w:p>
        </w:tc>
      </w:tr>
      <w:tr>
        <w:trPr>
          <w:trHeight w:val="460"/>
        </w:trPr>
        <w:tc>
          <w:tcPr>
            <w:tcW w:w="4840" w:type="dxa"/>
            <w:vAlign w:val="bottom"/>
          </w:tcPr>
          <w:p>
            <w:pPr>
              <w:spacing w:after="0"/>
              <w:rPr>
                <w:sz w:val="24"/>
                <w:szCs w:val="24"/>
                <w:color w:val="auto"/>
              </w:rPr>
            </w:pPr>
          </w:p>
        </w:tc>
        <w:tc>
          <w:tcPr>
            <w:tcW w:w="2260" w:type="dxa"/>
            <w:vAlign w:val="bottom"/>
          </w:tcPr>
          <w:p>
            <w:pPr>
              <w:jc w:val="right"/>
              <w:ind w:right="1298"/>
              <w:spacing w:after="0"/>
              <w:rPr>
                <w:sz w:val="20"/>
                <w:szCs w:val="20"/>
                <w:color w:val="auto"/>
              </w:rPr>
            </w:pPr>
            <w:r>
              <w:rPr>
                <w:rFonts w:ascii="Arial" w:cs="Arial" w:eastAsia="Arial" w:hAnsi="Arial"/>
                <w:sz w:val="12"/>
                <w:szCs w:val="12"/>
                <w:color w:val="auto"/>
              </w:rPr>
              <w:t>-96-</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
        </w:trPr>
        <w:tc>
          <w:tcPr>
            <w:tcW w:w="48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67"/>
          </w:cols>
          <w:pgMar w:left="313" w:top="124" w:right="319" w:bottom="1440" w:gutter="0" w:footer="0" w:header="0"/>
        </w:sectPr>
      </w:pPr>
    </w:p>
    <w:bookmarkStart w:id="99" w:name="page100"/>
    <w:bookmarkEnd w:id="99"/>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91"/>
        </w:trPr>
        <w:tc>
          <w:tcPr>
            <w:tcW w:w="4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9"/>
              </w:rPr>
              <w:t>Number of shares</w:t>
            </w: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50"/>
        </w:trPr>
        <w:tc>
          <w:tcPr>
            <w:tcW w:w="4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tcPr>
          <w:p>
            <w:pPr>
              <w:spacing w:after="0" w:line="150" w:lineRule="exact"/>
              <w:rPr>
                <w:sz w:val="20"/>
                <w:szCs w:val="20"/>
                <w:color w:val="auto"/>
              </w:rPr>
            </w:pPr>
            <w:r>
              <w:rPr>
                <w:rFonts w:ascii="Arial" w:cs="Arial" w:eastAsia="Arial" w:hAnsi="Arial"/>
                <w:sz w:val="16"/>
                <w:szCs w:val="16"/>
                <w:b w:val="1"/>
                <w:bCs w:val="1"/>
                <w:color w:val="auto"/>
              </w:rPr>
              <w:t>Shares of the</w:t>
            </w:r>
          </w:p>
        </w:tc>
        <w:tc>
          <w:tcPr>
            <w:tcW w:w="180" w:type="dxa"/>
            <w:vAlign w:val="bottom"/>
          </w:tcPr>
          <w:p>
            <w:pPr>
              <w:spacing w:after="0"/>
              <w:rPr>
                <w:sz w:val="13"/>
                <w:szCs w:val="13"/>
                <w:color w:val="auto"/>
              </w:rPr>
            </w:pPr>
          </w:p>
        </w:tc>
        <w:tc>
          <w:tcPr>
            <w:tcW w:w="12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Shared-based</w:t>
            </w: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2"/>
        </w:trPr>
        <w:tc>
          <w:tcPr>
            <w:tcW w:w="478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4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Group</w:t>
            </w:r>
          </w:p>
        </w:tc>
        <w:tc>
          <w:tcPr>
            <w:tcW w:w="1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payment (*)</w:t>
            </w:r>
          </w:p>
        </w:tc>
        <w:tc>
          <w:tcPr>
            <w:tcW w:w="180" w:type="dxa"/>
            <w:vAlign w:val="bottom"/>
          </w:tcPr>
          <w:p>
            <w:pPr>
              <w:spacing w:after="0"/>
              <w:rPr>
                <w:sz w:val="16"/>
                <w:szCs w:val="16"/>
                <w:color w:val="auto"/>
              </w:rPr>
            </w:pPr>
          </w:p>
        </w:tc>
        <w:tc>
          <w:tcPr>
            <w:tcW w:w="108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w w:val="94"/>
              </w:rPr>
              <w:t>Total</w:t>
            </w:r>
          </w:p>
        </w:tc>
      </w:tr>
      <w:tr>
        <w:trPr>
          <w:trHeight w:val="20"/>
        </w:trPr>
        <w:tc>
          <w:tcPr>
            <w:tcW w:w="4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15"/>
        </w:trPr>
        <w:tc>
          <w:tcPr>
            <w:tcW w:w="4780" w:type="dxa"/>
            <w:vAlign w:val="bottom"/>
          </w:tcPr>
          <w:p>
            <w:pPr>
              <w:spacing w:after="0"/>
              <w:rPr>
                <w:sz w:val="20"/>
                <w:szCs w:val="20"/>
                <w:color w:val="auto"/>
              </w:rPr>
            </w:pPr>
            <w:r>
              <w:rPr>
                <w:rFonts w:ascii="Arial" w:cs="Arial" w:eastAsia="Arial" w:hAnsi="Arial"/>
                <w:sz w:val="16"/>
                <w:szCs w:val="16"/>
                <w:color w:val="auto"/>
              </w:rPr>
              <w:t>Atlantic Security Holding Corporation</w:t>
            </w:r>
          </w:p>
        </w:tc>
        <w:tc>
          <w:tcPr>
            <w:tcW w:w="1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14,620,846</w:t>
            </w:r>
          </w:p>
        </w:tc>
        <w:tc>
          <w:tcPr>
            <w:tcW w:w="1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14,620,846</w:t>
            </w:r>
          </w:p>
        </w:tc>
      </w:tr>
      <w:tr>
        <w:trPr>
          <w:trHeight w:val="175"/>
        </w:trPr>
        <w:tc>
          <w:tcPr>
            <w:tcW w:w="4780" w:type="dxa"/>
            <w:vAlign w:val="bottom"/>
          </w:tcPr>
          <w:p>
            <w:pPr>
              <w:spacing w:after="0" w:line="175" w:lineRule="exact"/>
              <w:rPr>
                <w:sz w:val="20"/>
                <w:szCs w:val="20"/>
                <w:color w:val="auto"/>
              </w:rPr>
            </w:pPr>
            <w:r>
              <w:rPr>
                <w:rFonts w:ascii="Arial" w:cs="Arial" w:eastAsia="Arial" w:hAnsi="Arial"/>
                <w:sz w:val="16"/>
                <w:szCs w:val="16"/>
                <w:color w:val="auto"/>
              </w:rPr>
              <w:t>BCP</w:t>
            </w:r>
          </w:p>
        </w:tc>
        <w:tc>
          <w:tcPr>
            <w:tcW w:w="14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109,185</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109,185</w:t>
            </w:r>
          </w:p>
        </w:tc>
      </w:tr>
      <w:tr>
        <w:trPr>
          <w:trHeight w:val="175"/>
        </w:trPr>
        <w:tc>
          <w:tcPr>
            <w:tcW w:w="4780" w:type="dxa"/>
            <w:vAlign w:val="bottom"/>
          </w:tcPr>
          <w:p>
            <w:pPr>
              <w:spacing w:after="0" w:line="175" w:lineRule="exact"/>
              <w:rPr>
                <w:sz w:val="20"/>
                <w:szCs w:val="20"/>
                <w:color w:val="auto"/>
              </w:rPr>
            </w:pPr>
            <w:r>
              <w:rPr>
                <w:rFonts w:ascii="Arial" w:cs="Arial" w:eastAsia="Arial" w:hAnsi="Arial"/>
                <w:sz w:val="16"/>
                <w:szCs w:val="16"/>
                <w:color w:val="auto"/>
              </w:rPr>
              <w:t>Atlantic Security International Financial Services</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39,309</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39,309</w:t>
            </w:r>
          </w:p>
        </w:tc>
      </w:tr>
      <w:tr>
        <w:trPr>
          <w:trHeight w:val="175"/>
        </w:trPr>
        <w:tc>
          <w:tcPr>
            <w:tcW w:w="4780" w:type="dxa"/>
            <w:vAlign w:val="bottom"/>
          </w:tcPr>
          <w:p>
            <w:pPr>
              <w:spacing w:after="0" w:line="175" w:lineRule="exact"/>
              <w:rPr>
                <w:sz w:val="20"/>
                <w:szCs w:val="20"/>
                <w:color w:val="auto"/>
              </w:rPr>
            </w:pPr>
            <w:r>
              <w:rPr>
                <w:rFonts w:ascii="Arial" w:cs="Arial" w:eastAsia="Arial" w:hAnsi="Arial"/>
                <w:sz w:val="16"/>
                <w:szCs w:val="16"/>
                <w:color w:val="auto"/>
              </w:rPr>
              <w:t>Grupo Crédito</w:t>
            </w:r>
          </w:p>
        </w:tc>
        <w:tc>
          <w:tcPr>
            <w:tcW w:w="14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36,698</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36,698</w:t>
            </w:r>
          </w:p>
        </w:tc>
      </w:tr>
      <w:tr>
        <w:trPr>
          <w:trHeight w:val="175"/>
        </w:trPr>
        <w:tc>
          <w:tcPr>
            <w:tcW w:w="4780" w:type="dxa"/>
            <w:vAlign w:val="bottom"/>
          </w:tcPr>
          <w:p>
            <w:pPr>
              <w:spacing w:after="0" w:line="175" w:lineRule="exact"/>
              <w:rPr>
                <w:sz w:val="20"/>
                <w:szCs w:val="20"/>
                <w:color w:val="auto"/>
              </w:rPr>
            </w:pPr>
            <w:r>
              <w:rPr>
                <w:rFonts w:ascii="Arial" w:cs="Arial" w:eastAsia="Arial" w:hAnsi="Arial"/>
                <w:sz w:val="16"/>
                <w:szCs w:val="16"/>
                <w:color w:val="auto"/>
              </w:rPr>
              <w:t>Pacífico Seguros</w:t>
            </w:r>
          </w:p>
        </w:tc>
        <w:tc>
          <w:tcPr>
            <w:tcW w:w="14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19,912</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19,912</w:t>
            </w:r>
          </w:p>
        </w:tc>
      </w:tr>
      <w:tr>
        <w:trPr>
          <w:trHeight w:val="175"/>
        </w:trPr>
        <w:tc>
          <w:tcPr>
            <w:tcW w:w="4780" w:type="dxa"/>
            <w:vAlign w:val="bottom"/>
          </w:tcPr>
          <w:p>
            <w:pPr>
              <w:spacing w:after="0" w:line="175" w:lineRule="exact"/>
              <w:rPr>
                <w:sz w:val="20"/>
                <w:szCs w:val="20"/>
                <w:color w:val="auto"/>
              </w:rPr>
            </w:pPr>
            <w:r>
              <w:rPr>
                <w:rFonts w:ascii="Arial" w:cs="Arial" w:eastAsia="Arial" w:hAnsi="Arial"/>
                <w:sz w:val="16"/>
                <w:szCs w:val="16"/>
                <w:color w:val="auto"/>
              </w:rPr>
              <w:t>MiBanco</w:t>
            </w:r>
          </w:p>
        </w:tc>
        <w:tc>
          <w:tcPr>
            <w:tcW w:w="14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14,128</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14,128</w:t>
            </w:r>
          </w:p>
        </w:tc>
      </w:tr>
      <w:tr>
        <w:trPr>
          <w:trHeight w:val="175"/>
        </w:trPr>
        <w:tc>
          <w:tcPr>
            <w:tcW w:w="4780" w:type="dxa"/>
            <w:vAlign w:val="bottom"/>
          </w:tcPr>
          <w:p>
            <w:pPr>
              <w:spacing w:after="0" w:line="175" w:lineRule="exact"/>
              <w:rPr>
                <w:sz w:val="20"/>
                <w:szCs w:val="20"/>
                <w:color w:val="auto"/>
              </w:rPr>
            </w:pPr>
            <w:r>
              <w:rPr>
                <w:rFonts w:ascii="Arial" w:cs="Arial" w:eastAsia="Arial" w:hAnsi="Arial"/>
                <w:sz w:val="16"/>
                <w:szCs w:val="16"/>
                <w:color w:val="auto"/>
              </w:rPr>
              <w:t>Credicorp Capital Servicios Financieros</w:t>
            </w:r>
          </w:p>
        </w:tc>
        <w:tc>
          <w:tcPr>
            <w:tcW w:w="14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13,267</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13,267</w:t>
            </w:r>
          </w:p>
        </w:tc>
      </w:tr>
      <w:tr>
        <w:trPr>
          <w:trHeight w:val="175"/>
        </w:trPr>
        <w:tc>
          <w:tcPr>
            <w:tcW w:w="4780" w:type="dxa"/>
            <w:vAlign w:val="bottom"/>
          </w:tcPr>
          <w:p>
            <w:pPr>
              <w:spacing w:after="0" w:line="175" w:lineRule="exact"/>
              <w:rPr>
                <w:sz w:val="20"/>
                <w:szCs w:val="20"/>
                <w:color w:val="auto"/>
              </w:rPr>
            </w:pPr>
            <w:r>
              <w:rPr>
                <w:rFonts w:ascii="Arial" w:cs="Arial" w:eastAsia="Arial" w:hAnsi="Arial"/>
                <w:sz w:val="16"/>
                <w:szCs w:val="16"/>
                <w:color w:val="auto"/>
              </w:rPr>
              <w:t>ASB Bank Corp</w:t>
            </w:r>
          </w:p>
        </w:tc>
        <w:tc>
          <w:tcPr>
            <w:tcW w:w="14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12,041</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12,041</w:t>
            </w:r>
          </w:p>
        </w:tc>
      </w:tr>
      <w:tr>
        <w:trPr>
          <w:trHeight w:val="175"/>
        </w:trPr>
        <w:tc>
          <w:tcPr>
            <w:tcW w:w="4780" w:type="dxa"/>
            <w:vAlign w:val="bottom"/>
          </w:tcPr>
          <w:p>
            <w:pPr>
              <w:spacing w:after="0" w:line="175" w:lineRule="exact"/>
              <w:rPr>
                <w:sz w:val="20"/>
                <w:szCs w:val="20"/>
                <w:color w:val="auto"/>
              </w:rPr>
            </w:pPr>
            <w:r>
              <w:rPr>
                <w:rFonts w:ascii="Arial" w:cs="Arial" w:eastAsia="Arial" w:hAnsi="Arial"/>
                <w:sz w:val="16"/>
                <w:szCs w:val="16"/>
                <w:color w:val="auto"/>
              </w:rPr>
              <w:t>Prima AFP</w:t>
            </w:r>
          </w:p>
        </w:tc>
        <w:tc>
          <w:tcPr>
            <w:tcW w:w="14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3,920</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3,920</w:t>
            </w:r>
          </w:p>
        </w:tc>
      </w:tr>
      <w:tr>
        <w:trPr>
          <w:trHeight w:val="190"/>
        </w:trPr>
        <w:tc>
          <w:tcPr>
            <w:tcW w:w="4780" w:type="dxa"/>
            <w:vAlign w:val="bottom"/>
          </w:tcPr>
          <w:p>
            <w:pPr>
              <w:spacing w:after="0"/>
              <w:rPr>
                <w:sz w:val="20"/>
                <w:szCs w:val="20"/>
                <w:color w:val="auto"/>
              </w:rPr>
            </w:pPr>
            <w:r>
              <w:rPr>
                <w:rFonts w:ascii="Arial" w:cs="Arial" w:eastAsia="Arial" w:hAnsi="Arial"/>
                <w:sz w:val="16"/>
                <w:szCs w:val="16"/>
                <w:color w:val="auto"/>
              </w:rPr>
              <w:t>Other Subsidiaries</w:t>
            </w:r>
          </w:p>
        </w:tc>
        <w:tc>
          <w:tcPr>
            <w:tcW w:w="1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16,790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16,790</w:t>
            </w:r>
          </w:p>
        </w:tc>
      </w:tr>
      <w:tr>
        <w:trPr>
          <w:trHeight w:val="170"/>
        </w:trPr>
        <w:tc>
          <w:tcPr>
            <w:tcW w:w="4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14,620,846</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265,250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14,886,096</w:t>
            </w:r>
          </w:p>
        </w:tc>
      </w:tr>
    </w:tbl>
    <w:p>
      <w:pPr>
        <w:spacing w:after="0" w:line="147"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9"/>
              </w:rPr>
              <w:t>Number of shares</w:t>
            </w: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50"/>
        </w:trPr>
        <w:tc>
          <w:tcPr>
            <w:tcW w:w="4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40" w:type="dxa"/>
            <w:vAlign w:val="bottom"/>
          </w:tcPr>
          <w:p>
            <w:pPr>
              <w:spacing w:after="0" w:line="150" w:lineRule="exact"/>
              <w:rPr>
                <w:sz w:val="20"/>
                <w:szCs w:val="20"/>
                <w:color w:val="auto"/>
              </w:rPr>
            </w:pPr>
            <w:r>
              <w:rPr>
                <w:rFonts w:ascii="Arial" w:cs="Arial" w:eastAsia="Arial" w:hAnsi="Arial"/>
                <w:sz w:val="16"/>
                <w:szCs w:val="16"/>
                <w:b w:val="1"/>
                <w:bCs w:val="1"/>
                <w:color w:val="auto"/>
              </w:rPr>
              <w:t>Shares of the</w:t>
            </w:r>
          </w:p>
        </w:tc>
        <w:tc>
          <w:tcPr>
            <w:tcW w:w="180" w:type="dxa"/>
            <w:vAlign w:val="bottom"/>
          </w:tcPr>
          <w:p>
            <w:pPr>
              <w:spacing w:after="0"/>
              <w:rPr>
                <w:sz w:val="13"/>
                <w:szCs w:val="13"/>
                <w:color w:val="auto"/>
              </w:rPr>
            </w:pPr>
          </w:p>
        </w:tc>
        <w:tc>
          <w:tcPr>
            <w:tcW w:w="12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Shared-based</w:t>
            </w: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2"/>
        </w:trPr>
        <w:tc>
          <w:tcPr>
            <w:tcW w:w="448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17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Group</w:t>
            </w:r>
          </w:p>
        </w:tc>
        <w:tc>
          <w:tcPr>
            <w:tcW w:w="18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payment (*)</w:t>
            </w:r>
          </w:p>
        </w:tc>
        <w:tc>
          <w:tcPr>
            <w:tcW w:w="180" w:type="dxa"/>
            <w:vAlign w:val="bottom"/>
          </w:tcPr>
          <w:p>
            <w:pPr>
              <w:spacing w:after="0"/>
              <w:rPr>
                <w:sz w:val="16"/>
                <w:szCs w:val="16"/>
                <w:color w:val="auto"/>
              </w:rPr>
            </w:pPr>
          </w:p>
        </w:tc>
        <w:tc>
          <w:tcPr>
            <w:tcW w:w="108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w w:val="94"/>
              </w:rPr>
              <w:t>Total</w:t>
            </w:r>
          </w:p>
        </w:tc>
      </w:tr>
      <w:tr>
        <w:trPr>
          <w:trHeight w:val="20"/>
        </w:trPr>
        <w:tc>
          <w:tcPr>
            <w:tcW w:w="4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15"/>
        </w:trPr>
        <w:tc>
          <w:tcPr>
            <w:tcW w:w="4480" w:type="dxa"/>
            <w:vAlign w:val="bottom"/>
          </w:tcPr>
          <w:p>
            <w:pPr>
              <w:spacing w:after="0"/>
              <w:rPr>
                <w:sz w:val="20"/>
                <w:szCs w:val="20"/>
                <w:color w:val="auto"/>
              </w:rPr>
            </w:pPr>
            <w:r>
              <w:rPr>
                <w:rFonts w:ascii="Arial" w:cs="Arial" w:eastAsia="Arial" w:hAnsi="Arial"/>
                <w:sz w:val="16"/>
                <w:szCs w:val="16"/>
                <w:color w:val="auto"/>
              </w:rPr>
              <w:t>Atlantic Security Holding Corporation</w:t>
            </w:r>
          </w:p>
        </w:tc>
        <w:tc>
          <w:tcPr>
            <w:tcW w:w="17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14,620,846</w:t>
            </w:r>
          </w:p>
        </w:tc>
        <w:tc>
          <w:tcPr>
            <w:tcW w:w="1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14,620,846</w:t>
            </w:r>
          </w:p>
        </w:tc>
      </w:tr>
      <w:tr>
        <w:trPr>
          <w:trHeight w:val="175"/>
        </w:trPr>
        <w:tc>
          <w:tcPr>
            <w:tcW w:w="4480" w:type="dxa"/>
            <w:vAlign w:val="bottom"/>
          </w:tcPr>
          <w:p>
            <w:pPr>
              <w:spacing w:after="0" w:line="175" w:lineRule="exact"/>
              <w:rPr>
                <w:sz w:val="20"/>
                <w:szCs w:val="20"/>
                <w:color w:val="auto"/>
              </w:rPr>
            </w:pPr>
            <w:r>
              <w:rPr>
                <w:rFonts w:ascii="Arial" w:cs="Arial" w:eastAsia="Arial" w:hAnsi="Arial"/>
                <w:sz w:val="16"/>
                <w:szCs w:val="16"/>
                <w:color w:val="auto"/>
              </w:rPr>
              <w:t>BCP</w:t>
            </w:r>
          </w:p>
        </w:tc>
        <w:tc>
          <w:tcPr>
            <w:tcW w:w="17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120,505</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120,505</w:t>
            </w:r>
          </w:p>
        </w:tc>
      </w:tr>
      <w:tr>
        <w:trPr>
          <w:trHeight w:val="175"/>
        </w:trPr>
        <w:tc>
          <w:tcPr>
            <w:tcW w:w="4480" w:type="dxa"/>
            <w:vAlign w:val="bottom"/>
          </w:tcPr>
          <w:p>
            <w:pPr>
              <w:spacing w:after="0" w:line="175" w:lineRule="exact"/>
              <w:rPr>
                <w:sz w:val="20"/>
                <w:szCs w:val="20"/>
                <w:color w:val="auto"/>
              </w:rPr>
            </w:pPr>
            <w:r>
              <w:rPr>
                <w:rFonts w:ascii="Arial" w:cs="Arial" w:eastAsia="Arial" w:hAnsi="Arial"/>
                <w:sz w:val="16"/>
                <w:szCs w:val="16"/>
                <w:color w:val="auto"/>
              </w:rPr>
              <w:t>Grupo Crédito</w:t>
            </w:r>
          </w:p>
        </w:tc>
        <w:tc>
          <w:tcPr>
            <w:tcW w:w="17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23,214</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23,214</w:t>
            </w:r>
          </w:p>
        </w:tc>
      </w:tr>
      <w:tr>
        <w:trPr>
          <w:trHeight w:val="175"/>
        </w:trPr>
        <w:tc>
          <w:tcPr>
            <w:tcW w:w="4480" w:type="dxa"/>
            <w:vAlign w:val="bottom"/>
          </w:tcPr>
          <w:p>
            <w:pPr>
              <w:spacing w:after="0" w:line="175" w:lineRule="exact"/>
              <w:rPr>
                <w:sz w:val="20"/>
                <w:szCs w:val="20"/>
                <w:color w:val="auto"/>
              </w:rPr>
            </w:pPr>
            <w:r>
              <w:rPr>
                <w:rFonts w:ascii="Arial" w:cs="Arial" w:eastAsia="Arial" w:hAnsi="Arial"/>
                <w:sz w:val="16"/>
                <w:szCs w:val="16"/>
                <w:color w:val="auto"/>
              </w:rPr>
              <w:t>Pacífico Seguros</w:t>
            </w:r>
          </w:p>
        </w:tc>
        <w:tc>
          <w:tcPr>
            <w:tcW w:w="17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20,606</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20,606</w:t>
            </w:r>
          </w:p>
        </w:tc>
      </w:tr>
      <w:tr>
        <w:trPr>
          <w:trHeight w:val="175"/>
        </w:trPr>
        <w:tc>
          <w:tcPr>
            <w:tcW w:w="4480" w:type="dxa"/>
            <w:vAlign w:val="bottom"/>
          </w:tcPr>
          <w:p>
            <w:pPr>
              <w:spacing w:after="0" w:line="175" w:lineRule="exact"/>
              <w:rPr>
                <w:sz w:val="20"/>
                <w:szCs w:val="20"/>
                <w:color w:val="auto"/>
              </w:rPr>
            </w:pPr>
            <w:r>
              <w:rPr>
                <w:rFonts w:ascii="Arial" w:cs="Arial" w:eastAsia="Arial" w:hAnsi="Arial"/>
                <w:sz w:val="16"/>
                <w:szCs w:val="16"/>
                <w:color w:val="auto"/>
              </w:rPr>
              <w:t>Credicorp Capital Servicios Financieros</w:t>
            </w:r>
          </w:p>
        </w:tc>
        <w:tc>
          <w:tcPr>
            <w:tcW w:w="17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15,007</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15,007</w:t>
            </w:r>
          </w:p>
        </w:tc>
      </w:tr>
      <w:tr>
        <w:trPr>
          <w:trHeight w:val="175"/>
        </w:trPr>
        <w:tc>
          <w:tcPr>
            <w:tcW w:w="4480" w:type="dxa"/>
            <w:vAlign w:val="bottom"/>
          </w:tcPr>
          <w:p>
            <w:pPr>
              <w:spacing w:after="0" w:line="175" w:lineRule="exact"/>
              <w:rPr>
                <w:sz w:val="20"/>
                <w:szCs w:val="20"/>
                <w:color w:val="auto"/>
              </w:rPr>
            </w:pPr>
            <w:r>
              <w:rPr>
                <w:rFonts w:ascii="Arial" w:cs="Arial" w:eastAsia="Arial" w:hAnsi="Arial"/>
                <w:sz w:val="16"/>
                <w:szCs w:val="16"/>
                <w:color w:val="auto"/>
              </w:rPr>
              <w:t>MiBanco</w:t>
            </w:r>
          </w:p>
        </w:tc>
        <w:tc>
          <w:tcPr>
            <w:tcW w:w="17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14,260</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14,260</w:t>
            </w:r>
          </w:p>
        </w:tc>
      </w:tr>
      <w:tr>
        <w:trPr>
          <w:trHeight w:val="175"/>
        </w:trPr>
        <w:tc>
          <w:tcPr>
            <w:tcW w:w="4480" w:type="dxa"/>
            <w:vAlign w:val="bottom"/>
          </w:tcPr>
          <w:p>
            <w:pPr>
              <w:spacing w:after="0" w:line="175" w:lineRule="exact"/>
              <w:rPr>
                <w:sz w:val="20"/>
                <w:szCs w:val="20"/>
                <w:color w:val="auto"/>
              </w:rPr>
            </w:pPr>
            <w:r>
              <w:rPr>
                <w:rFonts w:ascii="Arial" w:cs="Arial" w:eastAsia="Arial" w:hAnsi="Arial"/>
                <w:sz w:val="16"/>
                <w:szCs w:val="16"/>
                <w:color w:val="auto"/>
              </w:rPr>
              <w:t>ASB Bank Corp</w:t>
            </w:r>
          </w:p>
        </w:tc>
        <w:tc>
          <w:tcPr>
            <w:tcW w:w="178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11,791</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11,791</w:t>
            </w:r>
          </w:p>
        </w:tc>
      </w:tr>
      <w:tr>
        <w:trPr>
          <w:trHeight w:val="175"/>
        </w:trPr>
        <w:tc>
          <w:tcPr>
            <w:tcW w:w="4480" w:type="dxa"/>
            <w:vAlign w:val="bottom"/>
          </w:tcPr>
          <w:p>
            <w:pPr>
              <w:spacing w:after="0" w:line="175" w:lineRule="exact"/>
              <w:rPr>
                <w:sz w:val="20"/>
                <w:szCs w:val="20"/>
                <w:color w:val="auto"/>
              </w:rPr>
            </w:pPr>
            <w:r>
              <w:rPr>
                <w:rFonts w:ascii="Arial" w:cs="Arial" w:eastAsia="Arial" w:hAnsi="Arial"/>
                <w:sz w:val="16"/>
                <w:szCs w:val="16"/>
                <w:color w:val="auto"/>
              </w:rPr>
              <w:t>Prima AFP</w:t>
            </w:r>
          </w:p>
        </w:tc>
        <w:tc>
          <w:tcPr>
            <w:tcW w:w="1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5,406</w:t>
            </w:r>
          </w:p>
        </w:tc>
        <w:tc>
          <w:tcPr>
            <w:tcW w:w="10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5,406</w:t>
            </w:r>
          </w:p>
        </w:tc>
      </w:tr>
      <w:tr>
        <w:trPr>
          <w:trHeight w:val="190"/>
        </w:trPr>
        <w:tc>
          <w:tcPr>
            <w:tcW w:w="4480" w:type="dxa"/>
            <w:vAlign w:val="bottom"/>
          </w:tcPr>
          <w:p>
            <w:pPr>
              <w:spacing w:after="0"/>
              <w:rPr>
                <w:sz w:val="20"/>
                <w:szCs w:val="20"/>
                <w:color w:val="auto"/>
              </w:rPr>
            </w:pPr>
            <w:r>
              <w:rPr>
                <w:rFonts w:ascii="Arial" w:cs="Arial" w:eastAsia="Arial" w:hAnsi="Arial"/>
                <w:sz w:val="16"/>
                <w:szCs w:val="16"/>
                <w:color w:val="auto"/>
              </w:rPr>
              <w:t>Other Subsidiaries</w:t>
            </w:r>
          </w:p>
        </w:tc>
        <w:tc>
          <w:tcPr>
            <w:tcW w:w="17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ind w:right="180"/>
              <w:spacing w:after="0"/>
              <w:rPr>
                <w:sz w:val="20"/>
                <w:szCs w:val="20"/>
                <w:color w:val="auto"/>
              </w:rPr>
            </w:pPr>
            <w:r>
              <w:rPr>
                <w:rFonts w:ascii="Arial" w:cs="Arial" w:eastAsia="Arial" w:hAnsi="Arial"/>
                <w:sz w:val="16"/>
                <w:szCs w:val="16"/>
                <w:color w:val="auto"/>
              </w:rPr>
              <w:t>17,588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17,588</w:t>
            </w:r>
          </w:p>
        </w:tc>
      </w:tr>
      <w:tr>
        <w:trPr>
          <w:trHeight w:val="170"/>
        </w:trPr>
        <w:tc>
          <w:tcPr>
            <w:tcW w:w="4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14,620,846</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228,377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14,849,223</w:t>
            </w:r>
          </w:p>
        </w:tc>
      </w:tr>
    </w:tbl>
    <w:p>
      <w:pPr>
        <w:spacing w:after="0" w:line="149" w:lineRule="exact"/>
        <w:rPr>
          <w:sz w:val="20"/>
          <w:szCs w:val="20"/>
          <w:color w:val="auto"/>
        </w:rPr>
      </w:pPr>
    </w:p>
    <w:p>
      <w:pPr>
        <w:ind w:left="286" w:right="20" w:hanging="286"/>
        <w:spacing w:after="0" w:line="241" w:lineRule="auto"/>
        <w:tabs>
          <w:tab w:leader="none" w:pos="28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It corresponds mainly to the treasury shares that were granted to employees and Senior Management, for which they have the right to vote, and to a lesser extent to the shares acquired for coverage purposes for the new complementary retention program. These shares are not released on said dates.</w:t>
      </w:r>
    </w:p>
    <w:p>
      <w:pPr>
        <w:spacing w:after="0" w:line="134" w:lineRule="exact"/>
        <w:rPr>
          <w:sz w:val="20"/>
          <w:szCs w:val="20"/>
          <w:color w:val="auto"/>
        </w:rPr>
      </w:pPr>
    </w:p>
    <w:p>
      <w:pPr>
        <w:ind w:left="6" w:right="80"/>
        <w:spacing w:after="0" w:line="326" w:lineRule="auto"/>
        <w:rPr>
          <w:sz w:val="20"/>
          <w:szCs w:val="20"/>
          <w:color w:val="auto"/>
        </w:rPr>
      </w:pPr>
      <w:r>
        <w:rPr>
          <w:rFonts w:ascii="Arial" w:cs="Arial" w:eastAsia="Arial" w:hAnsi="Arial"/>
          <w:sz w:val="14"/>
          <w:szCs w:val="14"/>
          <w:color w:val="auto"/>
        </w:rPr>
        <w:t>During 2024, 2023 and 2022, the Group purchased 174,161, 163,067 and 137,604 shares of Credicorp Ltd., respectively, for a total of US$29.3 million (equivalent to S/110.9 million), US$22.5 million (equivalent to S/85.6 million) and US$22.5 million (equivalent to a S/83.6 million), respectively.</w:t>
      </w:r>
    </w:p>
    <w:p>
      <w:pPr>
        <w:spacing w:after="0" w:line="76" w:lineRule="exact"/>
        <w:rPr>
          <w:sz w:val="20"/>
          <w:szCs w:val="20"/>
          <w:color w:val="auto"/>
        </w:rPr>
      </w:pPr>
    </w:p>
    <w:p>
      <w:pPr>
        <w:jc w:val="both"/>
        <w:ind w:left="6"/>
        <w:spacing w:after="0" w:line="241" w:lineRule="auto"/>
        <w:rPr>
          <w:sz w:val="20"/>
          <w:szCs w:val="20"/>
          <w:color w:val="auto"/>
        </w:rPr>
      </w:pPr>
      <w:r>
        <w:rPr>
          <w:rFonts w:ascii="Arial" w:cs="Arial" w:eastAsia="Arial" w:hAnsi="Arial"/>
          <w:sz w:val="16"/>
          <w:szCs w:val="16"/>
          <w:color w:val="auto"/>
        </w:rPr>
        <w:t>The purchase of shares during 2024 for S/110.9 million consists of S/2.4 million for the shares at par value and S/108.5 million for the higher value paid for the shares acquired. The purchase of shares during 2023 for S/85.6 million consists of S/2.3 million for the shares at par value and S/83.3 million for the higher value paid for the shares acquired.</w:t>
      </w:r>
    </w:p>
    <w:p>
      <w:pPr>
        <w:spacing w:after="0" w:line="281" w:lineRule="exact"/>
        <w:rPr>
          <w:sz w:val="20"/>
          <w:szCs w:val="20"/>
          <w:color w:val="auto"/>
        </w:rPr>
      </w:pPr>
    </w:p>
    <w:p>
      <w:pPr>
        <w:ind w:left="4686"/>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406"/>
          </w:cols>
          <w:pgMar w:left="1154" w:top="124" w:right="339" w:bottom="1440" w:gutter="0" w:footer="0" w:header="0"/>
        </w:sectPr>
      </w:pPr>
    </w:p>
    <w:bookmarkStart w:id="100" w:name="page101"/>
    <w:bookmarkEnd w:id="100"/>
    <w:p>
      <w:pPr>
        <w:ind w:left="840" w:hanging="286"/>
        <w:spacing w:after="0"/>
        <w:tabs>
          <w:tab w:leader="none" w:pos="8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Reserves and other reserves -</w:t>
      </w:r>
    </w:p>
    <w:p>
      <w:pPr>
        <w:spacing w:after="0" w:line="155" w:lineRule="exact"/>
        <w:rPr>
          <w:rFonts w:ascii="Arial" w:cs="Arial" w:eastAsia="Arial" w:hAnsi="Arial"/>
          <w:sz w:val="16"/>
          <w:szCs w:val="16"/>
          <w:color w:val="auto"/>
        </w:rPr>
      </w:pPr>
    </w:p>
    <w:p>
      <w:pPr>
        <w:ind w:left="840" w:right="260"/>
        <w:spacing w:after="0" w:line="238" w:lineRule="auto"/>
        <w:rPr>
          <w:rFonts w:ascii="Arial" w:cs="Arial" w:eastAsia="Arial" w:hAnsi="Arial"/>
          <w:sz w:val="16"/>
          <w:szCs w:val="16"/>
          <w:color w:val="auto"/>
        </w:rPr>
      </w:pPr>
      <w:r>
        <w:rPr>
          <w:rFonts w:ascii="Arial" w:cs="Arial" w:eastAsia="Arial" w:hAnsi="Arial"/>
          <w:sz w:val="16"/>
          <w:szCs w:val="16"/>
          <w:color w:val="auto"/>
        </w:rPr>
        <w:t>Certain Group’s subsidiaries are required to keep a reserve that equals a percentage of paid-in capital (20.0, 30.0 or 50.0 percent, depending on its activities and the country in which production takes place); this reserve must be constituted with annual transfers of not less than 10.0 percent of net profits. As of December 31, 2024, 2023 and 2022, the balance of this reserves amounts approximately to S/9,175.8 million, S/8,621.7 million and S/7,783.3 million, respectively.</w:t>
      </w:r>
    </w:p>
    <w:p>
      <w:pPr>
        <w:spacing w:after="0" w:line="133" w:lineRule="exact"/>
        <w:rPr>
          <w:rFonts w:ascii="Arial" w:cs="Arial" w:eastAsia="Arial" w:hAnsi="Arial"/>
          <w:sz w:val="16"/>
          <w:szCs w:val="16"/>
          <w:color w:val="auto"/>
        </w:rPr>
      </w:pPr>
    </w:p>
    <w:p>
      <w:pPr>
        <w:ind w:left="840" w:right="640"/>
        <w:spacing w:after="0" w:line="255" w:lineRule="auto"/>
        <w:rPr>
          <w:rFonts w:ascii="Arial" w:cs="Arial" w:eastAsia="Arial" w:hAnsi="Arial"/>
          <w:sz w:val="16"/>
          <w:szCs w:val="16"/>
          <w:color w:val="auto"/>
        </w:rPr>
      </w:pPr>
      <w:r>
        <w:rPr>
          <w:rFonts w:ascii="Arial" w:cs="Arial" w:eastAsia="Arial" w:hAnsi="Arial"/>
          <w:sz w:val="16"/>
          <w:szCs w:val="16"/>
          <w:color w:val="auto"/>
        </w:rPr>
        <w:t>At the Board meetings held on April 27, 2024, April 27, 2023 and April 28, 2022, the decision was made to transfer from “Retained earnings” to “Reserves” S/1,778.8 million, S/2,593.6 million and S/2,354.9 million, respectively.</w:t>
      </w:r>
    </w:p>
    <w:p>
      <w:pPr>
        <w:spacing w:after="0" w:line="122" w:lineRule="exact"/>
        <w:rPr>
          <w:rFonts w:ascii="Arial" w:cs="Arial" w:eastAsia="Arial" w:hAnsi="Arial"/>
          <w:sz w:val="16"/>
          <w:szCs w:val="16"/>
          <w:color w:val="auto"/>
        </w:rPr>
      </w:pPr>
    </w:p>
    <w:p>
      <w:pPr>
        <w:ind w:left="840" w:right="680"/>
        <w:spacing w:after="0" w:line="255" w:lineRule="auto"/>
        <w:rPr>
          <w:rFonts w:ascii="Arial" w:cs="Arial" w:eastAsia="Arial" w:hAnsi="Arial"/>
          <w:sz w:val="16"/>
          <w:szCs w:val="16"/>
          <w:color w:val="auto"/>
        </w:rPr>
      </w:pPr>
      <w:r>
        <w:rPr>
          <w:rFonts w:ascii="Arial" w:cs="Arial" w:eastAsia="Arial" w:hAnsi="Arial"/>
          <w:sz w:val="16"/>
          <w:szCs w:val="16"/>
          <w:color w:val="auto"/>
        </w:rPr>
        <w:t>“Other reserves” include unrealized gains (losses) on fair value of investments through other comprehensive income and on cash flow hedges derivative instruments, net of deferred income tax and non-controlling interest. Movement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Other reserves:</w:t>
            </w: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50"/>
        </w:trPr>
        <w:tc>
          <w:tcPr>
            <w:tcW w:w="4500" w:type="dxa"/>
            <w:vAlign w:val="bottom"/>
          </w:tcPr>
          <w:p>
            <w:pPr>
              <w:spacing w:after="0"/>
              <w:rPr>
                <w:sz w:val="13"/>
                <w:szCs w:val="13"/>
                <w:color w:val="auto"/>
              </w:rPr>
            </w:pPr>
          </w:p>
        </w:tc>
        <w:tc>
          <w:tcPr>
            <w:tcW w:w="1320" w:type="dxa"/>
            <w:vAlign w:val="bottom"/>
            <w:gridSpan w:val="3"/>
          </w:tcPr>
          <w:p>
            <w:pPr>
              <w:spacing w:after="0" w:line="150" w:lineRule="exact"/>
              <w:rPr>
                <w:sz w:val="20"/>
                <w:szCs w:val="20"/>
                <w:color w:val="auto"/>
              </w:rPr>
            </w:pPr>
            <w:r>
              <w:rPr>
                <w:rFonts w:ascii="Arial" w:cs="Arial" w:eastAsia="Arial" w:hAnsi="Arial"/>
                <w:sz w:val="16"/>
                <w:szCs w:val="16"/>
                <w:b w:val="1"/>
                <w:bCs w:val="1"/>
                <w:color w:val="auto"/>
              </w:rPr>
              <w:t>Instruments that</w:t>
            </w: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5"/>
        </w:trPr>
        <w:tc>
          <w:tcPr>
            <w:tcW w:w="4500" w:type="dxa"/>
            <w:vAlign w:val="bottom"/>
          </w:tcPr>
          <w:p>
            <w:pPr>
              <w:spacing w:after="0"/>
              <w:rPr>
                <w:sz w:val="15"/>
                <w:szCs w:val="15"/>
                <w:color w:val="auto"/>
              </w:rPr>
            </w:pPr>
          </w:p>
        </w:tc>
        <w:tc>
          <w:tcPr>
            <w:tcW w:w="13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will not be</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spacing w:after="0"/>
              <w:rPr>
                <w:sz w:val="15"/>
                <w:szCs w:val="15"/>
                <w:color w:val="auto"/>
              </w:rPr>
            </w:pPr>
          </w:p>
        </w:tc>
        <w:tc>
          <w:tcPr>
            <w:tcW w:w="13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reclassifed to</w:t>
            </w:r>
          </w:p>
        </w:tc>
        <w:tc>
          <w:tcPr>
            <w:tcW w:w="4020" w:type="dxa"/>
            <w:vAlign w:val="bottom"/>
            <w:gridSpan w:val="10"/>
          </w:tcPr>
          <w:p>
            <w:pPr>
              <w:spacing w:after="0" w:line="175" w:lineRule="exact"/>
              <w:rPr>
                <w:sz w:val="20"/>
                <w:szCs w:val="20"/>
                <w:color w:val="auto"/>
              </w:rPr>
            </w:pPr>
            <w:r>
              <w:rPr>
                <w:rFonts w:ascii="Arial" w:cs="Arial" w:eastAsia="Arial" w:hAnsi="Arial"/>
                <w:sz w:val="16"/>
                <w:szCs w:val="16"/>
                <w:b w:val="1"/>
                <w:bCs w:val="1"/>
                <w:color w:val="auto"/>
              </w:rPr>
              <w:t>Instruments that will be reclassified to consolidated</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2"/>
        </w:trPr>
        <w:tc>
          <w:tcPr>
            <w:tcW w:w="45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6"/>
                <w:szCs w:val="16"/>
                <w:b w:val="1"/>
                <w:bCs w:val="1"/>
                <w:color w:val="auto"/>
              </w:rPr>
              <w:t>profit or loss</w:t>
            </w:r>
          </w:p>
        </w:tc>
        <w:tc>
          <w:tcPr>
            <w:tcW w:w="2100" w:type="dxa"/>
            <w:vAlign w:val="bottom"/>
            <w:gridSpan w:val="4"/>
          </w:tcPr>
          <w:p>
            <w:pPr>
              <w:spacing w:after="0"/>
              <w:rPr>
                <w:sz w:val="20"/>
                <w:szCs w:val="20"/>
                <w:color w:val="auto"/>
              </w:rPr>
            </w:pPr>
            <w:r>
              <w:rPr>
                <w:rFonts w:ascii="Arial" w:cs="Arial" w:eastAsia="Arial" w:hAnsi="Arial"/>
                <w:sz w:val="16"/>
                <w:szCs w:val="16"/>
                <w:b w:val="1"/>
                <w:bCs w:val="1"/>
                <w:color w:val="auto"/>
              </w:rPr>
              <w:t>statement of income</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50"/>
        </w:trPr>
        <w:tc>
          <w:tcPr>
            <w:tcW w:w="4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20"/>
              <w:spacing w:after="0" w:line="150" w:lineRule="exact"/>
              <w:rPr>
                <w:sz w:val="20"/>
                <w:szCs w:val="20"/>
                <w:color w:val="auto"/>
              </w:rPr>
            </w:pPr>
            <w:r>
              <w:rPr>
                <w:rFonts w:ascii="Arial" w:cs="Arial" w:eastAsia="Arial" w:hAnsi="Arial"/>
                <w:sz w:val="16"/>
                <w:szCs w:val="16"/>
                <w:b w:val="1"/>
                <w:bCs w:val="1"/>
                <w:color w:val="auto"/>
              </w:rPr>
              <w:t>Foreign</w:t>
            </w:r>
          </w:p>
        </w:tc>
        <w:tc>
          <w:tcPr>
            <w:tcW w:w="8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5"/>
        </w:trPr>
        <w:tc>
          <w:tcPr>
            <w:tcW w:w="4500" w:type="dxa"/>
            <w:vAlign w:val="bottom"/>
          </w:tcPr>
          <w:p>
            <w:pPr>
              <w:spacing w:after="0"/>
              <w:rPr>
                <w:sz w:val="15"/>
                <w:szCs w:val="15"/>
                <w:color w:val="auto"/>
              </w:rPr>
            </w:pPr>
          </w:p>
        </w:tc>
        <w:tc>
          <w:tcPr>
            <w:tcW w:w="13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Equity</w:t>
            </w:r>
          </w:p>
        </w:tc>
        <w:tc>
          <w:tcPr>
            <w:tcW w:w="11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Debt</w:t>
            </w:r>
          </w:p>
        </w:tc>
        <w:tc>
          <w:tcPr>
            <w:tcW w:w="9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Reserve for</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currency</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spacing w:after="0"/>
              <w:rPr>
                <w:sz w:val="15"/>
                <w:szCs w:val="15"/>
                <w:color w:val="auto"/>
              </w:rPr>
            </w:pPr>
          </w:p>
        </w:tc>
        <w:tc>
          <w:tcPr>
            <w:tcW w:w="13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instruments at</w:t>
            </w:r>
          </w:p>
        </w:tc>
        <w:tc>
          <w:tcPr>
            <w:tcW w:w="11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instruments at</w:t>
            </w:r>
          </w:p>
        </w:tc>
        <w:tc>
          <w:tcPr>
            <w:tcW w:w="9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cash flow</w:t>
            </w:r>
          </w:p>
        </w:tc>
        <w:tc>
          <w:tcPr>
            <w:tcW w:w="94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Insurance</w:t>
            </w:r>
          </w:p>
        </w:tc>
        <w:tc>
          <w:tcPr>
            <w:tcW w:w="9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translation</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2"/>
        </w:trPr>
        <w:tc>
          <w:tcPr>
            <w:tcW w:w="45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6"/>
                <w:szCs w:val="16"/>
                <w:b w:val="1"/>
                <w:bCs w:val="1"/>
                <w:color w:val="auto"/>
              </w:rPr>
              <w:t>fair value</w:t>
            </w: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hedges</w:t>
            </w:r>
          </w:p>
        </w:tc>
        <w:tc>
          <w:tcPr>
            <w:tcW w:w="940" w:type="dxa"/>
            <w:vAlign w:val="bottom"/>
            <w:gridSpan w:val="3"/>
          </w:tcPr>
          <w:p>
            <w:pPr>
              <w:ind w:left="20"/>
              <w:spacing w:after="0"/>
              <w:rPr>
                <w:sz w:val="20"/>
                <w:szCs w:val="20"/>
                <w:color w:val="auto"/>
              </w:rPr>
            </w:pPr>
            <w:r>
              <w:rPr>
                <w:rFonts w:ascii="Arial" w:cs="Arial" w:eastAsia="Arial" w:hAnsi="Arial"/>
                <w:sz w:val="16"/>
                <w:szCs w:val="16"/>
                <w:b w:val="1"/>
                <w:bCs w:val="1"/>
                <w:color w:val="auto"/>
              </w:rPr>
              <w:t>reserves</w:t>
            </w:r>
          </w:p>
        </w:tc>
        <w:tc>
          <w:tcPr>
            <w:tcW w:w="980" w:type="dxa"/>
            <w:vAlign w:val="bottom"/>
            <w:gridSpan w:val="3"/>
          </w:tcPr>
          <w:p>
            <w:pPr>
              <w:ind w:left="20"/>
              <w:spacing w:after="0"/>
              <w:rPr>
                <w:sz w:val="20"/>
                <w:szCs w:val="20"/>
                <w:color w:val="auto"/>
              </w:rPr>
            </w:pPr>
            <w:r>
              <w:rPr>
                <w:rFonts w:ascii="Arial" w:cs="Arial" w:eastAsia="Arial" w:hAnsi="Arial"/>
                <w:sz w:val="16"/>
                <w:szCs w:val="16"/>
                <w:b w:val="1"/>
                <w:bCs w:val="1"/>
                <w:color w:val="auto"/>
              </w:rPr>
              <w:t>reserve</w:t>
            </w: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520" w:type="dxa"/>
            <w:vAlign w:val="bottom"/>
          </w:tcPr>
          <w:p>
            <w:pPr>
              <w:spacing w:after="0"/>
              <w:rPr>
                <w:sz w:val="16"/>
                <w:szCs w:val="16"/>
                <w:color w:val="auto"/>
              </w:rPr>
            </w:pPr>
          </w:p>
        </w:tc>
      </w:tr>
      <w:tr>
        <w:trPr>
          <w:trHeight w:val="206"/>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84"/>
        </w:trPr>
        <w:tc>
          <w:tcPr>
            <w:tcW w:w="4500" w:type="dxa"/>
            <w:vAlign w:val="bottom"/>
          </w:tcPr>
          <w:p>
            <w:pPr>
              <w:ind w:left="840"/>
              <w:spacing w:after="0"/>
              <w:rPr>
                <w:sz w:val="20"/>
                <w:szCs w:val="20"/>
                <w:color w:val="auto"/>
              </w:rPr>
            </w:pPr>
            <w:r>
              <w:rPr>
                <w:rFonts w:ascii="Arial" w:cs="Arial" w:eastAsia="Arial" w:hAnsi="Arial"/>
                <w:sz w:val="16"/>
                <w:szCs w:val="16"/>
                <w:b w:val="1"/>
                <w:bCs w:val="1"/>
                <w:color w:val="auto"/>
              </w:rPr>
              <w:t>Balance as of January 1, 2022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206,885</w:t>
            </w:r>
          </w:p>
        </w:tc>
        <w:tc>
          <w:tcPr>
            <w:tcW w:w="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(139,500)</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(273)</w:t>
            </w:r>
          </w:p>
        </w:tc>
        <w:tc>
          <w:tcPr>
            <w:tcW w:w="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337,037</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404,149</w:t>
            </w:r>
          </w:p>
        </w:tc>
        <w:tc>
          <w:tcPr>
            <w:tcW w:w="520" w:type="dxa"/>
            <w:vAlign w:val="bottom"/>
          </w:tcPr>
          <w:p>
            <w:pPr>
              <w:spacing w:after="0"/>
              <w:rPr>
                <w:sz w:val="24"/>
                <w:szCs w:val="24"/>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(Decrease) in net unrealized gains on investments</w:t>
            </w:r>
          </w:p>
        </w:tc>
        <w:tc>
          <w:tcPr>
            <w:tcW w:w="12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(36,477)</w:t>
            </w:r>
          </w:p>
        </w:tc>
        <w:tc>
          <w:tcPr>
            <w:tcW w:w="60" w:type="dxa"/>
            <w:vAlign w:val="bottom"/>
          </w:tcPr>
          <w:p>
            <w:pPr>
              <w:spacing w:after="0"/>
              <w:rPr>
                <w:sz w:val="15"/>
                <w:szCs w:val="15"/>
                <w:color w:val="auto"/>
              </w:rPr>
            </w:pP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(1,629,016)</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(1,665,493)</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Transfer to results of the net realized loss of</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investments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49,754</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49,754</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Transfer to income statement of credit loss on</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investments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63,203</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63,203</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Change in net unrealized gain on cash flow hedges</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derivatives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29,109</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29,109</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Transfer of net realized gain on cash flow hedges</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derivatives to profit or loss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(28,048)</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(28,048)</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Other reserves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1,133,536</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1,133,536</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Foreign exchange translation</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(301,969)</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(301,969)</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Net movement in hedges of net investments in</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4500" w:type="dxa"/>
            <w:vAlign w:val="bottom"/>
          </w:tcPr>
          <w:p>
            <w:pPr>
              <w:ind w:left="840"/>
              <w:spacing w:after="0"/>
              <w:rPr>
                <w:sz w:val="20"/>
                <w:szCs w:val="20"/>
                <w:color w:val="auto"/>
              </w:rPr>
            </w:pPr>
            <w:r>
              <w:rPr>
                <w:rFonts w:ascii="Arial" w:cs="Arial" w:eastAsia="Arial" w:hAnsi="Arial"/>
                <w:sz w:val="16"/>
                <w:szCs w:val="16"/>
                <w:color w:val="auto"/>
              </w:rPr>
              <w:t>foreign businesses</w:t>
            </w:r>
          </w:p>
        </w:tc>
        <w:tc>
          <w:tcPr>
            <w:tcW w:w="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39,587</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39,587</w:t>
            </w:r>
          </w:p>
        </w:tc>
        <w:tc>
          <w:tcPr>
            <w:tcW w:w="520" w:type="dxa"/>
            <w:vAlign w:val="bottom"/>
          </w:tcPr>
          <w:p>
            <w:pPr>
              <w:spacing w:after="0"/>
              <w:rPr>
                <w:sz w:val="17"/>
                <w:szCs w:val="17"/>
                <w:color w:val="auto"/>
              </w:rPr>
            </w:pPr>
          </w:p>
        </w:tc>
      </w:tr>
      <w:tr>
        <w:trPr>
          <w:trHeight w:val="152"/>
        </w:trPr>
        <w:tc>
          <w:tcPr>
            <w:tcW w:w="4500" w:type="dxa"/>
            <w:vAlign w:val="bottom"/>
          </w:tcPr>
          <w:p>
            <w:pPr>
              <w:ind w:left="840"/>
              <w:spacing w:after="0" w:line="152" w:lineRule="exact"/>
              <w:rPr>
                <w:sz w:val="20"/>
                <w:szCs w:val="20"/>
                <w:color w:val="auto"/>
              </w:rPr>
            </w:pPr>
            <w:r>
              <w:rPr>
                <w:rFonts w:ascii="Arial" w:cs="Arial" w:eastAsia="Arial" w:hAnsi="Arial"/>
                <w:sz w:val="16"/>
                <w:szCs w:val="16"/>
                <w:b w:val="1"/>
                <w:bCs w:val="1"/>
                <w:color w:val="auto"/>
              </w:rPr>
              <w:t>Balance as of December 31, 2022</w:t>
            </w:r>
          </w:p>
        </w:tc>
        <w:tc>
          <w:tcPr>
            <w:tcW w:w="20" w:type="dxa"/>
            <w:vAlign w:val="bottom"/>
          </w:tcPr>
          <w:p>
            <w:pPr>
              <w:spacing w:after="0"/>
              <w:rPr>
                <w:sz w:val="13"/>
                <w:szCs w:val="13"/>
                <w:color w:val="auto"/>
              </w:rPr>
            </w:pPr>
          </w:p>
        </w:tc>
        <w:tc>
          <w:tcPr>
            <w:tcW w:w="12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170,408</w:t>
            </w:r>
          </w:p>
        </w:tc>
        <w:tc>
          <w:tcPr>
            <w:tcW w:w="60" w:type="dxa"/>
            <w:vAlign w:val="bottom"/>
          </w:tcPr>
          <w:p>
            <w:pPr>
              <w:spacing w:after="0"/>
              <w:rPr>
                <w:sz w:val="13"/>
                <w:szCs w:val="13"/>
                <w:color w:val="auto"/>
              </w:rPr>
            </w:pPr>
          </w:p>
        </w:tc>
        <w:tc>
          <w:tcPr>
            <w:tcW w:w="11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(1,655,559)</w:t>
            </w:r>
          </w:p>
        </w:tc>
        <w:tc>
          <w:tcPr>
            <w:tcW w:w="60" w:type="dxa"/>
            <w:vAlign w:val="bottom"/>
          </w:tcPr>
          <w:p>
            <w:pPr>
              <w:spacing w:after="0"/>
              <w:rPr>
                <w:sz w:val="13"/>
                <w:szCs w:val="13"/>
                <w:color w:val="auto"/>
              </w:rPr>
            </w:pPr>
          </w:p>
        </w:tc>
        <w:tc>
          <w:tcPr>
            <w:tcW w:w="9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788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1,133,536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74,655</w:t>
            </w:r>
          </w:p>
        </w:tc>
        <w:tc>
          <w:tcPr>
            <w:tcW w:w="6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20"/>
              <w:spacing w:after="0" w:line="152" w:lineRule="exact"/>
              <w:rPr>
                <w:sz w:val="20"/>
                <w:szCs w:val="20"/>
                <w:color w:val="auto"/>
              </w:rPr>
            </w:pPr>
            <w:r>
              <w:rPr>
                <w:rFonts w:ascii="Arial" w:cs="Arial" w:eastAsia="Arial" w:hAnsi="Arial"/>
                <w:sz w:val="16"/>
                <w:szCs w:val="16"/>
                <w:color w:val="auto"/>
              </w:rPr>
              <w:t>(276,172)</w:t>
            </w:r>
          </w:p>
        </w:tc>
        <w:tc>
          <w:tcPr>
            <w:tcW w:w="520" w:type="dxa"/>
            <w:vAlign w:val="bottom"/>
          </w:tcPr>
          <w:p>
            <w:pPr>
              <w:spacing w:after="0"/>
              <w:rPr>
                <w:sz w:val="13"/>
                <w:szCs w:val="13"/>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(Decrease) increase in net unrealized gains on</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investments</w:t>
            </w:r>
          </w:p>
        </w:tc>
        <w:tc>
          <w:tcPr>
            <w:tcW w:w="12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(12,247)</w:t>
            </w:r>
          </w:p>
        </w:tc>
        <w:tc>
          <w:tcPr>
            <w:tcW w:w="60" w:type="dxa"/>
            <w:vAlign w:val="bottom"/>
          </w:tcPr>
          <w:p>
            <w:pPr>
              <w:spacing w:after="0"/>
              <w:rPr>
                <w:sz w:val="15"/>
                <w:szCs w:val="15"/>
                <w:color w:val="auto"/>
              </w:rPr>
            </w:pP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1,241,632</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1,229,385</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Transfer to results of the net realized loss of</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investments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7,789</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7,789</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Transfer to income statement of credit loss on</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investments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8,716</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8,716</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Change in net unrealized gain on cash flow hedges</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derivatives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18,359</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18,359</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Transfer of net realized gain on cash flow hedges</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derivatives to profit or loss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(30,550)</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(30,550)</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Other reserves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(754,192)</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(754,192)</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Foreign exchange translation</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73,498</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73,498</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Net movement in hedges of net investments in</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1"/>
        </w:trPr>
        <w:tc>
          <w:tcPr>
            <w:tcW w:w="4500" w:type="dxa"/>
            <w:vAlign w:val="bottom"/>
          </w:tcPr>
          <w:p>
            <w:pPr>
              <w:ind w:left="840"/>
              <w:spacing w:after="0"/>
              <w:rPr>
                <w:sz w:val="20"/>
                <w:szCs w:val="20"/>
                <w:color w:val="auto"/>
              </w:rPr>
            </w:pPr>
            <w:r>
              <w:rPr>
                <w:rFonts w:ascii="Arial" w:cs="Arial" w:eastAsia="Arial" w:hAnsi="Arial"/>
                <w:sz w:val="16"/>
                <w:szCs w:val="16"/>
                <w:color w:val="auto"/>
              </w:rPr>
              <w:t>foreign businesses</w:t>
            </w:r>
          </w:p>
        </w:tc>
        <w:tc>
          <w:tcPr>
            <w:tcW w:w="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18,950</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18,950</w:t>
            </w:r>
          </w:p>
        </w:tc>
        <w:tc>
          <w:tcPr>
            <w:tcW w:w="520" w:type="dxa"/>
            <w:vAlign w:val="bottom"/>
          </w:tcPr>
          <w:p>
            <w:pPr>
              <w:spacing w:after="0"/>
              <w:rPr>
                <w:sz w:val="17"/>
                <w:szCs w:val="17"/>
                <w:color w:val="auto"/>
              </w:rPr>
            </w:pPr>
          </w:p>
        </w:tc>
      </w:tr>
      <w:tr>
        <w:trPr>
          <w:trHeight w:val="152"/>
        </w:trPr>
        <w:tc>
          <w:tcPr>
            <w:tcW w:w="4500" w:type="dxa"/>
            <w:vAlign w:val="bottom"/>
          </w:tcPr>
          <w:p>
            <w:pPr>
              <w:ind w:left="840"/>
              <w:spacing w:after="0" w:line="152" w:lineRule="exact"/>
              <w:rPr>
                <w:sz w:val="20"/>
                <w:szCs w:val="20"/>
                <w:color w:val="auto"/>
              </w:rPr>
            </w:pPr>
            <w:r>
              <w:rPr>
                <w:rFonts w:ascii="Arial" w:cs="Arial" w:eastAsia="Arial" w:hAnsi="Arial"/>
                <w:sz w:val="16"/>
                <w:szCs w:val="16"/>
                <w:b w:val="1"/>
                <w:bCs w:val="1"/>
                <w:color w:val="auto"/>
              </w:rPr>
              <w:t>Balance as of December 31, 2023</w:t>
            </w:r>
          </w:p>
        </w:tc>
        <w:tc>
          <w:tcPr>
            <w:tcW w:w="20" w:type="dxa"/>
            <w:vAlign w:val="bottom"/>
          </w:tcPr>
          <w:p>
            <w:pPr>
              <w:spacing w:after="0"/>
              <w:rPr>
                <w:sz w:val="13"/>
                <w:szCs w:val="13"/>
                <w:color w:val="auto"/>
              </w:rPr>
            </w:pPr>
          </w:p>
        </w:tc>
        <w:tc>
          <w:tcPr>
            <w:tcW w:w="12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158,161</w:t>
            </w:r>
          </w:p>
        </w:tc>
        <w:tc>
          <w:tcPr>
            <w:tcW w:w="60" w:type="dxa"/>
            <w:vAlign w:val="bottom"/>
          </w:tcPr>
          <w:p>
            <w:pPr>
              <w:spacing w:after="0"/>
              <w:rPr>
                <w:sz w:val="13"/>
                <w:szCs w:val="13"/>
                <w:color w:val="auto"/>
              </w:rPr>
            </w:pPr>
          </w:p>
        </w:tc>
        <w:tc>
          <w:tcPr>
            <w:tcW w:w="11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(397,422)</w:t>
            </w:r>
          </w:p>
        </w:tc>
        <w:tc>
          <w:tcPr>
            <w:tcW w:w="60" w:type="dxa"/>
            <w:vAlign w:val="bottom"/>
          </w:tcPr>
          <w:p>
            <w:pPr>
              <w:spacing w:after="0"/>
              <w:rPr>
                <w:sz w:val="13"/>
                <w:szCs w:val="13"/>
                <w:color w:val="auto"/>
              </w:rPr>
            </w:pPr>
          </w:p>
        </w:tc>
        <w:tc>
          <w:tcPr>
            <w:tcW w:w="9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(11,403)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379,344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167,103</w:t>
            </w:r>
          </w:p>
        </w:tc>
        <w:tc>
          <w:tcPr>
            <w:tcW w:w="6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20"/>
              <w:spacing w:after="0" w:line="152" w:lineRule="exact"/>
              <w:rPr>
                <w:sz w:val="20"/>
                <w:szCs w:val="20"/>
                <w:color w:val="auto"/>
              </w:rPr>
            </w:pPr>
            <w:r>
              <w:rPr>
                <w:rFonts w:ascii="Arial" w:cs="Arial" w:eastAsia="Arial" w:hAnsi="Arial"/>
                <w:sz w:val="16"/>
                <w:szCs w:val="16"/>
                <w:color w:val="auto"/>
              </w:rPr>
              <w:t>295,783</w:t>
            </w:r>
          </w:p>
        </w:tc>
        <w:tc>
          <w:tcPr>
            <w:tcW w:w="520" w:type="dxa"/>
            <w:vAlign w:val="bottom"/>
          </w:tcPr>
          <w:p>
            <w:pPr>
              <w:spacing w:after="0"/>
              <w:rPr>
                <w:sz w:val="13"/>
                <w:szCs w:val="13"/>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Increase in net unrealized gains on investments</w:t>
            </w:r>
          </w:p>
        </w:tc>
        <w:tc>
          <w:tcPr>
            <w:tcW w:w="132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24,116</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136,783</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160,899</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Transfer to results of the net realized loss of</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investments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36,712</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36,712</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Transfer to income statement of credit loss on</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investments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32,776</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32,776</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Change in net unrealized gain on cash flow hedges</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derivatives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27,186</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27,186</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Transfer of net realized gain on cash flow hedges</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derivatives to profit or gain</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(17,416)</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(17,416)</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Other reserves</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(69,383)</w:t>
            </w:r>
          </w:p>
        </w:tc>
        <w:tc>
          <w:tcPr>
            <w:tcW w:w="2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(69,383)</w:t>
            </w:r>
          </w:p>
        </w:tc>
        <w:tc>
          <w:tcPr>
            <w:tcW w:w="520" w:type="dxa"/>
            <w:vAlign w:val="bottom"/>
          </w:tcPr>
          <w:p>
            <w:pPr>
              <w:spacing w:after="0"/>
              <w:rPr>
                <w:sz w:val="15"/>
                <w:szCs w:val="15"/>
                <w:color w:val="auto"/>
              </w:rPr>
            </w:pPr>
          </w:p>
        </w:tc>
      </w:tr>
      <w:tr>
        <w:trPr>
          <w:trHeight w:val="175"/>
        </w:trPr>
        <w:tc>
          <w:tcPr>
            <w:tcW w:w="4500" w:type="dxa"/>
            <w:vAlign w:val="bottom"/>
          </w:tcPr>
          <w:p>
            <w:pPr>
              <w:ind w:left="840"/>
              <w:spacing w:after="0" w:line="175" w:lineRule="exact"/>
              <w:rPr>
                <w:sz w:val="20"/>
                <w:szCs w:val="20"/>
                <w:color w:val="auto"/>
              </w:rPr>
            </w:pPr>
            <w:r>
              <w:rPr>
                <w:rFonts w:ascii="Arial" w:cs="Arial" w:eastAsia="Arial" w:hAnsi="Arial"/>
                <w:sz w:val="16"/>
                <w:szCs w:val="16"/>
                <w:color w:val="auto"/>
              </w:rPr>
              <w:t>Foreign exchange translation</w:t>
            </w:r>
          </w:p>
        </w:tc>
        <w:tc>
          <w:tcPr>
            <w:tcW w:w="20" w:type="dxa"/>
            <w:vAlign w:val="bottom"/>
          </w:tcPr>
          <w:p>
            <w:pPr>
              <w:spacing w:after="0"/>
              <w:rPr>
                <w:sz w:val="15"/>
                <w:szCs w:val="15"/>
                <w:color w:val="auto"/>
              </w:rPr>
            </w:pPr>
          </w:p>
        </w:tc>
        <w:tc>
          <w:tcPr>
            <w:tcW w:w="13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(114,143)</w:t>
            </w:r>
          </w:p>
        </w:tc>
        <w:tc>
          <w:tcPr>
            <w:tcW w:w="9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(114,143)</w:t>
            </w:r>
          </w:p>
        </w:tc>
        <w:tc>
          <w:tcPr>
            <w:tcW w:w="520" w:type="dxa"/>
            <w:vAlign w:val="bottom"/>
          </w:tcPr>
          <w:p>
            <w:pPr>
              <w:spacing w:after="0"/>
              <w:rPr>
                <w:sz w:val="15"/>
                <w:szCs w:val="15"/>
                <w:color w:val="auto"/>
              </w:rPr>
            </w:pPr>
          </w:p>
        </w:tc>
      </w:tr>
      <w:tr>
        <w:trPr>
          <w:trHeight w:val="201"/>
        </w:trPr>
        <w:tc>
          <w:tcPr>
            <w:tcW w:w="4500" w:type="dxa"/>
            <w:vAlign w:val="bottom"/>
          </w:tcPr>
          <w:p>
            <w:pPr>
              <w:ind w:left="840"/>
              <w:spacing w:after="0"/>
              <w:rPr>
                <w:sz w:val="20"/>
                <w:szCs w:val="20"/>
                <w:color w:val="auto"/>
              </w:rPr>
            </w:pPr>
            <w:r>
              <w:rPr>
                <w:rFonts w:ascii="Arial" w:cs="Arial" w:eastAsia="Arial" w:hAnsi="Arial"/>
                <w:sz w:val="16"/>
                <w:szCs w:val="16"/>
                <w:color w:val="auto"/>
                <w:w w:val="98"/>
              </w:rPr>
              <w:t>Transfer of fair value reserve to accumulated results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(137,787)</w:t>
            </w:r>
          </w:p>
        </w:tc>
        <w:tc>
          <w:tcPr>
            <w:tcW w:w="6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(137,787)</w:t>
            </w:r>
          </w:p>
        </w:tc>
        <w:tc>
          <w:tcPr>
            <w:tcW w:w="520" w:type="dxa"/>
            <w:vAlign w:val="bottom"/>
          </w:tcPr>
          <w:p>
            <w:pPr>
              <w:spacing w:after="0"/>
              <w:rPr>
                <w:sz w:val="17"/>
                <w:szCs w:val="17"/>
                <w:color w:val="auto"/>
              </w:rPr>
            </w:pPr>
          </w:p>
        </w:tc>
      </w:tr>
      <w:tr>
        <w:trPr>
          <w:trHeight w:val="170"/>
        </w:trPr>
        <w:tc>
          <w:tcPr>
            <w:tcW w:w="4500" w:type="dxa"/>
            <w:vAlign w:val="bottom"/>
          </w:tcPr>
          <w:p>
            <w:pPr>
              <w:ind w:left="840"/>
              <w:spacing w:after="0" w:line="167" w:lineRule="exact"/>
              <w:rPr>
                <w:sz w:val="20"/>
                <w:szCs w:val="20"/>
                <w:color w:val="auto"/>
              </w:rPr>
            </w:pPr>
            <w:r>
              <w:rPr>
                <w:rFonts w:ascii="Arial" w:cs="Arial" w:eastAsia="Arial" w:hAnsi="Arial"/>
                <w:sz w:val="16"/>
                <w:szCs w:val="16"/>
                <w:b w:val="1"/>
                <w:bCs w:val="1"/>
                <w:color w:val="auto"/>
              </w:rPr>
              <w:t>Balance as of December 31, 2024</w:t>
            </w:r>
          </w:p>
        </w:tc>
        <w:tc>
          <w:tcPr>
            <w:tcW w:w="2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44,490</w:t>
            </w:r>
          </w:p>
        </w:tc>
        <w:tc>
          <w:tcPr>
            <w:tcW w:w="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(191,151)</w:t>
            </w:r>
          </w:p>
        </w:tc>
        <w:tc>
          <w:tcPr>
            <w:tcW w:w="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309,961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52,960</w:t>
            </w:r>
          </w:p>
        </w:tc>
        <w:tc>
          <w:tcPr>
            <w:tcW w:w="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214,627</w:t>
            </w:r>
          </w:p>
        </w:tc>
        <w:tc>
          <w:tcPr>
            <w:tcW w:w="2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r>
      <w:tr>
        <w:trPr>
          <w:trHeight w:val="460"/>
        </w:trPr>
        <w:tc>
          <w:tcPr>
            <w:tcW w:w="45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-98-</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
        </w:trPr>
        <w:tc>
          <w:tcPr>
            <w:tcW w:w="4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40" w:type="dxa"/>
            <w:vAlign w:val="bottom"/>
          </w:tcPr>
          <w:p>
            <w:pPr>
              <w:ind w:left="560"/>
              <w:spacing w:after="0"/>
              <w:rPr>
                <w:sz w:val="20"/>
                <w:szCs w:val="20"/>
                <w:color w:val="auto"/>
              </w:rPr>
            </w:pPr>
            <w:r>
              <w:rPr>
                <w:rFonts w:ascii="Arial" w:cs="Arial" w:eastAsia="Arial" w:hAnsi="Arial"/>
                <w:sz w:val="16"/>
                <w:szCs w:val="16"/>
                <w:color w:val="auto"/>
              </w:rPr>
              <w:t>d)  Components of other comprehensive income -</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6840" w:type="dxa"/>
            <w:vAlign w:val="bottom"/>
          </w:tcPr>
          <w:p>
            <w:pPr>
              <w:ind w:left="880"/>
              <w:spacing w:after="0"/>
              <w:rPr>
                <w:sz w:val="20"/>
                <w:szCs w:val="20"/>
                <w:color w:val="auto"/>
              </w:rPr>
            </w:pPr>
            <w:r>
              <w:rPr>
                <w:rFonts w:ascii="Arial" w:cs="Arial" w:eastAsia="Arial" w:hAnsi="Arial"/>
                <w:sz w:val="16"/>
                <w:szCs w:val="16"/>
                <w:color w:val="auto"/>
              </w:rPr>
              <w:t>The movement of the item is as follows: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840" w:type="dxa"/>
            <w:vAlign w:val="bottom"/>
          </w:tcPr>
          <w:p>
            <w:pPr>
              <w:spacing w:after="0"/>
              <w:rPr>
                <w:sz w:val="24"/>
                <w:szCs w:val="24"/>
                <w:color w:val="auto"/>
              </w:rPr>
            </w:pPr>
          </w:p>
        </w:tc>
        <w:tc>
          <w:tcPr>
            <w:tcW w:w="130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02"/>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24"/>
                <w:szCs w:val="24"/>
                <w:color w:val="auto"/>
              </w:rPr>
            </w:pPr>
          </w:p>
        </w:tc>
        <w:tc>
          <w:tcPr>
            <w:tcW w:w="1140" w:type="dxa"/>
            <w:vAlign w:val="bottom"/>
            <w:gridSpan w:val="2"/>
          </w:tcPr>
          <w:p>
            <w:pPr>
              <w:jc w:val="right"/>
              <w:ind w:right="642"/>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To be reclassified to the consolidated statement of income in later periods</w:t>
            </w:r>
          </w:p>
        </w:tc>
        <w:tc>
          <w:tcPr>
            <w:tcW w:w="26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68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840" w:type="dxa"/>
            <w:vAlign w:val="bottom"/>
          </w:tcPr>
          <w:p>
            <w:pPr>
              <w:ind w:left="840"/>
              <w:spacing w:after="0" w:line="177" w:lineRule="exact"/>
              <w:rPr>
                <w:sz w:val="20"/>
                <w:szCs w:val="20"/>
                <w:color w:val="auto"/>
              </w:rPr>
            </w:pPr>
            <w:r>
              <w:rPr>
                <w:rFonts w:ascii="Arial" w:cs="Arial" w:eastAsia="Arial" w:hAnsi="Arial"/>
                <w:sz w:val="16"/>
                <w:szCs w:val="16"/>
                <w:b w:val="1"/>
                <w:bCs w:val="1"/>
                <w:color w:val="auto"/>
              </w:rPr>
              <w:t>Equity instruments at fair value with changes in other comprehensive income</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980"/>
              <w:spacing w:after="0" w:line="175" w:lineRule="exact"/>
              <w:rPr>
                <w:sz w:val="20"/>
                <w:szCs w:val="20"/>
                <w:color w:val="auto"/>
              </w:rPr>
            </w:pPr>
            <w:r>
              <w:rPr>
                <w:rFonts w:ascii="Arial" w:cs="Arial" w:eastAsia="Arial" w:hAnsi="Arial"/>
                <w:sz w:val="16"/>
                <w:szCs w:val="16"/>
                <w:color w:val="auto"/>
              </w:rPr>
              <w:t>Net unrealized gain (loss)</w:t>
            </w:r>
          </w:p>
        </w:tc>
        <w:tc>
          <w:tcPr>
            <w:tcW w:w="13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136,783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1,241,632</w:t>
            </w:r>
          </w:p>
        </w:tc>
        <w:tc>
          <w:tcPr>
            <w:tcW w:w="1780" w:type="dxa"/>
            <w:vAlign w:val="bottom"/>
            <w:gridSpan w:val="3"/>
          </w:tcPr>
          <w:p>
            <w:pPr>
              <w:jc w:val="right"/>
              <w:ind w:right="580"/>
              <w:spacing w:after="0" w:line="175" w:lineRule="exact"/>
              <w:rPr>
                <w:sz w:val="20"/>
                <w:szCs w:val="20"/>
                <w:color w:val="auto"/>
              </w:rPr>
            </w:pPr>
            <w:r>
              <w:rPr>
                <w:rFonts w:ascii="Arial" w:cs="Arial" w:eastAsia="Arial" w:hAnsi="Arial"/>
                <w:sz w:val="16"/>
                <w:szCs w:val="16"/>
                <w:color w:val="auto"/>
              </w:rPr>
              <w:t>(1,629,016)</w:t>
            </w:r>
          </w:p>
        </w:tc>
        <w:tc>
          <w:tcPr>
            <w:tcW w:w="0" w:type="dxa"/>
            <w:vAlign w:val="bottom"/>
          </w:tcPr>
          <w:p>
            <w:pPr>
              <w:spacing w:after="0"/>
              <w:rPr>
                <w:sz w:val="1"/>
                <w:szCs w:val="1"/>
                <w:color w:val="auto"/>
              </w:rPr>
            </w:pPr>
          </w:p>
        </w:tc>
      </w:tr>
      <w:tr>
        <w:trPr>
          <w:trHeight w:val="175"/>
        </w:trPr>
        <w:tc>
          <w:tcPr>
            <w:tcW w:w="6840" w:type="dxa"/>
            <w:vAlign w:val="bottom"/>
          </w:tcPr>
          <w:p>
            <w:pPr>
              <w:ind w:left="980"/>
              <w:spacing w:after="0" w:line="175" w:lineRule="exact"/>
              <w:rPr>
                <w:sz w:val="20"/>
                <w:szCs w:val="20"/>
                <w:color w:val="auto"/>
              </w:rPr>
            </w:pPr>
            <w:r>
              <w:rPr>
                <w:rFonts w:ascii="Arial" w:cs="Arial" w:eastAsia="Arial" w:hAnsi="Arial"/>
                <w:sz w:val="16"/>
                <w:szCs w:val="16"/>
                <w:color w:val="auto"/>
              </w:rPr>
              <w:t>Transfer to results of net realized loss</w:t>
            </w:r>
          </w:p>
        </w:tc>
        <w:tc>
          <w:tcPr>
            <w:tcW w:w="13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36,712</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7,789</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49,754</w:t>
            </w:r>
          </w:p>
        </w:tc>
        <w:tc>
          <w:tcPr>
            <w:tcW w:w="0" w:type="dxa"/>
            <w:vAlign w:val="bottom"/>
          </w:tcPr>
          <w:p>
            <w:pPr>
              <w:spacing w:after="0"/>
              <w:rPr>
                <w:sz w:val="1"/>
                <w:szCs w:val="1"/>
                <w:color w:val="auto"/>
              </w:rPr>
            </w:pPr>
          </w:p>
        </w:tc>
      </w:tr>
      <w:tr>
        <w:trPr>
          <w:trHeight w:val="190"/>
        </w:trPr>
        <w:tc>
          <w:tcPr>
            <w:tcW w:w="6840" w:type="dxa"/>
            <w:vAlign w:val="bottom"/>
          </w:tcPr>
          <w:p>
            <w:pPr>
              <w:ind w:left="980"/>
              <w:spacing w:after="0"/>
              <w:rPr>
                <w:sz w:val="20"/>
                <w:szCs w:val="20"/>
                <w:color w:val="auto"/>
              </w:rPr>
            </w:pPr>
            <w:r>
              <w:rPr>
                <w:rFonts w:ascii="Arial" w:cs="Arial" w:eastAsia="Arial" w:hAnsi="Arial"/>
                <w:sz w:val="16"/>
                <w:szCs w:val="16"/>
                <w:color w:val="auto"/>
              </w:rPr>
              <w:t>Transfer of recovery of credit loss to profit or loss</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32,776</w:t>
            </w:r>
          </w:p>
        </w:tc>
        <w:tc>
          <w:tcPr>
            <w:tcW w:w="1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8,716</w:t>
            </w: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63,203</w:t>
            </w:r>
          </w:p>
        </w:tc>
        <w:tc>
          <w:tcPr>
            <w:tcW w:w="0" w:type="dxa"/>
            <w:vAlign w:val="bottom"/>
          </w:tcPr>
          <w:p>
            <w:pPr>
              <w:spacing w:after="0"/>
              <w:rPr>
                <w:sz w:val="1"/>
                <w:szCs w:val="1"/>
                <w:color w:val="auto"/>
              </w:rPr>
            </w:pPr>
          </w:p>
        </w:tc>
      </w:tr>
      <w:tr>
        <w:trPr>
          <w:trHeight w:val="152"/>
        </w:trPr>
        <w:tc>
          <w:tcPr>
            <w:tcW w:w="6840" w:type="dxa"/>
            <w:vAlign w:val="bottom"/>
          </w:tcPr>
          <w:p>
            <w:pPr>
              <w:ind w:left="980"/>
              <w:spacing w:after="0" w:line="152" w:lineRule="exact"/>
              <w:rPr>
                <w:sz w:val="20"/>
                <w:szCs w:val="20"/>
                <w:color w:val="auto"/>
              </w:rPr>
            </w:pPr>
            <w:r>
              <w:rPr>
                <w:rFonts w:ascii="Arial" w:cs="Arial" w:eastAsia="Arial" w:hAnsi="Arial"/>
                <w:sz w:val="16"/>
                <w:szCs w:val="16"/>
                <w:b w:val="1"/>
                <w:bCs w:val="1"/>
                <w:color w:val="auto"/>
              </w:rPr>
              <w:t>Sub total</w:t>
            </w:r>
          </w:p>
        </w:tc>
        <w:tc>
          <w:tcPr>
            <w:tcW w:w="260" w:type="dxa"/>
            <w:vAlign w:val="bottom"/>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206,271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1,258,137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(1,516,059)</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980"/>
              <w:spacing w:after="0" w:line="175" w:lineRule="exact"/>
              <w:rPr>
                <w:sz w:val="20"/>
                <w:szCs w:val="20"/>
                <w:color w:val="auto"/>
              </w:rPr>
            </w:pPr>
            <w:r>
              <w:rPr>
                <w:rFonts w:ascii="Arial" w:cs="Arial" w:eastAsia="Arial" w:hAnsi="Arial"/>
                <w:sz w:val="16"/>
                <w:szCs w:val="16"/>
                <w:color w:val="auto"/>
              </w:rPr>
              <w:t>Non-controlling interest</w:t>
            </w:r>
          </w:p>
        </w:tc>
        <w:tc>
          <w:tcPr>
            <w:tcW w:w="13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4,612</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18,317</w:t>
            </w:r>
          </w:p>
        </w:tc>
        <w:tc>
          <w:tcPr>
            <w:tcW w:w="1780" w:type="dxa"/>
            <w:vAlign w:val="bottom"/>
            <w:gridSpan w:val="3"/>
          </w:tcPr>
          <w:p>
            <w:pPr>
              <w:jc w:val="right"/>
              <w:ind w:right="580"/>
              <w:spacing w:after="0" w:line="175" w:lineRule="exact"/>
              <w:rPr>
                <w:sz w:val="20"/>
                <w:szCs w:val="20"/>
                <w:color w:val="auto"/>
              </w:rPr>
            </w:pPr>
            <w:r>
              <w:rPr>
                <w:rFonts w:ascii="Arial" w:cs="Arial" w:eastAsia="Arial" w:hAnsi="Arial"/>
                <w:sz w:val="16"/>
                <w:szCs w:val="16"/>
                <w:color w:val="auto"/>
              </w:rPr>
              <w:t>(15,535)</w:t>
            </w:r>
          </w:p>
        </w:tc>
        <w:tc>
          <w:tcPr>
            <w:tcW w:w="0" w:type="dxa"/>
            <w:vAlign w:val="bottom"/>
          </w:tcPr>
          <w:p>
            <w:pPr>
              <w:spacing w:after="0"/>
              <w:rPr>
                <w:sz w:val="1"/>
                <w:szCs w:val="1"/>
                <w:color w:val="auto"/>
              </w:rPr>
            </w:pPr>
          </w:p>
        </w:tc>
      </w:tr>
      <w:tr>
        <w:trPr>
          <w:trHeight w:val="190"/>
        </w:trPr>
        <w:tc>
          <w:tcPr>
            <w:tcW w:w="6840" w:type="dxa"/>
            <w:vAlign w:val="bottom"/>
          </w:tcPr>
          <w:p>
            <w:pPr>
              <w:ind w:left="980"/>
              <w:spacing w:after="0"/>
              <w:rPr>
                <w:sz w:val="20"/>
                <w:szCs w:val="20"/>
                <w:color w:val="auto"/>
              </w:rPr>
            </w:pPr>
            <w:r>
              <w:rPr>
                <w:rFonts w:ascii="Arial" w:cs="Arial" w:eastAsia="Arial" w:hAnsi="Arial"/>
                <w:sz w:val="16"/>
                <w:szCs w:val="16"/>
                <w:color w:val="auto"/>
              </w:rPr>
              <w:t>Income tax</w:t>
            </w:r>
          </w:p>
        </w:tc>
        <w:tc>
          <w:tcPr>
            <w:tcW w:w="1480" w:type="dxa"/>
            <w:vAlign w:val="bottom"/>
            <w:gridSpan w:val="4"/>
          </w:tcPr>
          <w:p>
            <w:pPr>
              <w:jc w:val="right"/>
              <w:ind w:right="120"/>
              <w:spacing w:after="0"/>
              <w:rPr>
                <w:sz w:val="20"/>
                <w:szCs w:val="20"/>
                <w:color w:val="auto"/>
              </w:rPr>
            </w:pPr>
            <w:r>
              <w:rPr>
                <w:rFonts w:ascii="Arial" w:cs="Arial" w:eastAsia="Arial" w:hAnsi="Arial"/>
                <w:sz w:val="16"/>
                <w:szCs w:val="16"/>
                <w:color w:val="auto"/>
              </w:rPr>
              <w:t>(5,118)</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58,489</w:t>
            </w:r>
          </w:p>
        </w:tc>
        <w:tc>
          <w:tcPr>
            <w:tcW w:w="1780" w:type="dxa"/>
            <w:vAlign w:val="bottom"/>
            <w:gridSpan w:val="3"/>
          </w:tcPr>
          <w:p>
            <w:pPr>
              <w:jc w:val="right"/>
              <w:ind w:right="580"/>
              <w:spacing w:after="0"/>
              <w:rPr>
                <w:sz w:val="20"/>
                <w:szCs w:val="20"/>
                <w:color w:val="auto"/>
              </w:rPr>
            </w:pPr>
            <w:r>
              <w:rPr>
                <w:rFonts w:ascii="Arial" w:cs="Arial" w:eastAsia="Arial" w:hAnsi="Arial"/>
                <w:sz w:val="16"/>
                <w:szCs w:val="16"/>
                <w:color w:val="auto"/>
              </w:rPr>
              <w:t>(82,459)</w:t>
            </w:r>
          </w:p>
        </w:tc>
        <w:tc>
          <w:tcPr>
            <w:tcW w:w="0" w:type="dxa"/>
            <w:vAlign w:val="bottom"/>
          </w:tcPr>
          <w:p>
            <w:pPr>
              <w:spacing w:after="0"/>
              <w:rPr>
                <w:sz w:val="1"/>
                <w:szCs w:val="1"/>
                <w:color w:val="auto"/>
              </w:rPr>
            </w:pPr>
          </w:p>
        </w:tc>
      </w:tr>
      <w:tr>
        <w:trPr>
          <w:trHeight w:val="167"/>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205,765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1,334,943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(1,614,053)</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6840" w:type="dxa"/>
            <w:vAlign w:val="bottom"/>
          </w:tcPr>
          <w:p>
            <w:pPr>
              <w:ind w:left="840"/>
              <w:spacing w:after="0"/>
              <w:rPr>
                <w:sz w:val="20"/>
                <w:szCs w:val="20"/>
                <w:color w:val="auto"/>
              </w:rPr>
            </w:pPr>
            <w:r>
              <w:rPr>
                <w:rFonts w:ascii="Arial" w:cs="Arial" w:eastAsia="Arial" w:hAnsi="Arial"/>
                <w:sz w:val="16"/>
                <w:szCs w:val="16"/>
                <w:b w:val="1"/>
                <w:bCs w:val="1"/>
                <w:color w:val="auto"/>
              </w:rPr>
              <w:t>Cash flow hedge reserves: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980"/>
              <w:spacing w:after="0" w:line="175" w:lineRule="exact"/>
              <w:rPr>
                <w:sz w:val="20"/>
                <w:szCs w:val="20"/>
                <w:color w:val="auto"/>
              </w:rPr>
            </w:pPr>
            <w:r>
              <w:rPr>
                <w:rFonts w:ascii="Arial" w:cs="Arial" w:eastAsia="Arial" w:hAnsi="Arial"/>
                <w:sz w:val="16"/>
                <w:szCs w:val="16"/>
                <w:color w:val="auto"/>
              </w:rPr>
              <w:t>Net gain on cash flow hedges</w:t>
            </w:r>
          </w:p>
        </w:tc>
        <w:tc>
          <w:tcPr>
            <w:tcW w:w="13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27,186</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18,359</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29,109</w:t>
            </w:r>
          </w:p>
        </w:tc>
        <w:tc>
          <w:tcPr>
            <w:tcW w:w="0" w:type="dxa"/>
            <w:vAlign w:val="bottom"/>
          </w:tcPr>
          <w:p>
            <w:pPr>
              <w:spacing w:after="0"/>
              <w:rPr>
                <w:sz w:val="1"/>
                <w:szCs w:val="1"/>
                <w:color w:val="auto"/>
              </w:rPr>
            </w:pPr>
          </w:p>
        </w:tc>
      </w:tr>
      <w:tr>
        <w:trPr>
          <w:trHeight w:val="175"/>
        </w:trPr>
        <w:tc>
          <w:tcPr>
            <w:tcW w:w="6840" w:type="dxa"/>
            <w:vAlign w:val="bottom"/>
          </w:tcPr>
          <w:p>
            <w:pPr>
              <w:ind w:left="980"/>
              <w:spacing w:after="0" w:line="175" w:lineRule="exact"/>
              <w:rPr>
                <w:sz w:val="20"/>
                <w:szCs w:val="20"/>
                <w:color w:val="auto"/>
              </w:rPr>
            </w:pPr>
            <w:r>
              <w:rPr>
                <w:rFonts w:ascii="Arial" w:cs="Arial" w:eastAsia="Arial" w:hAnsi="Arial"/>
                <w:sz w:val="16"/>
                <w:szCs w:val="16"/>
                <w:color w:val="auto"/>
              </w:rPr>
              <w:t>Transfer of net realized gain on cash flow</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40" w:type="dxa"/>
            <w:vAlign w:val="bottom"/>
          </w:tcPr>
          <w:p>
            <w:pPr>
              <w:ind w:left="1020"/>
              <w:spacing w:after="0"/>
              <w:rPr>
                <w:sz w:val="20"/>
                <w:szCs w:val="20"/>
                <w:color w:val="auto"/>
              </w:rPr>
            </w:pPr>
            <w:r>
              <w:rPr>
                <w:rFonts w:ascii="Arial" w:cs="Arial" w:eastAsia="Arial" w:hAnsi="Arial"/>
                <w:sz w:val="16"/>
                <w:szCs w:val="16"/>
                <w:color w:val="auto"/>
              </w:rPr>
              <w:t>hedges derivatives to profit or loss</w:t>
            </w:r>
          </w:p>
        </w:tc>
        <w:tc>
          <w:tcPr>
            <w:tcW w:w="1480" w:type="dxa"/>
            <w:vAlign w:val="bottom"/>
            <w:gridSpan w:val="4"/>
          </w:tcPr>
          <w:p>
            <w:pPr>
              <w:jc w:val="right"/>
              <w:ind w:right="120"/>
              <w:spacing w:after="0"/>
              <w:rPr>
                <w:sz w:val="20"/>
                <w:szCs w:val="20"/>
                <w:color w:val="auto"/>
              </w:rPr>
            </w:pPr>
            <w:r>
              <w:rPr>
                <w:rFonts w:ascii="Arial" w:cs="Arial" w:eastAsia="Arial" w:hAnsi="Arial"/>
                <w:sz w:val="16"/>
                <w:szCs w:val="16"/>
                <w:color w:val="auto"/>
              </w:rPr>
              <w:t>(17,416)</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(30,550)</w:t>
            </w:r>
          </w:p>
        </w:tc>
        <w:tc>
          <w:tcPr>
            <w:tcW w:w="1780" w:type="dxa"/>
            <w:vAlign w:val="bottom"/>
            <w:gridSpan w:val="3"/>
          </w:tcPr>
          <w:p>
            <w:pPr>
              <w:jc w:val="right"/>
              <w:ind w:right="580"/>
              <w:spacing w:after="0"/>
              <w:rPr>
                <w:sz w:val="20"/>
                <w:szCs w:val="20"/>
                <w:color w:val="auto"/>
              </w:rPr>
            </w:pPr>
            <w:r>
              <w:rPr>
                <w:rFonts w:ascii="Arial" w:cs="Arial" w:eastAsia="Arial" w:hAnsi="Arial"/>
                <w:sz w:val="16"/>
                <w:szCs w:val="16"/>
                <w:color w:val="auto"/>
              </w:rPr>
              <w:t>(28,048)</w:t>
            </w:r>
          </w:p>
        </w:tc>
        <w:tc>
          <w:tcPr>
            <w:tcW w:w="0" w:type="dxa"/>
            <w:vAlign w:val="bottom"/>
          </w:tcPr>
          <w:p>
            <w:pPr>
              <w:spacing w:after="0"/>
              <w:rPr>
                <w:sz w:val="1"/>
                <w:szCs w:val="1"/>
                <w:color w:val="auto"/>
              </w:rPr>
            </w:pPr>
          </w:p>
        </w:tc>
      </w:tr>
      <w:tr>
        <w:trPr>
          <w:trHeight w:val="152"/>
        </w:trPr>
        <w:tc>
          <w:tcPr>
            <w:tcW w:w="6840" w:type="dxa"/>
            <w:vAlign w:val="bottom"/>
          </w:tcPr>
          <w:p>
            <w:pPr>
              <w:ind w:left="840"/>
              <w:spacing w:after="0" w:line="152" w:lineRule="exact"/>
              <w:rPr>
                <w:sz w:val="20"/>
                <w:szCs w:val="20"/>
                <w:color w:val="auto"/>
              </w:rPr>
            </w:pPr>
            <w:r>
              <w:rPr>
                <w:rFonts w:ascii="Arial" w:cs="Arial" w:eastAsia="Arial" w:hAnsi="Arial"/>
                <w:sz w:val="16"/>
                <w:szCs w:val="16"/>
                <w:b w:val="1"/>
                <w:bCs w:val="1"/>
                <w:color w:val="auto"/>
              </w:rPr>
              <w:t>Sub total</w:t>
            </w:r>
          </w:p>
        </w:tc>
        <w:tc>
          <w:tcPr>
            <w:tcW w:w="26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20"/>
              <w:spacing w:after="0" w:line="152" w:lineRule="exact"/>
              <w:rPr>
                <w:sz w:val="20"/>
                <w:szCs w:val="20"/>
                <w:color w:val="auto"/>
              </w:rPr>
            </w:pPr>
            <w:r>
              <w:rPr>
                <w:rFonts w:ascii="Arial" w:cs="Arial" w:eastAsia="Arial" w:hAnsi="Arial"/>
                <w:sz w:val="16"/>
                <w:szCs w:val="16"/>
                <w:color w:val="auto"/>
              </w:rPr>
              <w:t>9,770</w:t>
            </w:r>
          </w:p>
        </w:tc>
        <w:tc>
          <w:tcPr>
            <w:tcW w:w="160" w:type="dxa"/>
            <w:vAlign w:val="bottom"/>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(12,191)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1,061</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980"/>
              <w:spacing w:after="0" w:line="175" w:lineRule="exact"/>
              <w:rPr>
                <w:sz w:val="20"/>
                <w:szCs w:val="20"/>
                <w:color w:val="auto"/>
              </w:rPr>
            </w:pPr>
            <w:r>
              <w:rPr>
                <w:rFonts w:ascii="Arial" w:cs="Arial" w:eastAsia="Arial" w:hAnsi="Arial"/>
                <w:sz w:val="16"/>
                <w:szCs w:val="16"/>
                <w:color w:val="auto"/>
              </w:rPr>
              <w:t>Non-controlling interest</w:t>
            </w:r>
          </w:p>
        </w:tc>
        <w:tc>
          <w:tcPr>
            <w:tcW w:w="13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(148)</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0"/>
        </w:trPr>
        <w:tc>
          <w:tcPr>
            <w:tcW w:w="6840" w:type="dxa"/>
            <w:vAlign w:val="bottom"/>
          </w:tcPr>
          <w:p>
            <w:pPr>
              <w:ind w:left="980"/>
              <w:spacing w:after="0"/>
              <w:rPr>
                <w:sz w:val="20"/>
                <w:szCs w:val="20"/>
                <w:color w:val="auto"/>
              </w:rPr>
            </w:pPr>
            <w:r>
              <w:rPr>
                <w:rFonts w:ascii="Arial" w:cs="Arial" w:eastAsia="Arial" w:hAnsi="Arial"/>
                <w:sz w:val="16"/>
                <w:szCs w:val="16"/>
                <w:color w:val="auto"/>
              </w:rPr>
              <w:t>Income tax</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4,030</w:t>
            </w:r>
          </w:p>
        </w:tc>
        <w:tc>
          <w:tcPr>
            <w:tcW w:w="16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(5,104)</w:t>
            </w: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67"/>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13,925</w:t>
            </w:r>
          </w:p>
        </w:tc>
        <w:tc>
          <w:tcPr>
            <w:tcW w:w="160" w:type="dxa"/>
            <w:vAlign w:val="bottom"/>
          </w:tcPr>
          <w:p>
            <w:pPr>
              <w:spacing w:after="0"/>
              <w:rPr>
                <w:sz w:val="14"/>
                <w:szCs w:val="14"/>
                <w:color w:val="auto"/>
              </w:rPr>
            </w:pPr>
          </w:p>
        </w:tc>
        <w:tc>
          <w:tcPr>
            <w:tcW w:w="10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(17,443)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1,246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6840" w:type="dxa"/>
            <w:vAlign w:val="bottom"/>
          </w:tcPr>
          <w:p>
            <w:pPr>
              <w:ind w:left="840"/>
              <w:spacing w:after="0"/>
              <w:rPr>
                <w:sz w:val="20"/>
                <w:szCs w:val="20"/>
                <w:color w:val="auto"/>
              </w:rPr>
            </w:pPr>
            <w:r>
              <w:rPr>
                <w:rFonts w:ascii="Arial" w:cs="Arial" w:eastAsia="Arial" w:hAnsi="Arial"/>
                <w:sz w:val="16"/>
                <w:szCs w:val="16"/>
                <w:b w:val="1"/>
                <w:bCs w:val="1"/>
                <w:color w:val="auto"/>
              </w:rPr>
              <w:t>Other reserves:</w:t>
            </w:r>
          </w:p>
        </w:tc>
        <w:tc>
          <w:tcPr>
            <w:tcW w:w="2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980"/>
              <w:spacing w:after="0" w:line="175" w:lineRule="exact"/>
              <w:rPr>
                <w:sz w:val="20"/>
                <w:szCs w:val="20"/>
                <w:color w:val="auto"/>
              </w:rPr>
            </w:pPr>
            <w:r>
              <w:rPr>
                <w:rFonts w:ascii="Arial" w:cs="Arial" w:eastAsia="Arial" w:hAnsi="Arial"/>
                <w:sz w:val="16"/>
                <w:szCs w:val="16"/>
                <w:color w:val="auto"/>
              </w:rPr>
              <w:t>Insurances reserves</w:t>
            </w:r>
          </w:p>
        </w:tc>
        <w:tc>
          <w:tcPr>
            <w:tcW w:w="1480" w:type="dxa"/>
            <w:vAlign w:val="bottom"/>
            <w:gridSpan w:val="4"/>
          </w:tcPr>
          <w:p>
            <w:pPr>
              <w:jc w:val="right"/>
              <w:ind w:right="120"/>
              <w:spacing w:after="0" w:line="175" w:lineRule="exact"/>
              <w:rPr>
                <w:sz w:val="20"/>
                <w:szCs w:val="20"/>
                <w:color w:val="auto"/>
              </w:rPr>
            </w:pPr>
            <w:r>
              <w:rPr>
                <w:rFonts w:ascii="Arial" w:cs="Arial" w:eastAsia="Arial" w:hAnsi="Arial"/>
                <w:sz w:val="16"/>
                <w:szCs w:val="16"/>
                <w:color w:val="auto"/>
              </w:rPr>
              <w:t>(69,383)</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(754,192)</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1,133,536</w:t>
            </w:r>
          </w:p>
        </w:tc>
        <w:tc>
          <w:tcPr>
            <w:tcW w:w="0" w:type="dxa"/>
            <w:vAlign w:val="bottom"/>
          </w:tcPr>
          <w:p>
            <w:pPr>
              <w:spacing w:after="0"/>
              <w:rPr>
                <w:sz w:val="1"/>
                <w:szCs w:val="1"/>
                <w:color w:val="auto"/>
              </w:rPr>
            </w:pPr>
          </w:p>
        </w:tc>
      </w:tr>
      <w:tr>
        <w:trPr>
          <w:trHeight w:val="190"/>
        </w:trPr>
        <w:tc>
          <w:tcPr>
            <w:tcW w:w="6840" w:type="dxa"/>
            <w:vAlign w:val="bottom"/>
          </w:tcPr>
          <w:p>
            <w:pPr>
              <w:ind w:left="980"/>
              <w:spacing w:after="0"/>
              <w:rPr>
                <w:sz w:val="20"/>
                <w:szCs w:val="20"/>
                <w:color w:val="auto"/>
              </w:rPr>
            </w:pPr>
            <w:r>
              <w:rPr>
                <w:rFonts w:ascii="Arial" w:cs="Arial" w:eastAsia="Arial" w:hAnsi="Arial"/>
                <w:sz w:val="16"/>
                <w:szCs w:val="16"/>
                <w:color w:val="auto"/>
              </w:rPr>
              <w:t>Non-controlling interest</w:t>
            </w:r>
          </w:p>
        </w:tc>
        <w:tc>
          <w:tcPr>
            <w:tcW w:w="1480" w:type="dxa"/>
            <w:vAlign w:val="bottom"/>
            <w:gridSpan w:val="4"/>
          </w:tcPr>
          <w:p>
            <w:pPr>
              <w:jc w:val="right"/>
              <w:ind w:right="120"/>
              <w:spacing w:after="0"/>
              <w:rPr>
                <w:sz w:val="20"/>
                <w:szCs w:val="20"/>
                <w:color w:val="auto"/>
              </w:rPr>
            </w:pPr>
            <w:r>
              <w:rPr>
                <w:rFonts w:ascii="Arial" w:cs="Arial" w:eastAsia="Arial" w:hAnsi="Arial"/>
                <w:sz w:val="16"/>
                <w:szCs w:val="16"/>
                <w:color w:val="auto"/>
              </w:rPr>
              <w:t>(793)</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(8,619)</w:t>
            </w: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10,604</w:t>
            </w:r>
          </w:p>
        </w:tc>
        <w:tc>
          <w:tcPr>
            <w:tcW w:w="0" w:type="dxa"/>
            <w:vAlign w:val="bottom"/>
          </w:tcPr>
          <w:p>
            <w:pPr>
              <w:spacing w:after="0"/>
              <w:rPr>
                <w:sz w:val="1"/>
                <w:szCs w:val="1"/>
                <w:color w:val="auto"/>
              </w:rPr>
            </w:pPr>
          </w:p>
        </w:tc>
      </w:tr>
      <w:tr>
        <w:trPr>
          <w:trHeight w:val="167"/>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(70,176)</w:t>
            </w:r>
          </w:p>
        </w:tc>
        <w:tc>
          <w:tcPr>
            <w:tcW w:w="180" w:type="dxa"/>
            <w:vAlign w:val="bottom"/>
            <w:gridSpan w:val="2"/>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(762,811)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1,144,140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6840" w:type="dxa"/>
            <w:vAlign w:val="bottom"/>
          </w:tcPr>
          <w:p>
            <w:pPr>
              <w:ind w:left="840"/>
              <w:spacing w:after="0"/>
              <w:rPr>
                <w:sz w:val="20"/>
                <w:szCs w:val="20"/>
                <w:color w:val="auto"/>
              </w:rPr>
            </w:pPr>
            <w:r>
              <w:rPr>
                <w:rFonts w:ascii="Arial" w:cs="Arial" w:eastAsia="Arial" w:hAnsi="Arial"/>
                <w:sz w:val="16"/>
                <w:szCs w:val="16"/>
                <w:b w:val="1"/>
                <w:bCs w:val="1"/>
                <w:color w:val="auto"/>
              </w:rPr>
              <w:t>Foreign exchange traslation:</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980"/>
              <w:spacing w:after="0" w:line="175" w:lineRule="exact"/>
              <w:rPr>
                <w:sz w:val="20"/>
                <w:szCs w:val="20"/>
                <w:color w:val="auto"/>
              </w:rPr>
            </w:pPr>
            <w:r>
              <w:rPr>
                <w:rFonts w:ascii="Arial" w:cs="Arial" w:eastAsia="Arial" w:hAnsi="Arial"/>
                <w:sz w:val="16"/>
                <w:szCs w:val="16"/>
                <w:color w:val="auto"/>
              </w:rPr>
              <w:t>Exchange gains or losses</w:t>
            </w:r>
          </w:p>
        </w:tc>
        <w:tc>
          <w:tcPr>
            <w:tcW w:w="1480" w:type="dxa"/>
            <w:vAlign w:val="bottom"/>
            <w:gridSpan w:val="4"/>
          </w:tcPr>
          <w:p>
            <w:pPr>
              <w:jc w:val="right"/>
              <w:ind w:right="120"/>
              <w:spacing w:after="0" w:line="175" w:lineRule="exact"/>
              <w:rPr>
                <w:sz w:val="20"/>
                <w:szCs w:val="20"/>
                <w:color w:val="auto"/>
              </w:rPr>
            </w:pPr>
            <w:r>
              <w:rPr>
                <w:rFonts w:ascii="Arial" w:cs="Arial" w:eastAsia="Arial" w:hAnsi="Arial"/>
                <w:sz w:val="16"/>
                <w:szCs w:val="16"/>
                <w:color w:val="auto"/>
              </w:rPr>
              <w:t>(114,143)</w:t>
            </w: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73,498</w:t>
            </w:r>
          </w:p>
        </w:tc>
        <w:tc>
          <w:tcPr>
            <w:tcW w:w="1780" w:type="dxa"/>
            <w:vAlign w:val="bottom"/>
            <w:gridSpan w:val="3"/>
          </w:tcPr>
          <w:p>
            <w:pPr>
              <w:jc w:val="right"/>
              <w:ind w:right="580"/>
              <w:spacing w:after="0" w:line="175" w:lineRule="exact"/>
              <w:rPr>
                <w:sz w:val="20"/>
                <w:szCs w:val="20"/>
                <w:color w:val="auto"/>
              </w:rPr>
            </w:pPr>
            <w:r>
              <w:rPr>
                <w:rFonts w:ascii="Arial" w:cs="Arial" w:eastAsia="Arial" w:hAnsi="Arial"/>
                <w:sz w:val="16"/>
                <w:szCs w:val="16"/>
                <w:color w:val="auto"/>
              </w:rPr>
              <w:t>(301,969)</w:t>
            </w:r>
          </w:p>
        </w:tc>
        <w:tc>
          <w:tcPr>
            <w:tcW w:w="0" w:type="dxa"/>
            <w:vAlign w:val="bottom"/>
          </w:tcPr>
          <w:p>
            <w:pPr>
              <w:spacing w:after="0"/>
              <w:rPr>
                <w:sz w:val="1"/>
                <w:szCs w:val="1"/>
                <w:color w:val="auto"/>
              </w:rPr>
            </w:pPr>
          </w:p>
        </w:tc>
      </w:tr>
      <w:tr>
        <w:trPr>
          <w:trHeight w:val="190"/>
        </w:trPr>
        <w:tc>
          <w:tcPr>
            <w:tcW w:w="6840" w:type="dxa"/>
            <w:vAlign w:val="bottom"/>
          </w:tcPr>
          <w:p>
            <w:pPr>
              <w:ind w:left="980"/>
              <w:spacing w:after="0"/>
              <w:rPr>
                <w:sz w:val="20"/>
                <w:szCs w:val="20"/>
                <w:color w:val="auto"/>
              </w:rPr>
            </w:pPr>
            <w:r>
              <w:rPr>
                <w:rFonts w:ascii="Arial" w:cs="Arial" w:eastAsia="Arial" w:hAnsi="Arial"/>
                <w:sz w:val="16"/>
                <w:szCs w:val="16"/>
                <w:color w:val="auto"/>
              </w:rPr>
              <w:t>Net movement in hedges of net investments in foreign businesses</w:t>
            </w:r>
          </w:p>
        </w:tc>
        <w:tc>
          <w:tcPr>
            <w:tcW w:w="260" w:type="dxa"/>
            <w:vAlign w:val="bottom"/>
          </w:tcPr>
          <w:p>
            <w:pPr>
              <w:spacing w:after="0"/>
              <w:rPr>
                <w:sz w:val="16"/>
                <w:szCs w:val="16"/>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18,950</w:t>
            </w: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39,587</w:t>
            </w:r>
          </w:p>
        </w:tc>
        <w:tc>
          <w:tcPr>
            <w:tcW w:w="0" w:type="dxa"/>
            <w:vAlign w:val="bottom"/>
          </w:tcPr>
          <w:p>
            <w:pPr>
              <w:spacing w:after="0"/>
              <w:rPr>
                <w:sz w:val="1"/>
                <w:szCs w:val="1"/>
                <w:color w:val="auto"/>
              </w:rPr>
            </w:pPr>
          </w:p>
        </w:tc>
      </w:tr>
      <w:tr>
        <w:trPr>
          <w:trHeight w:val="152"/>
        </w:trPr>
        <w:tc>
          <w:tcPr>
            <w:tcW w:w="6840" w:type="dxa"/>
            <w:vAlign w:val="bottom"/>
          </w:tcPr>
          <w:p>
            <w:pPr>
              <w:ind w:left="840"/>
              <w:spacing w:after="0" w:line="152" w:lineRule="exact"/>
              <w:rPr>
                <w:sz w:val="20"/>
                <w:szCs w:val="20"/>
                <w:color w:val="auto"/>
              </w:rPr>
            </w:pPr>
            <w:r>
              <w:rPr>
                <w:rFonts w:ascii="Arial" w:cs="Arial" w:eastAsia="Arial" w:hAnsi="Arial"/>
                <w:sz w:val="16"/>
                <w:szCs w:val="16"/>
                <w:b w:val="1"/>
                <w:bCs w:val="1"/>
                <w:color w:val="auto"/>
              </w:rPr>
              <w:t>Sub total</w:t>
            </w:r>
          </w:p>
        </w:tc>
        <w:tc>
          <w:tcPr>
            <w:tcW w:w="260" w:type="dxa"/>
            <w:vAlign w:val="bottom"/>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(114,143)</w:t>
            </w:r>
          </w:p>
        </w:tc>
        <w:tc>
          <w:tcPr>
            <w:tcW w:w="180" w:type="dxa"/>
            <w:vAlign w:val="bottom"/>
            <w:gridSpan w:val="2"/>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92,448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(262,382)</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840" w:type="dxa"/>
            <w:vAlign w:val="bottom"/>
          </w:tcPr>
          <w:p>
            <w:pPr>
              <w:ind w:left="980"/>
              <w:spacing w:after="0"/>
              <w:rPr>
                <w:sz w:val="20"/>
                <w:szCs w:val="20"/>
                <w:color w:val="auto"/>
              </w:rPr>
            </w:pPr>
            <w:r>
              <w:rPr>
                <w:rFonts w:ascii="Arial" w:cs="Arial" w:eastAsia="Arial" w:hAnsi="Arial"/>
                <w:sz w:val="16"/>
                <w:szCs w:val="16"/>
                <w:color w:val="auto"/>
              </w:rPr>
              <w:t>Non-controlling interest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1780" w:type="dxa"/>
            <w:vAlign w:val="bottom"/>
            <w:gridSpan w:val="3"/>
          </w:tcPr>
          <w:p>
            <w:pPr>
              <w:jc w:val="right"/>
              <w:ind w:right="58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70"/>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(114,142)</w:t>
            </w:r>
          </w:p>
        </w:tc>
        <w:tc>
          <w:tcPr>
            <w:tcW w:w="180" w:type="dxa"/>
            <w:vAlign w:val="bottom"/>
            <w:gridSpan w:val="2"/>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92,414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(262,496)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0"/>
        </w:trPr>
        <w:tc>
          <w:tcPr>
            <w:tcW w:w="6840" w:type="dxa"/>
            <w:vAlign w:val="bottom"/>
          </w:tcPr>
          <w:p>
            <w:pPr>
              <w:ind w:left="5520"/>
              <w:spacing w:after="0"/>
              <w:rPr>
                <w:sz w:val="20"/>
                <w:szCs w:val="20"/>
                <w:color w:val="auto"/>
              </w:rPr>
            </w:pPr>
            <w:r>
              <w:rPr>
                <w:rFonts w:ascii="Arial" w:cs="Arial" w:eastAsia="Arial" w:hAnsi="Arial"/>
                <w:sz w:val="12"/>
                <w:szCs w:val="12"/>
                <w:color w:val="auto"/>
              </w:rPr>
              <w:t>-99-</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02" w:name="page103"/>
    <w:bookmarkEnd w:id="102"/>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22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602"/>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16"/>
                <w:szCs w:val="16"/>
                <w:color w:val="auto"/>
              </w:rPr>
            </w:pPr>
          </w:p>
        </w:tc>
        <w:tc>
          <w:tcPr>
            <w:tcW w:w="1140" w:type="dxa"/>
            <w:vAlign w:val="bottom"/>
            <w:gridSpan w:val="2"/>
          </w:tcPr>
          <w:p>
            <w:pPr>
              <w:jc w:val="right"/>
              <w:ind w:right="64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36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Not to be reclassified to the consolidated statement of income in later periods:</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6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360" w:type="dxa"/>
            <w:vAlign w:val="bottom"/>
          </w:tcPr>
          <w:p>
            <w:pPr>
              <w:ind w:left="280"/>
              <w:spacing w:after="0" w:line="177" w:lineRule="exact"/>
              <w:rPr>
                <w:sz w:val="20"/>
                <w:szCs w:val="20"/>
                <w:color w:val="auto"/>
              </w:rPr>
            </w:pPr>
            <w:r>
              <w:rPr>
                <w:rFonts w:ascii="Arial" w:cs="Arial" w:eastAsia="Arial" w:hAnsi="Arial"/>
                <w:sz w:val="16"/>
                <w:szCs w:val="16"/>
                <w:b w:val="1"/>
                <w:bCs w:val="1"/>
                <w:color w:val="auto"/>
              </w:rPr>
              <w:t>Equity instruments at fair value with changes in other comprehensive income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420"/>
              <w:spacing w:after="0" w:line="175" w:lineRule="exact"/>
              <w:rPr>
                <w:sz w:val="20"/>
                <w:szCs w:val="20"/>
                <w:color w:val="auto"/>
              </w:rPr>
            </w:pPr>
            <w:r>
              <w:rPr>
                <w:rFonts w:ascii="Arial" w:cs="Arial" w:eastAsia="Arial" w:hAnsi="Arial"/>
                <w:sz w:val="16"/>
                <w:szCs w:val="16"/>
                <w:color w:val="auto"/>
              </w:rPr>
              <w:t>Net unrealized gain (loss)</w:t>
            </w:r>
          </w:p>
        </w:tc>
        <w:tc>
          <w:tcPr>
            <w:tcW w:w="12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24,116</w:t>
            </w:r>
          </w:p>
        </w:tc>
        <w:tc>
          <w:tcPr>
            <w:tcW w:w="160" w:type="dxa"/>
            <w:vAlign w:val="bottom"/>
          </w:tcPr>
          <w:p>
            <w:pPr>
              <w:spacing w:after="0"/>
              <w:rPr>
                <w:sz w:val="15"/>
                <w:szCs w:val="15"/>
                <w:color w:val="auto"/>
              </w:rPr>
            </w:pP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(12,247)</w:t>
            </w:r>
          </w:p>
        </w:tc>
        <w:tc>
          <w:tcPr>
            <w:tcW w:w="120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(36,477)</w:t>
            </w:r>
          </w:p>
        </w:tc>
        <w:tc>
          <w:tcPr>
            <w:tcW w:w="0" w:type="dxa"/>
            <w:vAlign w:val="bottom"/>
          </w:tcPr>
          <w:p>
            <w:pPr>
              <w:spacing w:after="0"/>
              <w:rPr>
                <w:sz w:val="1"/>
                <w:szCs w:val="1"/>
                <w:color w:val="auto"/>
              </w:rPr>
            </w:pPr>
          </w:p>
        </w:tc>
      </w:tr>
      <w:tr>
        <w:trPr>
          <w:trHeight w:val="190"/>
        </w:trPr>
        <w:tc>
          <w:tcPr>
            <w:tcW w:w="6360" w:type="dxa"/>
            <w:vAlign w:val="bottom"/>
          </w:tcPr>
          <w:p>
            <w:pPr>
              <w:ind w:left="420"/>
              <w:spacing w:after="0"/>
              <w:rPr>
                <w:sz w:val="20"/>
                <w:szCs w:val="20"/>
                <w:color w:val="auto"/>
              </w:rPr>
            </w:pPr>
            <w:r>
              <w:rPr>
                <w:rFonts w:ascii="Arial" w:cs="Arial" w:eastAsia="Arial" w:hAnsi="Arial"/>
                <w:sz w:val="16"/>
                <w:szCs w:val="16"/>
                <w:color w:val="auto"/>
              </w:rPr>
              <w:t>Transfer to accumulated results from investment sale</w:t>
            </w:r>
          </w:p>
        </w:tc>
        <w:tc>
          <w:tcPr>
            <w:tcW w:w="1400" w:type="dxa"/>
            <w:vAlign w:val="bottom"/>
            <w:gridSpan w:val="4"/>
          </w:tcPr>
          <w:p>
            <w:pPr>
              <w:jc w:val="right"/>
              <w:ind w:right="120"/>
              <w:spacing w:after="0"/>
              <w:rPr>
                <w:sz w:val="20"/>
                <w:szCs w:val="20"/>
                <w:color w:val="auto"/>
              </w:rPr>
            </w:pPr>
            <w:r>
              <w:rPr>
                <w:rFonts w:ascii="Arial" w:cs="Arial" w:eastAsia="Arial" w:hAnsi="Arial"/>
                <w:sz w:val="16"/>
                <w:szCs w:val="16"/>
                <w:color w:val="auto"/>
              </w:rPr>
              <w:t>(137,787)</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6360" w:type="dxa"/>
            <w:vAlign w:val="bottom"/>
          </w:tcPr>
          <w:p>
            <w:pPr>
              <w:ind w:left="280"/>
              <w:spacing w:after="0" w:line="152" w:lineRule="exact"/>
              <w:rPr>
                <w:sz w:val="20"/>
                <w:szCs w:val="20"/>
                <w:color w:val="auto"/>
              </w:rPr>
            </w:pPr>
            <w:r>
              <w:rPr>
                <w:rFonts w:ascii="Arial" w:cs="Arial" w:eastAsia="Arial" w:hAnsi="Arial"/>
                <w:sz w:val="16"/>
                <w:szCs w:val="16"/>
                <w:b w:val="1"/>
                <w:bCs w:val="1"/>
                <w:color w:val="auto"/>
              </w:rPr>
              <w:t>Sub total</w:t>
            </w:r>
          </w:p>
        </w:tc>
        <w:tc>
          <w:tcPr>
            <w:tcW w:w="180" w:type="dxa"/>
            <w:vAlign w:val="bottom"/>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(113,671)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(12,247)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(36,477)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440"/>
              <w:spacing w:after="0" w:line="175" w:lineRule="exact"/>
              <w:rPr>
                <w:sz w:val="20"/>
                <w:szCs w:val="20"/>
                <w:color w:val="auto"/>
              </w:rPr>
            </w:pPr>
            <w:r>
              <w:rPr>
                <w:rFonts w:ascii="Arial" w:cs="Arial" w:eastAsia="Arial" w:hAnsi="Arial"/>
                <w:sz w:val="16"/>
                <w:szCs w:val="16"/>
                <w:color w:val="auto"/>
              </w:rPr>
              <w:t>Non-controlling interest</w:t>
            </w:r>
          </w:p>
        </w:tc>
        <w:tc>
          <w:tcPr>
            <w:tcW w:w="12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127</w:t>
            </w:r>
          </w:p>
        </w:tc>
        <w:tc>
          <w:tcPr>
            <w:tcW w:w="12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0"/>
        </w:trPr>
        <w:tc>
          <w:tcPr>
            <w:tcW w:w="6360" w:type="dxa"/>
            <w:vAlign w:val="bottom"/>
          </w:tcPr>
          <w:p>
            <w:pPr>
              <w:ind w:left="440"/>
              <w:spacing w:after="0"/>
              <w:rPr>
                <w:sz w:val="20"/>
                <w:szCs w:val="20"/>
                <w:color w:val="auto"/>
              </w:rPr>
            </w:pPr>
            <w:r>
              <w:rPr>
                <w:rFonts w:ascii="Arial" w:cs="Arial" w:eastAsia="Arial" w:hAnsi="Arial"/>
                <w:sz w:val="16"/>
                <w:szCs w:val="16"/>
                <w:color w:val="auto"/>
              </w:rPr>
              <w:t>Income tax</w:t>
            </w:r>
          </w:p>
        </w:tc>
        <w:tc>
          <w:tcPr>
            <w:tcW w:w="1400" w:type="dxa"/>
            <w:vAlign w:val="bottom"/>
            <w:gridSpan w:val="4"/>
          </w:tcPr>
          <w:p>
            <w:pPr>
              <w:jc w:val="right"/>
              <w:ind w:right="120"/>
              <w:spacing w:after="0"/>
              <w:rPr>
                <w:sz w:val="20"/>
                <w:szCs w:val="20"/>
                <w:color w:val="auto"/>
              </w:rPr>
            </w:pPr>
            <w:r>
              <w:rPr>
                <w:rFonts w:ascii="Arial" w:cs="Arial" w:eastAsia="Arial" w:hAnsi="Arial"/>
                <w:sz w:val="16"/>
                <w:szCs w:val="16"/>
                <w:color w:val="auto"/>
              </w:rPr>
              <w:t>(8,439)</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3,791</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167"/>
        </w:trPr>
        <w:tc>
          <w:tcPr>
            <w:tcW w:w="636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Attributable to:</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(122,103)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(8,329)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(38,563)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3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440"/>
              <w:spacing w:after="0" w:line="175" w:lineRule="exact"/>
              <w:rPr>
                <w:sz w:val="20"/>
                <w:szCs w:val="20"/>
                <w:color w:val="auto"/>
              </w:rPr>
            </w:pPr>
            <w:r>
              <w:rPr>
                <w:rFonts w:ascii="Arial" w:cs="Arial" w:eastAsia="Arial" w:hAnsi="Arial"/>
                <w:sz w:val="16"/>
                <w:szCs w:val="16"/>
                <w:color w:val="auto"/>
              </w:rPr>
              <w:t>Credicorp's equity holders</w:t>
            </w:r>
          </w:p>
        </w:tc>
        <w:tc>
          <w:tcPr>
            <w:tcW w:w="1400" w:type="dxa"/>
            <w:vAlign w:val="bottom"/>
            <w:gridSpan w:val="4"/>
          </w:tcPr>
          <w:p>
            <w:pPr>
              <w:jc w:val="right"/>
              <w:ind w:right="120"/>
              <w:spacing w:after="0" w:line="175" w:lineRule="exact"/>
              <w:rPr>
                <w:sz w:val="20"/>
                <w:szCs w:val="20"/>
                <w:color w:val="auto"/>
              </w:rPr>
            </w:pPr>
            <w:r>
              <w:rPr>
                <w:rFonts w:ascii="Arial" w:cs="Arial" w:eastAsia="Arial" w:hAnsi="Arial"/>
                <w:sz w:val="16"/>
                <w:szCs w:val="16"/>
                <w:color w:val="auto"/>
              </w:rPr>
              <w:t>(81,156)</w:t>
            </w: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571,955</w:t>
            </w:r>
          </w:p>
        </w:tc>
        <w:tc>
          <w:tcPr>
            <w:tcW w:w="120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(680,321)</w:t>
            </w:r>
          </w:p>
        </w:tc>
        <w:tc>
          <w:tcPr>
            <w:tcW w:w="0" w:type="dxa"/>
            <w:vAlign w:val="bottom"/>
          </w:tcPr>
          <w:p>
            <w:pPr>
              <w:spacing w:after="0"/>
              <w:rPr>
                <w:sz w:val="1"/>
                <w:szCs w:val="1"/>
                <w:color w:val="auto"/>
              </w:rPr>
            </w:pPr>
          </w:p>
        </w:tc>
      </w:tr>
      <w:tr>
        <w:trPr>
          <w:trHeight w:val="190"/>
        </w:trPr>
        <w:tc>
          <w:tcPr>
            <w:tcW w:w="6360" w:type="dxa"/>
            <w:vAlign w:val="bottom"/>
          </w:tcPr>
          <w:p>
            <w:pPr>
              <w:ind w:left="440"/>
              <w:spacing w:after="0"/>
              <w:rPr>
                <w:sz w:val="20"/>
                <w:szCs w:val="20"/>
                <w:color w:val="auto"/>
              </w:rPr>
            </w:pPr>
            <w:r>
              <w:rPr>
                <w:rFonts w:ascii="Arial" w:cs="Arial" w:eastAsia="Arial" w:hAnsi="Arial"/>
                <w:sz w:val="16"/>
                <w:szCs w:val="16"/>
                <w:color w:val="auto"/>
              </w:rPr>
              <w:t>Non-controlling interest</w:t>
            </w: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3,952</w:t>
            </w:r>
          </w:p>
        </w:tc>
        <w:tc>
          <w:tcPr>
            <w:tcW w:w="1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9,643</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(4,995)</w:t>
            </w:r>
          </w:p>
        </w:tc>
        <w:tc>
          <w:tcPr>
            <w:tcW w:w="0" w:type="dxa"/>
            <w:vAlign w:val="bottom"/>
          </w:tcPr>
          <w:p>
            <w:pPr>
              <w:spacing w:after="0"/>
              <w:rPr>
                <w:sz w:val="1"/>
                <w:szCs w:val="1"/>
                <w:color w:val="auto"/>
              </w:rPr>
            </w:pPr>
          </w:p>
        </w:tc>
      </w:tr>
      <w:tr>
        <w:trPr>
          <w:trHeight w:val="170"/>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(77,204)</w:t>
            </w:r>
          </w:p>
        </w:tc>
        <w:tc>
          <w:tcPr>
            <w:tcW w:w="160" w:type="dxa"/>
            <w:vAlign w:val="bottom"/>
          </w:tcPr>
          <w:p>
            <w:pPr>
              <w:spacing w:after="0"/>
              <w:rPr>
                <w:sz w:val="14"/>
                <w:szCs w:val="14"/>
                <w:color w:val="auto"/>
              </w:rPr>
            </w:pPr>
          </w:p>
        </w:tc>
        <w:tc>
          <w:tcPr>
            <w:tcW w:w="10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581,598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(685,316)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6360" w:type="dxa"/>
            <w:vAlign w:val="bottom"/>
          </w:tcPr>
          <w:p>
            <w:pPr>
              <w:spacing w:after="0"/>
              <w:rPr>
                <w:sz w:val="20"/>
                <w:szCs w:val="20"/>
                <w:color w:val="auto"/>
              </w:rPr>
            </w:pPr>
            <w:r>
              <w:rPr>
                <w:rFonts w:ascii="Arial" w:cs="Arial" w:eastAsia="Arial" w:hAnsi="Arial"/>
                <w:sz w:val="16"/>
                <w:szCs w:val="16"/>
                <w:color w:val="auto"/>
              </w:rPr>
              <w:t>e)  Dividend distribution –</w:t>
            </w:r>
          </w:p>
        </w:tc>
        <w:tc>
          <w:tcPr>
            <w:tcW w:w="1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360" w:type="dxa"/>
            <w:vAlign w:val="bottom"/>
          </w:tcPr>
          <w:p>
            <w:pPr>
              <w:ind w:left="320"/>
              <w:spacing w:after="0"/>
              <w:rPr>
                <w:sz w:val="20"/>
                <w:szCs w:val="20"/>
                <w:color w:val="auto"/>
              </w:rPr>
            </w:pPr>
            <w:r>
              <w:rPr>
                <w:rFonts w:ascii="Arial" w:cs="Arial" w:eastAsia="Arial" w:hAnsi="Arial"/>
                <w:sz w:val="16"/>
                <w:szCs w:val="16"/>
                <w:color w:val="auto"/>
                <w:w w:val="99"/>
              </w:rPr>
              <w:t>The chart below shows the distribution of dividends agreed by the Board of Directors: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622"/>
              <w:spacing w:after="0"/>
              <w:rPr>
                <w:sz w:val="20"/>
                <w:szCs w:val="20"/>
                <w:color w:val="auto"/>
              </w:rPr>
            </w:pPr>
            <w:r>
              <w:rPr>
                <w:rFonts w:ascii="Arial" w:cs="Arial" w:eastAsia="Arial" w:hAnsi="Arial"/>
                <w:sz w:val="16"/>
                <w:szCs w:val="16"/>
                <w:b w:val="1"/>
                <w:bCs w:val="1"/>
                <w:color w:val="auto"/>
                <w:w w:val="89"/>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02"/>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24"/>
                <w:szCs w:val="24"/>
                <w:color w:val="auto"/>
              </w:rPr>
            </w:pPr>
          </w:p>
        </w:tc>
        <w:tc>
          <w:tcPr>
            <w:tcW w:w="1140" w:type="dxa"/>
            <w:vAlign w:val="bottom"/>
            <w:gridSpan w:val="2"/>
          </w:tcPr>
          <w:p>
            <w:pPr>
              <w:jc w:val="right"/>
              <w:ind w:right="64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6360" w:type="dxa"/>
            <w:vAlign w:val="bottom"/>
          </w:tcPr>
          <w:p>
            <w:pPr>
              <w:ind w:left="280"/>
              <w:spacing w:after="0"/>
              <w:rPr>
                <w:sz w:val="20"/>
                <w:szCs w:val="20"/>
                <w:color w:val="auto"/>
              </w:rPr>
            </w:pPr>
            <w:r>
              <w:rPr>
                <w:rFonts w:ascii="Arial" w:cs="Arial" w:eastAsia="Arial" w:hAnsi="Arial"/>
                <w:sz w:val="16"/>
                <w:szCs w:val="16"/>
                <w:color w:val="auto"/>
              </w:rPr>
              <w:t>Date of Meeting - Board of Directors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25.04.2024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27.04.2023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28.04.2022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80"/>
              <w:spacing w:after="0" w:line="175" w:lineRule="exact"/>
              <w:rPr>
                <w:sz w:val="20"/>
                <w:szCs w:val="20"/>
                <w:color w:val="auto"/>
              </w:rPr>
            </w:pPr>
            <w:r>
              <w:rPr>
                <w:rFonts w:ascii="Arial" w:cs="Arial" w:eastAsia="Arial" w:hAnsi="Arial"/>
                <w:sz w:val="16"/>
                <w:szCs w:val="16"/>
                <w:color w:val="auto"/>
              </w:rPr>
              <w:t>Dividends distribution, net of treasury shares effect (in thousands of soles)</w:t>
            </w:r>
          </w:p>
        </w:tc>
        <w:tc>
          <w:tcPr>
            <w:tcW w:w="12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2,788,657</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1,994,037</w:t>
            </w:r>
          </w:p>
        </w:tc>
        <w:tc>
          <w:tcPr>
            <w:tcW w:w="12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1,196,422</w:t>
            </w:r>
          </w:p>
        </w:tc>
        <w:tc>
          <w:tcPr>
            <w:tcW w:w="0" w:type="dxa"/>
            <w:vAlign w:val="bottom"/>
          </w:tcPr>
          <w:p>
            <w:pPr>
              <w:spacing w:after="0"/>
              <w:rPr>
                <w:sz w:val="1"/>
                <w:szCs w:val="1"/>
                <w:color w:val="auto"/>
              </w:rPr>
            </w:pPr>
          </w:p>
        </w:tc>
      </w:tr>
      <w:tr>
        <w:trPr>
          <w:trHeight w:val="175"/>
        </w:trPr>
        <w:tc>
          <w:tcPr>
            <w:tcW w:w="6360" w:type="dxa"/>
            <w:vAlign w:val="bottom"/>
          </w:tcPr>
          <w:p>
            <w:pPr>
              <w:ind w:left="280"/>
              <w:spacing w:after="0" w:line="175" w:lineRule="exact"/>
              <w:rPr>
                <w:sz w:val="20"/>
                <w:szCs w:val="20"/>
                <w:color w:val="auto"/>
              </w:rPr>
            </w:pPr>
            <w:r>
              <w:rPr>
                <w:rFonts w:ascii="Arial" w:cs="Arial" w:eastAsia="Arial" w:hAnsi="Arial"/>
                <w:sz w:val="16"/>
                <w:szCs w:val="16"/>
                <w:color w:val="auto"/>
              </w:rPr>
              <w:t>Payment of dividends per share (in soles)</w:t>
            </w:r>
          </w:p>
        </w:tc>
        <w:tc>
          <w:tcPr>
            <w:tcW w:w="12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35.0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25.0</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80"/>
              <w:spacing w:after="0" w:line="175" w:lineRule="exact"/>
              <w:rPr>
                <w:sz w:val="20"/>
                <w:szCs w:val="20"/>
                <w:color w:val="auto"/>
              </w:rPr>
            </w:pPr>
            <w:r>
              <w:rPr>
                <w:rFonts w:ascii="Arial" w:cs="Arial" w:eastAsia="Arial" w:hAnsi="Arial"/>
                <w:sz w:val="16"/>
                <w:szCs w:val="16"/>
                <w:color w:val="auto"/>
              </w:rPr>
              <w:t>Date of dividends payout</w:t>
            </w:r>
          </w:p>
        </w:tc>
        <w:tc>
          <w:tcPr>
            <w:tcW w:w="12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14.06.2024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09.06.2023</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10.06.2022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80"/>
              <w:spacing w:after="0" w:line="175" w:lineRule="exact"/>
              <w:rPr>
                <w:sz w:val="20"/>
                <w:szCs w:val="20"/>
                <w:color w:val="auto"/>
              </w:rPr>
            </w:pPr>
            <w:r>
              <w:rPr>
                <w:rFonts w:ascii="Arial" w:cs="Arial" w:eastAsia="Arial" w:hAnsi="Arial"/>
                <w:sz w:val="16"/>
                <w:szCs w:val="16"/>
                <w:color w:val="auto"/>
              </w:rPr>
              <w:t>Exchange rate published by the SBS</w:t>
            </w:r>
          </w:p>
        </w:tc>
        <w:tc>
          <w:tcPr>
            <w:tcW w:w="12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3.7685</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3.6901</w:t>
            </w:r>
          </w:p>
        </w:tc>
        <w:tc>
          <w:tcPr>
            <w:tcW w:w="12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3.7560</w:t>
            </w:r>
          </w:p>
        </w:tc>
        <w:tc>
          <w:tcPr>
            <w:tcW w:w="0" w:type="dxa"/>
            <w:vAlign w:val="bottom"/>
          </w:tcPr>
          <w:p>
            <w:pPr>
              <w:spacing w:after="0"/>
              <w:rPr>
                <w:sz w:val="1"/>
                <w:szCs w:val="1"/>
                <w:color w:val="auto"/>
              </w:rPr>
            </w:pPr>
          </w:p>
        </w:tc>
      </w:tr>
      <w:tr>
        <w:trPr>
          <w:trHeight w:val="205"/>
        </w:trPr>
        <w:tc>
          <w:tcPr>
            <w:tcW w:w="6360" w:type="dxa"/>
            <w:vAlign w:val="bottom"/>
          </w:tcPr>
          <w:p>
            <w:pPr>
              <w:ind w:left="280"/>
              <w:spacing w:after="0"/>
              <w:rPr>
                <w:sz w:val="20"/>
                <w:szCs w:val="20"/>
                <w:color w:val="auto"/>
              </w:rPr>
            </w:pPr>
            <w:r>
              <w:rPr>
                <w:rFonts w:ascii="Arial" w:cs="Arial" w:eastAsia="Arial" w:hAnsi="Arial"/>
                <w:sz w:val="16"/>
                <w:szCs w:val="16"/>
                <w:color w:val="auto"/>
              </w:rPr>
              <w:t>Dividends payout (equivalent in thousands of US$)</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739,991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540,375</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318,536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86" w:right="400"/>
        <w:spacing w:after="0" w:line="255" w:lineRule="auto"/>
        <w:rPr>
          <w:sz w:val="20"/>
          <w:szCs w:val="20"/>
          <w:color w:val="auto"/>
        </w:rPr>
      </w:pPr>
      <w:r>
        <w:rPr>
          <w:rFonts w:ascii="Arial" w:cs="Arial" w:eastAsia="Arial" w:hAnsi="Arial"/>
          <w:sz w:val="16"/>
          <w:szCs w:val="16"/>
          <w:color w:val="auto"/>
        </w:rPr>
        <w:t>At the Board of Directors held on August 29, 2024, agreed an additional dividend payment, net of the effect of treasury shares, for approximately S/875.9 million charged to reserves. These dividends were paid on October 18, 2024.</w:t>
      </w:r>
    </w:p>
    <w:p>
      <w:pPr>
        <w:spacing w:after="0" w:line="122" w:lineRule="exact"/>
        <w:rPr>
          <w:sz w:val="20"/>
          <w:szCs w:val="20"/>
          <w:color w:val="auto"/>
        </w:rPr>
      </w:pPr>
    </w:p>
    <w:p>
      <w:pPr>
        <w:ind w:left="286"/>
        <w:spacing w:after="0" w:line="326" w:lineRule="auto"/>
        <w:rPr>
          <w:sz w:val="20"/>
          <w:szCs w:val="20"/>
          <w:color w:val="auto"/>
        </w:rPr>
      </w:pPr>
      <w:r>
        <w:rPr>
          <w:rFonts w:ascii="Arial" w:cs="Arial" w:eastAsia="Arial" w:hAnsi="Arial"/>
          <w:sz w:val="14"/>
          <w:szCs w:val="14"/>
          <w:color w:val="auto"/>
        </w:rPr>
        <w:t>In accordance with current Peruvian legislation, there is no restriction for overseas remittance of dividends or the repatriation of foreign investment. As of December 31, 2024, 2023 and 2022 dividends paid by the Peruvian subsidiaries to Credicorp are subject to a 5.0 percent withholding tax.</w:t>
      </w:r>
    </w:p>
    <w:p>
      <w:pPr>
        <w:spacing w:after="0" w:line="76" w:lineRule="exact"/>
        <w:rPr>
          <w:sz w:val="20"/>
          <w:szCs w:val="20"/>
          <w:color w:val="auto"/>
        </w:rPr>
      </w:pPr>
    </w:p>
    <w:p>
      <w:pPr>
        <w:ind w:left="286" w:hanging="286"/>
        <w:spacing w:after="0"/>
        <w:tabs>
          <w:tab w:leader="none" w:pos="28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Regulatory capital -</w:t>
      </w:r>
    </w:p>
    <w:p>
      <w:pPr>
        <w:spacing w:after="0" w:line="154" w:lineRule="exact"/>
        <w:rPr>
          <w:rFonts w:ascii="Arial" w:cs="Arial" w:eastAsia="Arial" w:hAnsi="Arial"/>
          <w:sz w:val="16"/>
          <w:szCs w:val="16"/>
          <w:color w:val="auto"/>
        </w:rPr>
      </w:pPr>
    </w:p>
    <w:p>
      <w:pPr>
        <w:ind w:left="286"/>
        <w:spacing w:after="0" w:line="238" w:lineRule="auto"/>
        <w:rPr>
          <w:rFonts w:ascii="Arial" w:cs="Arial" w:eastAsia="Arial" w:hAnsi="Arial"/>
          <w:sz w:val="16"/>
          <w:szCs w:val="16"/>
          <w:color w:val="auto"/>
        </w:rPr>
      </w:pPr>
      <w:r>
        <w:rPr>
          <w:rFonts w:ascii="Arial" w:cs="Arial" w:eastAsia="Arial" w:hAnsi="Arial"/>
          <w:sz w:val="16"/>
          <w:szCs w:val="16"/>
          <w:color w:val="auto"/>
        </w:rPr>
        <w:t>In accordance with the rules issued by the SBS relating to the 'Regulations for the Consolidated Supervision of Financial and Mixed Conglomerates', the regulatory capital requirement (“patrimonio efectivo” in Peru) applicable to Credicorp subsidiaries are determined based on the specific requirements per subsidiary and in accordance with the requirements of each regulator in the country in which they operate. As of December 31,2024, and 2023, the effective capital requirements amounted to S/29,123.5 million and S/25,720.7 million respectively.</w:t>
      </w:r>
    </w:p>
    <w:p>
      <w:pPr>
        <w:spacing w:after="0" w:line="281" w:lineRule="exact"/>
        <w:rPr>
          <w:sz w:val="20"/>
          <w:szCs w:val="20"/>
          <w:color w:val="auto"/>
        </w:rPr>
      </w:pPr>
    </w:p>
    <w:p>
      <w:pPr>
        <w:jc w:val="center"/>
        <w:ind w:right="434"/>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586"/>
          </w:cols>
          <w:pgMar w:left="874" w:top="124" w:right="439" w:bottom="1440" w:gutter="0" w:footer="0" w:header="0"/>
        </w:sectPr>
      </w:pPr>
    </w:p>
    <w:bookmarkStart w:id="103" w:name="page104"/>
    <w:bookmarkEnd w:id="103"/>
    <w:p>
      <w:pPr>
        <w:ind w:left="847" w:right="40"/>
        <w:spacing w:after="0" w:line="242" w:lineRule="auto"/>
        <w:rPr>
          <w:sz w:val="20"/>
          <w:szCs w:val="20"/>
          <w:color w:val="auto"/>
        </w:rPr>
      </w:pPr>
      <w:r>
        <w:rPr>
          <w:rFonts w:ascii="Arial" w:cs="Arial" w:eastAsia="Arial" w:hAnsi="Arial"/>
          <w:sz w:val="16"/>
          <w:szCs w:val="16"/>
          <w:color w:val="auto"/>
        </w:rPr>
        <w:t>The effective capital of Credicorp and its subsidiaries determined in accordance with the provisions of these regulations amounted to S/40,009.5 million and S/33,452.6 million as of December 31, 2024, and 2023, respectively, which exceeded the minimum capital required by the SBS by S/10,885.9 million and S/7,731.9 million, respectively.</w:t>
      </w:r>
    </w:p>
    <w:p>
      <w:pPr>
        <w:spacing w:after="0" w:line="131" w:lineRule="exact"/>
        <w:rPr>
          <w:sz w:val="20"/>
          <w:szCs w:val="20"/>
          <w:color w:val="auto"/>
        </w:rPr>
      </w:pPr>
    </w:p>
    <w:p>
      <w:pPr>
        <w:ind w:left="567" w:hanging="567"/>
        <w:spacing w:after="0"/>
        <w:tabs>
          <w:tab w:leader="none" w:pos="567"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TAX SITUATION</w:t>
      </w:r>
    </w:p>
    <w:p>
      <w:pPr>
        <w:spacing w:after="0" w:line="168" w:lineRule="exact"/>
        <w:rPr>
          <w:rFonts w:ascii="Arial" w:cs="Arial" w:eastAsia="Arial" w:hAnsi="Arial"/>
          <w:sz w:val="16"/>
          <w:szCs w:val="16"/>
          <w:b w:val="1"/>
          <w:bCs w:val="1"/>
          <w:color w:val="auto"/>
        </w:rPr>
      </w:pPr>
    </w:p>
    <w:p>
      <w:pPr>
        <w:ind w:left="847" w:right="3920" w:hanging="286"/>
        <w:spacing w:after="0" w:line="456" w:lineRule="auto"/>
        <w:tabs>
          <w:tab w:leader="none" w:pos="84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Credicorp is not subject to income tax, wealth tax, capital gains tax or property tax in Bermuda. Credicorp's Peruvian subsidiaries are subject to the Peruvian tax regime.</w:t>
      </w:r>
    </w:p>
    <w:p>
      <w:pPr>
        <w:spacing w:after="0" w:line="1" w:lineRule="exact"/>
        <w:rPr>
          <w:rFonts w:ascii="Arial" w:cs="Arial" w:eastAsia="Arial" w:hAnsi="Arial"/>
          <w:sz w:val="16"/>
          <w:szCs w:val="16"/>
          <w:color w:val="auto"/>
        </w:rPr>
      </w:pPr>
    </w:p>
    <w:p>
      <w:pPr>
        <w:ind w:left="847" w:right="540"/>
        <w:spacing w:after="0" w:line="255" w:lineRule="auto"/>
        <w:rPr>
          <w:rFonts w:ascii="Arial" w:cs="Arial" w:eastAsia="Arial" w:hAnsi="Arial"/>
          <w:sz w:val="16"/>
          <w:szCs w:val="16"/>
          <w:color w:val="auto"/>
        </w:rPr>
      </w:pPr>
      <w:r>
        <w:rPr>
          <w:rFonts w:ascii="Arial" w:cs="Arial" w:eastAsia="Arial" w:hAnsi="Arial"/>
          <w:sz w:val="16"/>
          <w:szCs w:val="16"/>
          <w:color w:val="auto"/>
        </w:rPr>
        <w:t>The Peruvian corporate income tax rate as of December 31, 2024, 2023 and 2022 was 29.5 percent of taxable income after calculating workers' participation, which is determined using a rate of 5.0 percent.</w:t>
      </w:r>
    </w:p>
    <w:p>
      <w:pPr>
        <w:spacing w:after="0" w:line="134" w:lineRule="exact"/>
        <w:rPr>
          <w:rFonts w:ascii="Arial" w:cs="Arial" w:eastAsia="Arial" w:hAnsi="Arial"/>
          <w:sz w:val="16"/>
          <w:szCs w:val="16"/>
          <w:color w:val="auto"/>
        </w:rPr>
      </w:pPr>
    </w:p>
    <w:p>
      <w:pPr>
        <w:ind w:left="847" w:right="100"/>
        <w:spacing w:after="0" w:line="241" w:lineRule="auto"/>
        <w:rPr>
          <w:rFonts w:ascii="Arial" w:cs="Arial" w:eastAsia="Arial" w:hAnsi="Arial"/>
          <w:sz w:val="16"/>
          <w:szCs w:val="16"/>
          <w:color w:val="auto"/>
        </w:rPr>
      </w:pPr>
      <w:r>
        <w:rPr>
          <w:rFonts w:ascii="Arial" w:cs="Arial" w:eastAsia="Arial" w:hAnsi="Arial"/>
          <w:sz w:val="16"/>
          <w:szCs w:val="16"/>
          <w:color w:val="auto"/>
        </w:rPr>
        <w:t>The corporate income tax rate in Bolivia is 25.0 percent as of December 31, 2024, and December 31, 2023. Bolivian financial entities are subject to an additional rate to the extent that the ROE exceeds 6.0 percent; in that case, they must consider an additional rate of 25.0 percent, which would bring the rate to 50.0 percent.</w:t>
      </w:r>
    </w:p>
    <w:p>
      <w:pPr>
        <w:spacing w:after="0" w:line="145" w:lineRule="exact"/>
        <w:rPr>
          <w:rFonts w:ascii="Arial" w:cs="Arial" w:eastAsia="Arial" w:hAnsi="Arial"/>
          <w:sz w:val="16"/>
          <w:szCs w:val="16"/>
          <w:color w:val="auto"/>
        </w:rPr>
      </w:pPr>
    </w:p>
    <w:p>
      <w:pPr>
        <w:ind w:left="847" w:right="60"/>
        <w:spacing w:after="0" w:line="241" w:lineRule="auto"/>
        <w:rPr>
          <w:rFonts w:ascii="Arial" w:cs="Arial" w:eastAsia="Arial" w:hAnsi="Arial"/>
          <w:sz w:val="16"/>
          <w:szCs w:val="16"/>
          <w:color w:val="auto"/>
        </w:rPr>
      </w:pPr>
      <w:r>
        <w:rPr>
          <w:rFonts w:ascii="Arial" w:cs="Arial" w:eastAsia="Arial" w:hAnsi="Arial"/>
          <w:sz w:val="16"/>
          <w:szCs w:val="16"/>
          <w:color w:val="auto"/>
        </w:rPr>
        <w:t>In the case of Chile, the tax legislation changed in 2020, establishing two new regimes currently in force: the general regime and the Pro-Pyme regime, the latter applicable to smaller companies. Credicorp Capital Holding Chile, as well as all its subsidiaries, are taxed under the general regime, whose corporate income tax rate for domiciled legal entities remains at 27.0 percent as of December 31, 2024.</w:t>
      </w:r>
    </w:p>
    <w:p>
      <w:pPr>
        <w:spacing w:after="0" w:line="145" w:lineRule="exact"/>
        <w:rPr>
          <w:rFonts w:ascii="Arial" w:cs="Arial" w:eastAsia="Arial" w:hAnsi="Arial"/>
          <w:sz w:val="16"/>
          <w:szCs w:val="16"/>
          <w:color w:val="auto"/>
        </w:rPr>
      </w:pPr>
    </w:p>
    <w:p>
      <w:pPr>
        <w:ind w:left="847" w:right="200"/>
        <w:spacing w:after="0" w:line="255" w:lineRule="auto"/>
        <w:rPr>
          <w:rFonts w:ascii="Arial" w:cs="Arial" w:eastAsia="Arial" w:hAnsi="Arial"/>
          <w:sz w:val="16"/>
          <w:szCs w:val="16"/>
          <w:color w:val="auto"/>
        </w:rPr>
      </w:pPr>
      <w:r>
        <w:rPr>
          <w:rFonts w:ascii="Arial" w:cs="Arial" w:eastAsia="Arial" w:hAnsi="Arial"/>
          <w:sz w:val="16"/>
          <w:szCs w:val="16"/>
          <w:color w:val="auto"/>
        </w:rPr>
        <w:t>Individuals or legal entities not domiciled in Chile will be subject to an additional tax at rates between 4.0 percent and 35.0 percent, depending on the nature of the income.</w:t>
      </w:r>
    </w:p>
    <w:p>
      <w:pPr>
        <w:spacing w:after="0" w:line="134" w:lineRule="exact"/>
        <w:rPr>
          <w:rFonts w:ascii="Arial" w:cs="Arial" w:eastAsia="Arial" w:hAnsi="Arial"/>
          <w:sz w:val="16"/>
          <w:szCs w:val="16"/>
          <w:color w:val="auto"/>
        </w:rPr>
      </w:pPr>
    </w:p>
    <w:p>
      <w:pPr>
        <w:ind w:left="847"/>
        <w:spacing w:after="0"/>
        <w:rPr>
          <w:rFonts w:ascii="Arial" w:cs="Arial" w:eastAsia="Arial" w:hAnsi="Arial"/>
          <w:sz w:val="16"/>
          <w:szCs w:val="16"/>
          <w:color w:val="auto"/>
        </w:rPr>
      </w:pPr>
      <w:r>
        <w:rPr>
          <w:rFonts w:ascii="Arial" w:cs="Arial" w:eastAsia="Arial" w:hAnsi="Arial"/>
          <w:sz w:val="16"/>
          <w:szCs w:val="16"/>
          <w:color w:val="auto"/>
        </w:rPr>
        <w:t>In Colombia, the income tax rate has been set at 35.0 percent for the years 2023 and 2024.</w:t>
      </w:r>
    </w:p>
    <w:p>
      <w:pPr>
        <w:spacing w:after="0" w:line="166" w:lineRule="exact"/>
        <w:rPr>
          <w:rFonts w:ascii="Arial" w:cs="Arial" w:eastAsia="Arial" w:hAnsi="Arial"/>
          <w:sz w:val="16"/>
          <w:szCs w:val="16"/>
          <w:color w:val="auto"/>
        </w:rPr>
      </w:pPr>
    </w:p>
    <w:p>
      <w:pPr>
        <w:ind w:left="847" w:right="20"/>
        <w:spacing w:after="0" w:line="255" w:lineRule="auto"/>
        <w:rPr>
          <w:rFonts w:ascii="Arial" w:cs="Arial" w:eastAsia="Arial" w:hAnsi="Arial"/>
          <w:sz w:val="16"/>
          <w:szCs w:val="16"/>
          <w:color w:val="auto"/>
        </w:rPr>
      </w:pPr>
      <w:r>
        <w:rPr>
          <w:rFonts w:ascii="Arial" w:cs="Arial" w:eastAsia="Arial" w:hAnsi="Arial"/>
          <w:sz w:val="16"/>
          <w:szCs w:val="16"/>
          <w:color w:val="auto"/>
        </w:rPr>
        <w:t>For financial entities with a taxable base exceeding 120,000 taxable units (as of December 31, 2024, and 2023, equivalent to a total of S/5.1 million and S/4.4 million, respectively), the income tax rate is 40.0 percent.</w:t>
      </w:r>
    </w:p>
    <w:p>
      <w:pPr>
        <w:spacing w:after="0" w:line="134" w:lineRule="exact"/>
        <w:rPr>
          <w:rFonts w:ascii="Arial" w:cs="Arial" w:eastAsia="Arial" w:hAnsi="Arial"/>
          <w:sz w:val="16"/>
          <w:szCs w:val="16"/>
          <w:color w:val="auto"/>
        </w:rPr>
      </w:pPr>
    </w:p>
    <w:p>
      <w:pPr>
        <w:ind w:left="847"/>
        <w:spacing w:after="0" w:line="326" w:lineRule="auto"/>
        <w:rPr>
          <w:rFonts w:ascii="Arial" w:cs="Arial" w:eastAsia="Arial" w:hAnsi="Arial"/>
          <w:sz w:val="16"/>
          <w:szCs w:val="16"/>
          <w:color w:val="auto"/>
        </w:rPr>
      </w:pPr>
      <w:r>
        <w:rPr>
          <w:rFonts w:ascii="Arial" w:cs="Arial" w:eastAsia="Arial" w:hAnsi="Arial"/>
          <w:sz w:val="14"/>
          <w:szCs w:val="14"/>
          <w:color w:val="auto"/>
        </w:rPr>
        <w:t>Additionally, in the event of receiving occasional profits, listed and established by the National Government in the Tax Statute and which are not subject to income tax, for the year 2024 a differential rate of 15.0 percent must be applied on the net profit and the associated expenses, respectively.</w:t>
      </w:r>
    </w:p>
    <w:p>
      <w:pPr>
        <w:spacing w:after="0" w:line="87" w:lineRule="exact"/>
        <w:rPr>
          <w:rFonts w:ascii="Arial" w:cs="Arial" w:eastAsia="Arial" w:hAnsi="Arial"/>
          <w:sz w:val="16"/>
          <w:szCs w:val="16"/>
          <w:color w:val="auto"/>
        </w:rPr>
      </w:pPr>
    </w:p>
    <w:p>
      <w:pPr>
        <w:ind w:left="847"/>
        <w:spacing w:after="0" w:line="255" w:lineRule="auto"/>
        <w:rPr>
          <w:rFonts w:ascii="Arial" w:cs="Arial" w:eastAsia="Arial" w:hAnsi="Arial"/>
          <w:sz w:val="16"/>
          <w:szCs w:val="16"/>
          <w:color w:val="auto"/>
        </w:rPr>
      </w:pPr>
      <w:r>
        <w:rPr>
          <w:rFonts w:ascii="Arial" w:cs="Arial" w:eastAsia="Arial" w:hAnsi="Arial"/>
          <w:sz w:val="16"/>
          <w:szCs w:val="16"/>
          <w:color w:val="auto"/>
        </w:rPr>
        <w:t>Dividends and participations are subject to a 10.0 percent rate as withholding at source on income, which will be transferable and imputable to the resident individual or investor residing abroad.</w:t>
      </w:r>
    </w:p>
    <w:p>
      <w:pPr>
        <w:spacing w:after="0" w:line="28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104" w:name="page105"/>
    <w:bookmarkEnd w:id="104"/>
    <w:p>
      <w:pPr>
        <w:ind w:left="840"/>
        <w:spacing w:after="0"/>
        <w:rPr>
          <w:sz w:val="20"/>
          <w:szCs w:val="20"/>
          <w:color w:val="auto"/>
        </w:rPr>
      </w:pPr>
      <w:r>
        <w:rPr>
          <w:rFonts w:ascii="Arial" w:cs="Arial" w:eastAsia="Arial" w:hAnsi="Arial"/>
          <w:sz w:val="16"/>
          <w:szCs w:val="16"/>
          <w:color w:val="auto"/>
        </w:rPr>
        <w:t>The reconciliation of the statutory income tax rate to the effective tax rate for the Group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340" w:type="dxa"/>
            <w:vAlign w:val="bottom"/>
          </w:tcPr>
          <w:p>
            <w:pPr>
              <w:spacing w:after="0"/>
              <w:rPr>
                <w:sz w:val="13"/>
                <w:szCs w:val="13"/>
                <w:color w:val="auto"/>
              </w:rPr>
            </w:pPr>
          </w:p>
        </w:tc>
        <w:tc>
          <w:tcPr>
            <w:tcW w:w="112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6"/>
                <w:szCs w:val="16"/>
                <w:b w:val="1"/>
                <w:bCs w:val="1"/>
                <w:color w:val="auto"/>
              </w:rPr>
              <w:t>In millions</w:t>
            </w:r>
          </w:p>
        </w:tc>
        <w:tc>
          <w:tcPr>
            <w:tcW w:w="30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6"/>
                <w:szCs w:val="16"/>
                <w:b w:val="1"/>
                <w:bCs w:val="1"/>
                <w:color w:val="auto"/>
              </w:rPr>
              <w:t>In millions</w:t>
            </w:r>
          </w:p>
        </w:tc>
        <w:tc>
          <w:tcPr>
            <w:tcW w:w="1160" w:type="dxa"/>
            <w:vAlign w:val="bottom"/>
            <w:tcBorders>
              <w:top w:val="single" w:sz="8" w:color="auto"/>
            </w:tcBorders>
            <w:gridSpan w:val="2"/>
            <w:vMerge w:val="restart"/>
          </w:tcPr>
          <w:p>
            <w:pPr>
              <w:jc w:val="right"/>
              <w:ind w:right="9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3"/>
                <w:szCs w:val="13"/>
                <w:color w:val="auto"/>
              </w:rPr>
            </w:pPr>
          </w:p>
        </w:tc>
        <w:tc>
          <w:tcPr>
            <w:tcW w:w="126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In millions</w:t>
            </w:r>
          </w:p>
        </w:tc>
        <w:tc>
          <w:tcPr>
            <w:tcW w:w="1100" w:type="dxa"/>
            <w:vAlign w:val="bottom"/>
            <w:tcBorders>
              <w:top w:val="single" w:sz="8" w:color="auto"/>
            </w:tcBorders>
            <w:vMerge w:val="restart"/>
          </w:tcPr>
          <w:p>
            <w:pPr>
              <w:jc w:val="right"/>
              <w:ind w:right="882"/>
              <w:spacing w:after="0"/>
              <w:rPr>
                <w:sz w:val="20"/>
                <w:szCs w:val="20"/>
                <w:color w:val="auto"/>
              </w:rPr>
            </w:pPr>
            <w:r>
              <w:rPr>
                <w:rFonts w:ascii="Arial" w:cs="Arial" w:eastAsia="Arial" w:hAnsi="Arial"/>
                <w:sz w:val="16"/>
                <w:szCs w:val="16"/>
                <w:b w:val="1"/>
                <w:bCs w:val="1"/>
                <w:color w:val="auto"/>
                <w:w w:val="84"/>
              </w:rPr>
              <w:t>%</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of soles</w:t>
            </w:r>
          </w:p>
        </w:tc>
        <w:tc>
          <w:tcPr>
            <w:tcW w:w="30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of soles</w:t>
            </w: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of soles</w:t>
            </w:r>
          </w:p>
        </w:tc>
        <w:tc>
          <w:tcPr>
            <w:tcW w:w="110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340" w:type="dxa"/>
            <w:vAlign w:val="bottom"/>
            <w:vMerge w:val="restart"/>
          </w:tcPr>
          <w:p>
            <w:pPr>
              <w:ind w:left="840"/>
              <w:spacing w:after="0"/>
              <w:rPr>
                <w:sz w:val="20"/>
                <w:szCs w:val="20"/>
                <w:color w:val="auto"/>
              </w:rPr>
            </w:pPr>
            <w:r>
              <w:rPr>
                <w:rFonts w:ascii="Arial" w:cs="Arial" w:eastAsia="Arial" w:hAnsi="Arial"/>
                <w:sz w:val="16"/>
                <w:szCs w:val="16"/>
                <w:color w:val="auto"/>
              </w:rPr>
              <w:t>Theoretical tax and income tax</w:t>
            </w:r>
          </w:p>
        </w:tc>
        <w:tc>
          <w:tcPr>
            <w:tcW w:w="11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3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40" w:type="dxa"/>
            <w:vAlign w:val="bottom"/>
          </w:tcPr>
          <w:p>
            <w:pPr>
              <w:ind w:left="840"/>
              <w:spacing w:after="0" w:line="173" w:lineRule="exact"/>
              <w:rPr>
                <w:sz w:val="20"/>
                <w:szCs w:val="20"/>
                <w:color w:val="auto"/>
              </w:rPr>
            </w:pPr>
            <w:r>
              <w:rPr>
                <w:rFonts w:ascii="Arial" w:cs="Arial" w:eastAsia="Arial" w:hAnsi="Arial"/>
                <w:sz w:val="16"/>
                <w:szCs w:val="16"/>
                <w:color w:val="auto"/>
              </w:rPr>
              <w:t>rate in Perú</w:t>
            </w:r>
          </w:p>
        </w:tc>
        <w:tc>
          <w:tcPr>
            <w:tcW w:w="1120" w:type="dxa"/>
            <w:vAlign w:val="bottom"/>
            <w:gridSpan w:val="3"/>
          </w:tcPr>
          <w:p>
            <w:pPr>
              <w:jc w:val="right"/>
              <w:ind w:right="20"/>
              <w:spacing w:after="0" w:line="173" w:lineRule="exact"/>
              <w:rPr>
                <w:sz w:val="20"/>
                <w:szCs w:val="20"/>
                <w:color w:val="auto"/>
              </w:rPr>
            </w:pPr>
            <w:r>
              <w:rPr>
                <w:rFonts w:ascii="Arial" w:cs="Arial" w:eastAsia="Arial" w:hAnsi="Arial"/>
                <w:sz w:val="16"/>
                <w:szCs w:val="16"/>
                <w:color w:val="auto"/>
              </w:rPr>
              <w:t>(2,307.3)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5"/>
          </w:tcPr>
          <w:p>
            <w:pPr>
              <w:jc w:val="right"/>
              <w:ind w:right="40"/>
              <w:spacing w:after="0" w:line="173" w:lineRule="exact"/>
              <w:rPr>
                <w:sz w:val="20"/>
                <w:szCs w:val="20"/>
                <w:color w:val="auto"/>
              </w:rPr>
            </w:pPr>
            <w:r>
              <w:rPr>
                <w:rFonts w:ascii="Arial" w:cs="Arial" w:eastAsia="Arial" w:hAnsi="Arial"/>
                <w:sz w:val="16"/>
                <w:szCs w:val="16"/>
                <w:color w:val="auto"/>
              </w:rPr>
              <w:t>(29.50)</w:t>
            </w:r>
          </w:p>
        </w:tc>
        <w:tc>
          <w:tcPr>
            <w:tcW w:w="1220" w:type="dxa"/>
            <w:vAlign w:val="bottom"/>
            <w:gridSpan w:val="4"/>
          </w:tcPr>
          <w:p>
            <w:pPr>
              <w:jc w:val="right"/>
              <w:ind w:right="20"/>
              <w:spacing w:after="0" w:line="173" w:lineRule="exact"/>
              <w:rPr>
                <w:sz w:val="20"/>
                <w:szCs w:val="20"/>
                <w:color w:val="auto"/>
              </w:rPr>
            </w:pPr>
            <w:r>
              <w:rPr>
                <w:rFonts w:ascii="Arial" w:cs="Arial" w:eastAsia="Arial" w:hAnsi="Arial"/>
                <w:sz w:val="16"/>
                <w:szCs w:val="16"/>
                <w:color w:val="auto"/>
              </w:rPr>
              <w:t>(2,040.9)</w:t>
            </w:r>
          </w:p>
        </w:tc>
        <w:tc>
          <w:tcPr>
            <w:tcW w:w="1340" w:type="dxa"/>
            <w:vAlign w:val="bottom"/>
            <w:gridSpan w:val="3"/>
          </w:tcPr>
          <w:p>
            <w:pPr>
              <w:jc w:val="right"/>
              <w:ind w:right="120"/>
              <w:spacing w:after="0" w:line="173" w:lineRule="exact"/>
              <w:rPr>
                <w:sz w:val="20"/>
                <w:szCs w:val="20"/>
                <w:color w:val="auto"/>
              </w:rPr>
            </w:pPr>
            <w:r>
              <w:rPr>
                <w:rFonts w:ascii="Arial" w:cs="Arial" w:eastAsia="Arial" w:hAnsi="Arial"/>
                <w:sz w:val="16"/>
                <w:szCs w:val="16"/>
                <w:color w:val="auto"/>
              </w:rPr>
              <w:t>(29.50)</w:t>
            </w:r>
          </w:p>
        </w:tc>
        <w:tc>
          <w:tcPr>
            <w:tcW w:w="1260" w:type="dxa"/>
            <w:vAlign w:val="bottom"/>
            <w:gridSpan w:val="2"/>
          </w:tcPr>
          <w:p>
            <w:pPr>
              <w:jc w:val="right"/>
              <w:ind w:right="140"/>
              <w:spacing w:after="0" w:line="173" w:lineRule="exact"/>
              <w:rPr>
                <w:sz w:val="20"/>
                <w:szCs w:val="20"/>
                <w:color w:val="auto"/>
              </w:rPr>
            </w:pPr>
            <w:r>
              <w:rPr>
                <w:rFonts w:ascii="Arial" w:cs="Arial" w:eastAsia="Arial" w:hAnsi="Arial"/>
                <w:sz w:val="16"/>
                <w:szCs w:val="16"/>
                <w:color w:val="auto"/>
              </w:rPr>
              <w:t>(2,022.5)</w:t>
            </w:r>
          </w:p>
        </w:tc>
        <w:tc>
          <w:tcPr>
            <w:tcW w:w="1740" w:type="dxa"/>
            <w:vAlign w:val="bottom"/>
            <w:gridSpan w:val="2"/>
          </w:tcPr>
          <w:p>
            <w:pPr>
              <w:jc w:val="right"/>
              <w:ind w:right="580"/>
              <w:spacing w:after="0" w:line="173" w:lineRule="exact"/>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175"/>
        </w:trPr>
        <w:tc>
          <w:tcPr>
            <w:tcW w:w="3340" w:type="dxa"/>
            <w:vAlign w:val="bottom"/>
          </w:tcPr>
          <w:p>
            <w:pPr>
              <w:ind w:left="840"/>
              <w:spacing w:after="0" w:line="175" w:lineRule="exact"/>
              <w:rPr>
                <w:sz w:val="20"/>
                <w:szCs w:val="20"/>
                <w:color w:val="auto"/>
              </w:rPr>
            </w:pPr>
            <w:r>
              <w:rPr>
                <w:rFonts w:ascii="Arial" w:cs="Arial" w:eastAsia="Arial" w:hAnsi="Arial"/>
                <w:sz w:val="16"/>
                <w:szCs w:val="16"/>
                <w:b w:val="1"/>
                <w:bCs w:val="1"/>
                <w:color w:val="auto"/>
              </w:rPr>
              <w:t>Decrease (Increase) in the</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40" w:type="dxa"/>
            <w:vAlign w:val="bottom"/>
          </w:tcPr>
          <w:p>
            <w:pPr>
              <w:ind w:left="840"/>
              <w:spacing w:after="0" w:line="177" w:lineRule="exact"/>
              <w:rPr>
                <w:sz w:val="20"/>
                <w:szCs w:val="20"/>
                <w:color w:val="auto"/>
              </w:rPr>
            </w:pPr>
            <w:r>
              <w:rPr>
                <w:rFonts w:ascii="Arial" w:cs="Arial" w:eastAsia="Arial" w:hAnsi="Arial"/>
                <w:sz w:val="16"/>
                <w:szCs w:val="16"/>
                <w:b w:val="1"/>
                <w:bCs w:val="1"/>
                <w:color w:val="auto"/>
              </w:rPr>
              <w:t>statutory tax rate due to:</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840"/>
              <w:spacing w:after="0" w:line="175" w:lineRule="exact"/>
              <w:rPr>
                <w:sz w:val="20"/>
                <w:szCs w:val="20"/>
                <w:color w:val="auto"/>
              </w:rPr>
            </w:pPr>
            <w:r>
              <w:rPr>
                <w:rFonts w:ascii="Arial" w:cs="Arial" w:eastAsia="Arial" w:hAnsi="Arial"/>
                <w:sz w:val="16"/>
                <w:szCs w:val="16"/>
                <w:color w:val="auto"/>
              </w:rPr>
              <w:t>(i) Decrease (Increase) due to the</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840"/>
              <w:spacing w:after="0" w:line="175" w:lineRule="exact"/>
              <w:rPr>
                <w:sz w:val="20"/>
                <w:szCs w:val="20"/>
                <w:color w:val="auto"/>
              </w:rPr>
            </w:pPr>
            <w:r>
              <w:rPr>
                <w:rFonts w:ascii="Arial" w:cs="Arial" w:eastAsia="Arial" w:hAnsi="Arial"/>
                <w:sz w:val="16"/>
                <w:szCs w:val="16"/>
                <w:color w:val="auto"/>
              </w:rPr>
              <w:t>profit of subsidiaries not domiciled</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840"/>
              <w:spacing w:after="0" w:line="175" w:lineRule="exact"/>
              <w:rPr>
                <w:sz w:val="20"/>
                <w:szCs w:val="20"/>
                <w:color w:val="auto"/>
              </w:rPr>
            </w:pPr>
            <w:r>
              <w:rPr>
                <w:rFonts w:ascii="Arial" w:cs="Arial" w:eastAsia="Arial" w:hAnsi="Arial"/>
                <w:sz w:val="16"/>
                <w:szCs w:val="16"/>
                <w:color w:val="auto"/>
              </w:rPr>
              <w:t>in Perú</w:t>
            </w:r>
          </w:p>
        </w:tc>
        <w:tc>
          <w:tcPr>
            <w:tcW w:w="11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(77.2)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5"/>
          </w:tcPr>
          <w:p>
            <w:pPr>
              <w:jc w:val="right"/>
              <w:ind w:right="40"/>
              <w:spacing w:after="0" w:line="175" w:lineRule="exact"/>
              <w:rPr>
                <w:sz w:val="20"/>
                <w:szCs w:val="20"/>
                <w:color w:val="auto"/>
              </w:rPr>
            </w:pPr>
            <w:r>
              <w:rPr>
                <w:rFonts w:ascii="Arial" w:cs="Arial" w:eastAsia="Arial" w:hAnsi="Arial"/>
                <w:sz w:val="16"/>
                <w:szCs w:val="16"/>
                <w:color w:val="auto"/>
              </w:rPr>
              <w:t>(0.99)</w:t>
            </w:r>
          </w:p>
        </w:tc>
        <w:tc>
          <w:tcPr>
            <w:tcW w:w="1220" w:type="dxa"/>
            <w:vAlign w:val="bottom"/>
            <w:gridSpan w:val="4"/>
          </w:tcPr>
          <w:p>
            <w:pPr>
              <w:jc w:val="right"/>
              <w:ind w:right="80"/>
              <w:spacing w:after="0" w:line="175" w:lineRule="exact"/>
              <w:rPr>
                <w:sz w:val="20"/>
                <w:szCs w:val="20"/>
                <w:color w:val="auto"/>
              </w:rPr>
            </w:pPr>
            <w:r>
              <w:rPr>
                <w:rFonts w:ascii="Arial" w:cs="Arial" w:eastAsia="Arial" w:hAnsi="Arial"/>
                <w:sz w:val="16"/>
                <w:szCs w:val="16"/>
                <w:color w:val="auto"/>
              </w:rPr>
              <w:t>52.8</w:t>
            </w:r>
          </w:p>
        </w:tc>
        <w:tc>
          <w:tcPr>
            <w:tcW w:w="1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0.77</w:t>
            </w:r>
          </w:p>
        </w:tc>
        <w:tc>
          <w:tcPr>
            <w:tcW w:w="180" w:type="dxa"/>
            <w:vAlign w:val="bottom"/>
          </w:tcPr>
          <w:p>
            <w:pPr>
              <w:spacing w:after="0"/>
              <w:rPr>
                <w:sz w:val="15"/>
                <w:szCs w:val="15"/>
                <w:color w:val="auto"/>
              </w:rPr>
            </w:pPr>
          </w:p>
        </w:tc>
        <w:tc>
          <w:tcPr>
            <w:tcW w:w="126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(75.8)</w:t>
            </w:r>
          </w:p>
        </w:tc>
        <w:tc>
          <w:tcPr>
            <w:tcW w:w="1740" w:type="dxa"/>
            <w:vAlign w:val="bottom"/>
            <w:gridSpan w:val="2"/>
          </w:tcPr>
          <w:p>
            <w:pPr>
              <w:jc w:val="right"/>
              <w:ind w:right="580"/>
              <w:spacing w:after="0" w:line="175"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75"/>
        </w:trPr>
        <w:tc>
          <w:tcPr>
            <w:tcW w:w="3340" w:type="dxa"/>
            <w:vAlign w:val="bottom"/>
          </w:tcPr>
          <w:p>
            <w:pPr>
              <w:ind w:left="840"/>
              <w:spacing w:after="0" w:line="175" w:lineRule="exact"/>
              <w:rPr>
                <w:sz w:val="20"/>
                <w:szCs w:val="20"/>
                <w:color w:val="auto"/>
              </w:rPr>
            </w:pPr>
            <w:r>
              <w:rPr>
                <w:rFonts w:ascii="Arial" w:cs="Arial" w:eastAsia="Arial" w:hAnsi="Arial"/>
                <w:sz w:val="16"/>
                <w:szCs w:val="16"/>
                <w:color w:val="auto"/>
              </w:rPr>
              <w:t>(ii) Provision tax on dividends</w:t>
            </w:r>
          </w:p>
        </w:tc>
        <w:tc>
          <w:tcPr>
            <w:tcW w:w="11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(146.7)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5"/>
          </w:tcPr>
          <w:p>
            <w:pPr>
              <w:jc w:val="right"/>
              <w:ind w:right="40"/>
              <w:spacing w:after="0" w:line="175" w:lineRule="exact"/>
              <w:rPr>
                <w:sz w:val="20"/>
                <w:szCs w:val="20"/>
                <w:color w:val="auto"/>
              </w:rPr>
            </w:pPr>
            <w:r>
              <w:rPr>
                <w:rFonts w:ascii="Arial" w:cs="Arial" w:eastAsia="Arial" w:hAnsi="Arial"/>
                <w:sz w:val="16"/>
                <w:szCs w:val="16"/>
                <w:color w:val="auto"/>
              </w:rPr>
              <w:t>(1.88)</w:t>
            </w:r>
          </w:p>
        </w:tc>
        <w:tc>
          <w:tcPr>
            <w:tcW w:w="1220" w:type="dxa"/>
            <w:vAlign w:val="bottom"/>
            <w:gridSpan w:val="4"/>
          </w:tcPr>
          <w:p>
            <w:pPr>
              <w:jc w:val="right"/>
              <w:ind w:right="20"/>
              <w:spacing w:after="0" w:line="175" w:lineRule="exact"/>
              <w:rPr>
                <w:sz w:val="20"/>
                <w:szCs w:val="20"/>
                <w:color w:val="auto"/>
              </w:rPr>
            </w:pPr>
            <w:r>
              <w:rPr>
                <w:rFonts w:ascii="Arial" w:cs="Arial" w:eastAsia="Arial" w:hAnsi="Arial"/>
                <w:sz w:val="16"/>
                <w:szCs w:val="16"/>
                <w:color w:val="auto"/>
              </w:rPr>
              <w:t>(235.7)</w:t>
            </w:r>
          </w:p>
        </w:tc>
        <w:tc>
          <w:tcPr>
            <w:tcW w:w="134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(3.44)</w:t>
            </w:r>
          </w:p>
        </w:tc>
        <w:tc>
          <w:tcPr>
            <w:tcW w:w="126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(168.4)</w:t>
            </w:r>
          </w:p>
        </w:tc>
        <w:tc>
          <w:tcPr>
            <w:tcW w:w="1740" w:type="dxa"/>
            <w:vAlign w:val="bottom"/>
            <w:gridSpan w:val="2"/>
          </w:tcPr>
          <w:p>
            <w:pPr>
              <w:jc w:val="right"/>
              <w:ind w:right="580"/>
              <w:spacing w:after="0" w:line="175" w:lineRule="exact"/>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90"/>
        </w:trPr>
        <w:tc>
          <w:tcPr>
            <w:tcW w:w="3340" w:type="dxa"/>
            <w:vAlign w:val="bottom"/>
          </w:tcPr>
          <w:p>
            <w:pPr>
              <w:ind w:left="840"/>
              <w:spacing w:after="0"/>
              <w:rPr>
                <w:sz w:val="20"/>
                <w:szCs w:val="20"/>
                <w:color w:val="auto"/>
              </w:rPr>
            </w:pPr>
            <w:r>
              <w:rPr>
                <w:rFonts w:ascii="Arial" w:cs="Arial" w:eastAsia="Arial" w:hAnsi="Arial"/>
                <w:sz w:val="16"/>
                <w:szCs w:val="16"/>
                <w:color w:val="auto"/>
              </w:rPr>
              <w:t>(iii) Non-taxable income, net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329.9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6"/>
                <w:szCs w:val="16"/>
                <w:color w:val="auto"/>
              </w:rPr>
              <w:t>4.22</w:t>
            </w:r>
          </w:p>
        </w:tc>
        <w:tc>
          <w:tcPr>
            <w:tcW w:w="40" w:type="dxa"/>
            <w:vAlign w:val="bottom"/>
          </w:tcPr>
          <w:p>
            <w:pPr>
              <w:spacing w:after="0"/>
              <w:rPr>
                <w:sz w:val="16"/>
                <w:szCs w:val="16"/>
                <w:color w:val="auto"/>
              </w:rPr>
            </w:pPr>
          </w:p>
        </w:tc>
        <w:tc>
          <w:tcPr>
            <w:tcW w:w="1220" w:type="dxa"/>
            <w:vAlign w:val="bottom"/>
            <w:gridSpan w:val="4"/>
          </w:tcPr>
          <w:p>
            <w:pPr>
              <w:jc w:val="right"/>
              <w:ind w:right="80"/>
              <w:spacing w:after="0"/>
              <w:rPr>
                <w:sz w:val="20"/>
                <w:szCs w:val="20"/>
                <w:color w:val="auto"/>
              </w:rPr>
            </w:pPr>
            <w:r>
              <w:rPr>
                <w:rFonts w:ascii="Arial" w:cs="Arial" w:eastAsia="Arial" w:hAnsi="Arial"/>
                <w:sz w:val="16"/>
                <w:szCs w:val="16"/>
                <w:color w:val="auto"/>
              </w:rPr>
              <w:t>335.3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4.59</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156.2</w:t>
            </w:r>
          </w:p>
        </w:tc>
        <w:tc>
          <w:tcPr>
            <w:tcW w:w="1100" w:type="dxa"/>
            <w:vAlign w:val="bottom"/>
          </w:tcPr>
          <w:p>
            <w:pPr>
              <w:jc w:val="right"/>
              <w:spacing w:after="0"/>
              <w:rPr>
                <w:sz w:val="20"/>
                <w:szCs w:val="20"/>
                <w:color w:val="auto"/>
              </w:rPr>
            </w:pPr>
            <w:r>
              <w:rPr>
                <w:rFonts w:ascii="Arial" w:cs="Arial" w:eastAsia="Arial" w:hAnsi="Arial"/>
                <w:sz w:val="16"/>
                <w:szCs w:val="16"/>
                <w:color w:val="auto"/>
              </w:rPr>
              <w:t>2.29</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340" w:type="dxa"/>
            <w:vAlign w:val="bottom"/>
          </w:tcPr>
          <w:p>
            <w:pPr>
              <w:ind w:left="840"/>
              <w:spacing w:after="0" w:line="150" w:lineRule="exact"/>
              <w:rPr>
                <w:sz w:val="20"/>
                <w:szCs w:val="20"/>
                <w:color w:val="auto"/>
              </w:rPr>
            </w:pPr>
            <w:r>
              <w:rPr>
                <w:rFonts w:ascii="Arial" w:cs="Arial" w:eastAsia="Arial" w:hAnsi="Arial"/>
                <w:sz w:val="16"/>
                <w:szCs w:val="16"/>
                <w:b w:val="1"/>
                <w:bCs w:val="1"/>
                <w:color w:val="auto"/>
              </w:rPr>
              <w:t>Income tax and effective income</w:t>
            </w:r>
          </w:p>
        </w:tc>
        <w:tc>
          <w:tcPr>
            <w:tcW w:w="10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40" w:type="dxa"/>
            <w:vAlign w:val="bottom"/>
          </w:tcPr>
          <w:p>
            <w:pPr>
              <w:ind w:left="840"/>
              <w:spacing w:after="0"/>
              <w:rPr>
                <w:sz w:val="20"/>
                <w:szCs w:val="20"/>
                <w:color w:val="auto"/>
              </w:rPr>
            </w:pPr>
            <w:r>
              <w:rPr>
                <w:rFonts w:ascii="Arial" w:cs="Arial" w:eastAsia="Arial" w:hAnsi="Arial"/>
                <w:sz w:val="16"/>
                <w:szCs w:val="16"/>
                <w:b w:val="1"/>
                <w:bCs w:val="1"/>
                <w:color w:val="auto"/>
              </w:rPr>
              <w:t>tax rate</w:t>
            </w:r>
          </w:p>
        </w:tc>
        <w:tc>
          <w:tcPr>
            <w:tcW w:w="1120" w:type="dxa"/>
            <w:vAlign w:val="bottom"/>
            <w:gridSpan w:val="3"/>
          </w:tcPr>
          <w:p>
            <w:pPr>
              <w:jc w:val="right"/>
              <w:ind w:right="20"/>
              <w:spacing w:after="0"/>
              <w:rPr>
                <w:sz w:val="20"/>
                <w:szCs w:val="20"/>
                <w:color w:val="auto"/>
              </w:rPr>
            </w:pPr>
            <w:r>
              <w:rPr>
                <w:rFonts w:ascii="Arial" w:cs="Arial" w:eastAsia="Arial" w:hAnsi="Arial"/>
                <w:sz w:val="16"/>
                <w:szCs w:val="16"/>
                <w:color w:val="auto"/>
              </w:rPr>
              <w:t>(2,201.3)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6"/>
                <w:szCs w:val="16"/>
                <w:color w:val="auto"/>
              </w:rPr>
              <w:t>(28.15)</w:t>
            </w:r>
          </w:p>
        </w:tc>
        <w:tc>
          <w:tcPr>
            <w:tcW w:w="1220" w:type="dxa"/>
            <w:vAlign w:val="bottom"/>
            <w:gridSpan w:val="4"/>
          </w:tcPr>
          <w:p>
            <w:pPr>
              <w:jc w:val="right"/>
              <w:ind w:right="20"/>
              <w:spacing w:after="0"/>
              <w:rPr>
                <w:sz w:val="20"/>
                <w:szCs w:val="20"/>
                <w:color w:val="auto"/>
              </w:rPr>
            </w:pPr>
            <w:r>
              <w:rPr>
                <w:rFonts w:ascii="Arial" w:cs="Arial" w:eastAsia="Arial" w:hAnsi="Arial"/>
                <w:sz w:val="16"/>
                <w:szCs w:val="16"/>
                <w:color w:val="auto"/>
              </w:rPr>
              <w:t>(1,888.5)</w:t>
            </w:r>
          </w:p>
        </w:tc>
        <w:tc>
          <w:tcPr>
            <w:tcW w:w="1340" w:type="dxa"/>
            <w:vAlign w:val="bottom"/>
            <w:gridSpan w:val="3"/>
          </w:tcPr>
          <w:p>
            <w:pPr>
              <w:jc w:val="right"/>
              <w:ind w:right="120"/>
              <w:spacing w:after="0"/>
              <w:rPr>
                <w:sz w:val="20"/>
                <w:szCs w:val="20"/>
                <w:color w:val="auto"/>
              </w:rPr>
            </w:pPr>
            <w:r>
              <w:rPr>
                <w:rFonts w:ascii="Arial" w:cs="Arial" w:eastAsia="Arial" w:hAnsi="Arial"/>
                <w:sz w:val="16"/>
                <w:szCs w:val="16"/>
                <w:color w:val="auto"/>
              </w:rPr>
              <w:t>(27.58)</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(2,110.5)</w:t>
            </w:r>
          </w:p>
        </w:tc>
        <w:tc>
          <w:tcPr>
            <w:tcW w:w="1740" w:type="dxa"/>
            <w:vAlign w:val="bottom"/>
            <w:gridSpan w:val="2"/>
          </w:tcPr>
          <w:p>
            <w:pPr>
              <w:jc w:val="right"/>
              <w:ind w:right="580"/>
              <w:spacing w:after="0"/>
              <w:rPr>
                <w:sz w:val="20"/>
                <w:szCs w:val="20"/>
                <w:color w:val="auto"/>
              </w:rPr>
            </w:pPr>
            <w:r>
              <w:rPr>
                <w:rFonts w:ascii="Arial" w:cs="Arial" w:eastAsia="Arial" w:hAnsi="Arial"/>
                <w:sz w:val="16"/>
                <w:szCs w:val="16"/>
                <w:color w:val="auto"/>
              </w:rPr>
              <w:t>(30.78)</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8260" w:type="dxa"/>
            <w:vAlign w:val="bottom"/>
            <w:gridSpan w:val="18"/>
          </w:tcPr>
          <w:p>
            <w:pPr>
              <w:ind w:left="560"/>
              <w:spacing w:after="0"/>
              <w:rPr>
                <w:sz w:val="20"/>
                <w:szCs w:val="20"/>
                <w:color w:val="auto"/>
              </w:rPr>
            </w:pPr>
            <w:r>
              <w:rPr>
                <w:rFonts w:ascii="Arial" w:cs="Arial" w:eastAsia="Arial" w:hAnsi="Arial"/>
                <w:sz w:val="16"/>
                <w:szCs w:val="16"/>
                <w:color w:val="auto"/>
              </w:rPr>
              <w:t>b)  Income tax expense for the years ended December 31, 2024, 2023 and 2022 comprises: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340" w:type="dxa"/>
            <w:vAlign w:val="bottom"/>
          </w:tcPr>
          <w:p>
            <w:pPr>
              <w:spacing w:after="0"/>
              <w:rPr>
                <w:sz w:val="24"/>
                <w:szCs w:val="24"/>
                <w:color w:val="auto"/>
              </w:rPr>
            </w:pPr>
          </w:p>
        </w:tc>
        <w:tc>
          <w:tcPr>
            <w:tcW w:w="1420" w:type="dxa"/>
            <w:vAlign w:val="bottom"/>
            <w:gridSpan w:val="5"/>
          </w:tcPr>
          <w:p>
            <w:pPr>
              <w:jc w:val="right"/>
              <w:spacing w:after="0"/>
              <w:rPr>
                <w:sz w:val="20"/>
                <w:szCs w:val="20"/>
                <w:color w:val="auto"/>
              </w:rPr>
            </w:pPr>
            <w:r>
              <w:rPr>
                <w:rFonts w:ascii="Arial" w:cs="Arial" w:eastAsia="Arial" w:hAnsi="Arial"/>
                <w:sz w:val="16"/>
                <w:szCs w:val="16"/>
                <w:b w:val="1"/>
                <w:bCs w:val="1"/>
                <w:color w:val="auto"/>
              </w:rPr>
              <w:t>2024</w:t>
            </w:r>
          </w:p>
        </w:tc>
        <w:tc>
          <w:tcPr>
            <w:tcW w:w="1960" w:type="dxa"/>
            <w:vAlign w:val="bottom"/>
            <w:gridSpan w:val="7"/>
          </w:tcPr>
          <w:p>
            <w:pPr>
              <w:jc w:val="right"/>
              <w:ind w:right="64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w w:val="89"/>
              </w:rPr>
              <w:t>2022</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Current -</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3"/>
          </w:tcPr>
          <w:p>
            <w:pPr>
              <w:jc w:val="right"/>
              <w:ind w:right="383"/>
              <w:spacing w:after="0"/>
              <w:rPr>
                <w:sz w:val="20"/>
                <w:szCs w:val="20"/>
                <w:color w:val="auto"/>
              </w:rPr>
            </w:pPr>
            <w:r>
              <w:rPr>
                <w:rFonts w:ascii="Arial" w:cs="Arial" w:eastAsia="Arial" w:hAnsi="Arial"/>
                <w:sz w:val="16"/>
                <w:szCs w:val="16"/>
                <w:b w:val="1"/>
                <w:bCs w:val="1"/>
                <w:color w:val="auto"/>
                <w:w w:val="99"/>
              </w:rPr>
              <w:t>S/(000)</w:t>
            </w: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0" w:type="dxa"/>
            <w:vAlign w:val="bottom"/>
            <w:gridSpan w:val="2"/>
          </w:tcPr>
          <w:p>
            <w:pPr>
              <w:spacing w:after="0"/>
              <w:rPr>
                <w:sz w:val="17"/>
                <w:szCs w:val="17"/>
                <w:color w:val="auto"/>
              </w:rPr>
            </w:pPr>
          </w:p>
        </w:tc>
        <w:tc>
          <w:tcPr>
            <w:tcW w:w="11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840"/>
              <w:spacing w:after="0" w:line="175" w:lineRule="exact"/>
              <w:rPr>
                <w:sz w:val="20"/>
                <w:szCs w:val="20"/>
                <w:color w:val="auto"/>
              </w:rPr>
            </w:pPr>
            <w:r>
              <w:rPr>
                <w:rFonts w:ascii="Arial" w:cs="Arial" w:eastAsia="Arial" w:hAnsi="Arial"/>
                <w:sz w:val="16"/>
                <w:szCs w:val="16"/>
                <w:color w:val="auto"/>
              </w:rPr>
              <w:t>In Peru</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w w:val="95"/>
              </w:rPr>
              <w:t>1,966,524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1,669,370</w:t>
            </w:r>
          </w:p>
        </w:tc>
        <w:tc>
          <w:tcPr>
            <w:tcW w:w="80" w:type="dxa"/>
            <w:vAlign w:val="bottom"/>
          </w:tcPr>
          <w:p>
            <w:pPr>
              <w:spacing w:after="0"/>
              <w:rPr>
                <w:sz w:val="15"/>
                <w:szCs w:val="15"/>
                <w:color w:val="auto"/>
              </w:rPr>
            </w:pP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1,799,467</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40" w:type="dxa"/>
            <w:vAlign w:val="bottom"/>
          </w:tcPr>
          <w:p>
            <w:pPr>
              <w:ind w:left="840"/>
              <w:spacing w:after="0"/>
              <w:rPr>
                <w:sz w:val="20"/>
                <w:szCs w:val="20"/>
                <w:color w:val="auto"/>
              </w:rPr>
            </w:pPr>
            <w:r>
              <w:rPr>
                <w:rFonts w:ascii="Arial" w:cs="Arial" w:eastAsia="Arial" w:hAnsi="Arial"/>
                <w:sz w:val="16"/>
                <w:szCs w:val="16"/>
                <w:color w:val="auto"/>
              </w:rPr>
              <w:t>In other countries</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289,694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295,169</w:t>
            </w: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197,971</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w w:val="95"/>
              </w:rPr>
              <w:t>2,256,218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1,964,539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top w:val="single" w:sz="8" w:color="auto"/>
            </w:tcBorders>
            <w:gridSpan w:val="2"/>
          </w:tcPr>
          <w:p>
            <w:pPr>
              <w:jc w:val="right"/>
              <w:ind w:right="60"/>
              <w:spacing w:after="0" w:line="167" w:lineRule="exact"/>
              <w:rPr>
                <w:sz w:val="20"/>
                <w:szCs w:val="20"/>
                <w:color w:val="auto"/>
              </w:rPr>
            </w:pPr>
            <w:r>
              <w:rPr>
                <w:rFonts w:ascii="Arial" w:cs="Arial" w:eastAsia="Arial" w:hAnsi="Arial"/>
                <w:sz w:val="16"/>
                <w:szCs w:val="16"/>
                <w:color w:val="auto"/>
              </w:rPr>
              <w:t>1,997,438</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7"/>
        </w:trPr>
        <w:tc>
          <w:tcPr>
            <w:tcW w:w="3340" w:type="dxa"/>
            <w:vAlign w:val="bottom"/>
          </w:tcPr>
          <w:p>
            <w:pPr>
              <w:ind w:left="840"/>
              <w:spacing w:after="0"/>
              <w:rPr>
                <w:sz w:val="20"/>
                <w:szCs w:val="20"/>
                <w:color w:val="auto"/>
              </w:rPr>
            </w:pPr>
            <w:r>
              <w:rPr>
                <w:rFonts w:ascii="Arial" w:cs="Arial" w:eastAsia="Arial" w:hAnsi="Arial"/>
                <w:sz w:val="16"/>
                <w:szCs w:val="16"/>
                <w:b w:val="1"/>
                <w:bCs w:val="1"/>
                <w:color w:val="auto"/>
              </w:rPr>
              <w:t>Deferred -</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840"/>
              <w:spacing w:after="0" w:line="175" w:lineRule="exact"/>
              <w:rPr>
                <w:sz w:val="20"/>
                <w:szCs w:val="20"/>
                <w:color w:val="auto"/>
              </w:rPr>
            </w:pPr>
            <w:r>
              <w:rPr>
                <w:rFonts w:ascii="Arial" w:cs="Arial" w:eastAsia="Arial" w:hAnsi="Arial"/>
                <w:sz w:val="16"/>
                <w:szCs w:val="16"/>
                <w:color w:val="auto"/>
              </w:rPr>
              <w:t>In Peru</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(23,182)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(28,734)</w:t>
            </w:r>
          </w:p>
        </w:tc>
        <w:tc>
          <w:tcPr>
            <w:tcW w:w="80" w:type="dxa"/>
            <w:vAlign w:val="bottom"/>
          </w:tcPr>
          <w:p>
            <w:pPr>
              <w:spacing w:after="0"/>
              <w:rPr>
                <w:sz w:val="15"/>
                <w:szCs w:val="15"/>
                <w:color w:val="auto"/>
              </w:rPr>
            </w:pP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37,447</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40" w:type="dxa"/>
            <w:vAlign w:val="bottom"/>
          </w:tcPr>
          <w:p>
            <w:pPr>
              <w:ind w:left="840"/>
              <w:spacing w:after="0"/>
              <w:rPr>
                <w:sz w:val="20"/>
                <w:szCs w:val="20"/>
                <w:color w:val="auto"/>
              </w:rPr>
            </w:pPr>
            <w:r>
              <w:rPr>
                <w:rFonts w:ascii="Arial" w:cs="Arial" w:eastAsia="Arial" w:hAnsi="Arial"/>
                <w:sz w:val="16"/>
                <w:szCs w:val="16"/>
                <w:color w:val="auto"/>
              </w:rPr>
              <w:t>In other countries</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6"/>
                <w:szCs w:val="16"/>
                <w:color w:val="auto"/>
              </w:rPr>
              <w:t>(31,761)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(47,354)</w:t>
            </w: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75,616</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3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(54,943)</w:t>
            </w:r>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(76,088)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top w:val="single" w:sz="8" w:color="auto"/>
            </w:tcBorders>
            <w:gridSpan w:val="2"/>
          </w:tcPr>
          <w:p>
            <w:pPr>
              <w:jc w:val="right"/>
              <w:ind w:right="60"/>
              <w:spacing w:after="0" w:line="167" w:lineRule="exact"/>
              <w:rPr>
                <w:sz w:val="20"/>
                <w:szCs w:val="20"/>
                <w:color w:val="auto"/>
              </w:rPr>
            </w:pPr>
            <w:r>
              <w:rPr>
                <w:rFonts w:ascii="Arial" w:cs="Arial" w:eastAsia="Arial" w:hAnsi="Arial"/>
                <w:sz w:val="16"/>
                <w:szCs w:val="16"/>
                <w:color w:val="auto"/>
              </w:rPr>
              <w:t>113,063</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5"/>
              </w:rPr>
              <w:t>2,201,275</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2"/>
          </w:tcPr>
          <w:p>
            <w:pPr>
              <w:jc w:val="right"/>
              <w:spacing w:after="0" w:line="167" w:lineRule="exact"/>
              <w:rPr>
                <w:sz w:val="20"/>
                <w:szCs w:val="20"/>
                <w:color w:val="auto"/>
              </w:rPr>
            </w:pPr>
            <w:r>
              <w:rPr>
                <w:rFonts w:ascii="Arial" w:cs="Arial" w:eastAsia="Arial" w:hAnsi="Arial"/>
                <w:sz w:val="16"/>
                <w:szCs w:val="16"/>
                <w:color w:val="auto"/>
              </w:rPr>
              <w:t>1,888,451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top w:val="single" w:sz="8" w:color="auto"/>
              <w:bottom w:val="single" w:sz="8" w:color="auto"/>
            </w:tcBorders>
            <w:gridSpan w:val="2"/>
          </w:tcPr>
          <w:p>
            <w:pPr>
              <w:jc w:val="right"/>
              <w:ind w:right="60"/>
              <w:spacing w:after="0" w:line="167" w:lineRule="exact"/>
              <w:rPr>
                <w:sz w:val="20"/>
                <w:szCs w:val="20"/>
                <w:color w:val="auto"/>
              </w:rPr>
            </w:pPr>
            <w:r>
              <w:rPr>
                <w:rFonts w:ascii="Arial" w:cs="Arial" w:eastAsia="Arial" w:hAnsi="Arial"/>
                <w:sz w:val="16"/>
                <w:szCs w:val="16"/>
                <w:color w:val="auto"/>
              </w:rPr>
              <w:t>2,110,501</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3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6"/>
          </w:tcPr>
          <w:p>
            <w:pPr>
              <w:jc w:val="right"/>
              <w:spacing w:after="0"/>
              <w:rPr>
                <w:sz w:val="20"/>
                <w:szCs w:val="20"/>
                <w:color w:val="auto"/>
              </w:rPr>
            </w:pPr>
            <w:r>
              <w:rPr>
                <w:rFonts w:ascii="Arial" w:cs="Arial" w:eastAsia="Arial" w:hAnsi="Arial"/>
                <w:sz w:val="12"/>
                <w:szCs w:val="12"/>
                <w:color w:val="auto"/>
              </w:rPr>
              <w:t>-102-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05" w:name="page106"/>
    <w:bookmarkEnd w:id="105"/>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7500" w:type="dxa"/>
            <w:vAlign w:val="bottom"/>
          </w:tcPr>
          <w:p>
            <w:pPr>
              <w:spacing w:after="0"/>
              <w:rPr>
                <w:sz w:val="20"/>
                <w:szCs w:val="20"/>
                <w:color w:val="auto"/>
              </w:rPr>
            </w:pPr>
            <w:r>
              <w:rPr>
                <w:rFonts w:ascii="Arial" w:cs="Arial" w:eastAsia="Arial" w:hAnsi="Arial"/>
                <w:sz w:val="16"/>
                <w:szCs w:val="16"/>
                <w:color w:val="auto"/>
              </w:rPr>
              <w:t>c)  The following table presents a summary of the Group’s deferred income tax:</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500" w:type="dxa"/>
            <w:vAlign w:val="bottom"/>
          </w:tcPr>
          <w:p>
            <w:pPr>
              <w:spacing w:after="0"/>
              <w:rPr>
                <w:sz w:val="24"/>
                <w:szCs w:val="24"/>
                <w:color w:val="auto"/>
              </w:rPr>
            </w:pPr>
          </w:p>
        </w:tc>
        <w:tc>
          <w:tcPr>
            <w:tcW w:w="132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5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Deferred income tax asset, net</w:t>
            </w:r>
          </w:p>
        </w:tc>
        <w:tc>
          <w:tcPr>
            <w:tcW w:w="28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7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7500" w:type="dxa"/>
            <w:vAlign w:val="bottom"/>
          </w:tcPr>
          <w:p>
            <w:pPr>
              <w:ind w:left="280"/>
              <w:spacing w:after="0" w:line="177" w:lineRule="exact"/>
              <w:rPr>
                <w:sz w:val="20"/>
                <w:szCs w:val="20"/>
                <w:color w:val="auto"/>
              </w:rPr>
            </w:pPr>
            <w:r>
              <w:rPr>
                <w:rFonts w:ascii="Arial" w:cs="Arial" w:eastAsia="Arial" w:hAnsi="Arial"/>
                <w:sz w:val="16"/>
                <w:szCs w:val="16"/>
                <w:b w:val="1"/>
                <w:bCs w:val="1"/>
                <w:color w:val="auto"/>
              </w:rPr>
              <w:t>Deferred asset</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Allowance for loan losses for loan portfolio</w:t>
            </w:r>
          </w:p>
        </w:tc>
        <w:tc>
          <w:tcPr>
            <w:tcW w:w="13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949,040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1,023,000</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Carry forward tax losses</w:t>
            </w:r>
          </w:p>
        </w:tc>
        <w:tc>
          <w:tcPr>
            <w:tcW w:w="13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198,248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152,201</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Provision for profit sharing</w:t>
            </w:r>
          </w:p>
        </w:tc>
        <w:tc>
          <w:tcPr>
            <w:tcW w:w="13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94,344</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70,908</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Provision for sundry expenses and risks</w:t>
            </w:r>
          </w:p>
        </w:tc>
        <w:tc>
          <w:tcPr>
            <w:tcW w:w="13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60,148</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60,103</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Provision for pending vacations</w:t>
            </w:r>
          </w:p>
        </w:tc>
        <w:tc>
          <w:tcPr>
            <w:tcW w:w="13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37,107</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32,420</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Unrealized losses due to valuation of investments at fair value through other comprehensive income</w:t>
            </w:r>
          </w:p>
        </w:tc>
        <w:tc>
          <w:tcPr>
            <w:tcW w:w="13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21,658</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38,476</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Depreciation of improvements for leased premises</w:t>
            </w:r>
          </w:p>
        </w:tc>
        <w:tc>
          <w:tcPr>
            <w:tcW w:w="13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15,219</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20,436</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Unrealized loss in valuation on cash flow hedge derivatives</w:t>
            </w:r>
          </w:p>
        </w:tc>
        <w:tc>
          <w:tcPr>
            <w:tcW w:w="13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1,055</w:t>
            </w:r>
          </w:p>
        </w:tc>
        <w:tc>
          <w:tcPr>
            <w:tcW w:w="160" w:type="dxa"/>
            <w:vAlign w:val="bottom"/>
          </w:tcPr>
          <w:p>
            <w:pPr>
              <w:spacing w:after="0"/>
              <w:rPr>
                <w:sz w:val="15"/>
                <w:szCs w:val="15"/>
                <w:color w:val="auto"/>
              </w:rPr>
            </w:pPr>
          </w:p>
        </w:tc>
        <w:tc>
          <w:tcPr>
            <w:tcW w:w="112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5,837</w:t>
            </w:r>
          </w:p>
        </w:tc>
        <w:tc>
          <w:tcPr>
            <w:tcW w:w="0" w:type="dxa"/>
            <w:vAlign w:val="bottom"/>
          </w:tcPr>
          <w:p>
            <w:pPr>
              <w:spacing w:after="0"/>
              <w:rPr>
                <w:sz w:val="1"/>
                <w:szCs w:val="1"/>
                <w:color w:val="auto"/>
              </w:rPr>
            </w:pPr>
          </w:p>
        </w:tc>
      </w:tr>
      <w:tr>
        <w:trPr>
          <w:trHeight w:val="205"/>
        </w:trPr>
        <w:tc>
          <w:tcPr>
            <w:tcW w:w="7500" w:type="dxa"/>
            <w:vAlign w:val="bottom"/>
          </w:tcPr>
          <w:p>
            <w:pPr>
              <w:ind w:left="280"/>
              <w:spacing w:after="0"/>
              <w:rPr>
                <w:sz w:val="20"/>
                <w:szCs w:val="20"/>
                <w:color w:val="auto"/>
              </w:rPr>
            </w:pPr>
            <w:r>
              <w:rPr>
                <w:rFonts w:ascii="Arial" w:cs="Arial" w:eastAsia="Arial" w:hAnsi="Arial"/>
                <w:sz w:val="16"/>
                <w:szCs w:val="16"/>
                <w:color w:val="auto"/>
              </w:rPr>
              <w:t>Others</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70,401</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135,511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7500" w:type="dxa"/>
            <w:vAlign w:val="bottom"/>
          </w:tcPr>
          <w:p>
            <w:pPr>
              <w:ind w:left="280"/>
              <w:spacing w:after="0"/>
              <w:rPr>
                <w:sz w:val="20"/>
                <w:szCs w:val="20"/>
                <w:color w:val="auto"/>
              </w:rPr>
            </w:pPr>
            <w:r>
              <w:rPr>
                <w:rFonts w:ascii="Arial" w:cs="Arial" w:eastAsia="Arial" w:hAnsi="Arial"/>
                <w:sz w:val="16"/>
                <w:szCs w:val="16"/>
                <w:b w:val="1"/>
                <w:bCs w:val="1"/>
                <w:color w:val="auto"/>
              </w:rPr>
              <w:t>Deferred liability</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Intangibles, net</w:t>
            </w:r>
          </w:p>
        </w:tc>
        <w:tc>
          <w:tcPr>
            <w:tcW w:w="1500" w:type="dxa"/>
            <w:vAlign w:val="bottom"/>
            <w:gridSpan w:val="4"/>
          </w:tcPr>
          <w:p>
            <w:pPr>
              <w:jc w:val="right"/>
              <w:ind w:right="140"/>
              <w:spacing w:after="0" w:line="175" w:lineRule="exact"/>
              <w:rPr>
                <w:sz w:val="20"/>
                <w:szCs w:val="20"/>
                <w:color w:val="auto"/>
              </w:rPr>
            </w:pPr>
            <w:r>
              <w:rPr>
                <w:rFonts w:ascii="Arial" w:cs="Arial" w:eastAsia="Arial" w:hAnsi="Arial"/>
                <w:sz w:val="16"/>
                <w:szCs w:val="16"/>
                <w:color w:val="auto"/>
              </w:rPr>
              <w:t>(101,945)</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(176,271)</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Adjustment for difference in exchange of Superintendencia Nacional de Aduanas y de Administración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Tributaria (SUNAT) and SBS</w:t>
            </w:r>
          </w:p>
        </w:tc>
        <w:tc>
          <w:tcPr>
            <w:tcW w:w="1500" w:type="dxa"/>
            <w:vAlign w:val="bottom"/>
            <w:gridSpan w:val="4"/>
          </w:tcPr>
          <w:p>
            <w:pPr>
              <w:jc w:val="right"/>
              <w:ind w:right="140"/>
              <w:spacing w:after="0" w:line="175" w:lineRule="exact"/>
              <w:rPr>
                <w:sz w:val="20"/>
                <w:szCs w:val="20"/>
                <w:color w:val="auto"/>
              </w:rPr>
            </w:pPr>
            <w:r>
              <w:rPr>
                <w:rFonts w:ascii="Arial" w:cs="Arial" w:eastAsia="Arial" w:hAnsi="Arial"/>
                <w:sz w:val="16"/>
                <w:szCs w:val="16"/>
                <w:color w:val="auto"/>
              </w:rPr>
              <w:t>(76,059)</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(45,016)</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Buildings depreciation</w:t>
            </w:r>
          </w:p>
        </w:tc>
        <w:tc>
          <w:tcPr>
            <w:tcW w:w="1500" w:type="dxa"/>
            <w:vAlign w:val="bottom"/>
            <w:gridSpan w:val="4"/>
          </w:tcPr>
          <w:p>
            <w:pPr>
              <w:jc w:val="right"/>
              <w:ind w:right="140"/>
              <w:spacing w:after="0" w:line="175" w:lineRule="exact"/>
              <w:rPr>
                <w:sz w:val="20"/>
                <w:szCs w:val="20"/>
                <w:color w:val="auto"/>
              </w:rPr>
            </w:pPr>
            <w:r>
              <w:rPr>
                <w:rFonts w:ascii="Arial" w:cs="Arial" w:eastAsia="Arial" w:hAnsi="Arial"/>
                <w:sz w:val="16"/>
                <w:szCs w:val="16"/>
                <w:color w:val="auto"/>
              </w:rPr>
              <w:t>(50,556)</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(63,839)</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Deferred acquisitions costs - DAC</w:t>
            </w:r>
          </w:p>
        </w:tc>
        <w:tc>
          <w:tcPr>
            <w:tcW w:w="1500" w:type="dxa"/>
            <w:vAlign w:val="bottom"/>
            <w:gridSpan w:val="4"/>
          </w:tcPr>
          <w:p>
            <w:pPr>
              <w:jc w:val="right"/>
              <w:ind w:right="140"/>
              <w:spacing w:after="0" w:line="175" w:lineRule="exact"/>
              <w:rPr>
                <w:sz w:val="20"/>
                <w:szCs w:val="20"/>
                <w:color w:val="auto"/>
              </w:rPr>
            </w:pPr>
            <w:r>
              <w:rPr>
                <w:rFonts w:ascii="Arial" w:cs="Arial" w:eastAsia="Arial" w:hAnsi="Arial"/>
                <w:sz w:val="16"/>
                <w:szCs w:val="16"/>
                <w:color w:val="auto"/>
              </w:rPr>
              <w:t>(17,362)</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(16,070)</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Buildings revaluation</w:t>
            </w:r>
          </w:p>
        </w:tc>
        <w:tc>
          <w:tcPr>
            <w:tcW w:w="1500" w:type="dxa"/>
            <w:vAlign w:val="bottom"/>
            <w:gridSpan w:val="4"/>
          </w:tcPr>
          <w:p>
            <w:pPr>
              <w:jc w:val="right"/>
              <w:ind w:right="140"/>
              <w:spacing w:after="0" w:line="175" w:lineRule="exact"/>
              <w:rPr>
                <w:sz w:val="20"/>
                <w:szCs w:val="20"/>
                <w:color w:val="auto"/>
              </w:rPr>
            </w:pPr>
            <w:r>
              <w:rPr>
                <w:rFonts w:ascii="Arial" w:cs="Arial" w:eastAsia="Arial" w:hAnsi="Arial"/>
                <w:sz w:val="16"/>
                <w:szCs w:val="16"/>
                <w:color w:val="auto"/>
              </w:rPr>
              <w:t>(1,991)</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(2,552)</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Unrealized gain in valuation on cash flow hedge derivatives</w:t>
            </w:r>
          </w:p>
        </w:tc>
        <w:tc>
          <w:tcPr>
            <w:tcW w:w="1500" w:type="dxa"/>
            <w:vAlign w:val="bottom"/>
            <w:gridSpan w:val="4"/>
          </w:tcPr>
          <w:p>
            <w:pPr>
              <w:jc w:val="right"/>
              <w:ind w:right="140"/>
              <w:spacing w:after="0" w:line="175" w:lineRule="exact"/>
              <w:rPr>
                <w:sz w:val="20"/>
                <w:szCs w:val="20"/>
                <w:color w:val="auto"/>
              </w:rPr>
            </w:pPr>
            <w:r>
              <w:rPr>
                <w:rFonts w:ascii="Arial" w:cs="Arial" w:eastAsia="Arial" w:hAnsi="Arial"/>
                <w:sz w:val="16"/>
                <w:szCs w:val="16"/>
                <w:color w:val="auto"/>
              </w:rPr>
              <w:t>(1,190)</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175"/>
        </w:trPr>
        <w:tc>
          <w:tcPr>
            <w:tcW w:w="7500" w:type="dxa"/>
            <w:vAlign w:val="bottom"/>
          </w:tcPr>
          <w:p>
            <w:pPr>
              <w:ind w:left="280"/>
              <w:spacing w:after="0" w:line="175" w:lineRule="exact"/>
              <w:rPr>
                <w:sz w:val="20"/>
                <w:szCs w:val="20"/>
                <w:color w:val="auto"/>
              </w:rPr>
            </w:pPr>
            <w:r>
              <w:rPr>
                <w:rFonts w:ascii="Arial" w:cs="Arial" w:eastAsia="Arial" w:hAnsi="Arial"/>
                <w:sz w:val="16"/>
                <w:szCs w:val="16"/>
                <w:color w:val="auto"/>
              </w:rPr>
              <w:t>Unrealized gain due to valuation of investments at fair value through other comprehensive income</w:t>
            </w:r>
          </w:p>
        </w:tc>
        <w:tc>
          <w:tcPr>
            <w:tcW w:w="13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853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(3,743)</w:t>
            </w:r>
          </w:p>
        </w:tc>
        <w:tc>
          <w:tcPr>
            <w:tcW w:w="0" w:type="dxa"/>
            <w:vAlign w:val="bottom"/>
          </w:tcPr>
          <w:p>
            <w:pPr>
              <w:spacing w:after="0"/>
              <w:rPr>
                <w:sz w:val="1"/>
                <w:szCs w:val="1"/>
                <w:color w:val="auto"/>
              </w:rPr>
            </w:pPr>
          </w:p>
        </w:tc>
      </w:tr>
      <w:tr>
        <w:trPr>
          <w:trHeight w:val="190"/>
        </w:trPr>
        <w:tc>
          <w:tcPr>
            <w:tcW w:w="7500" w:type="dxa"/>
            <w:vAlign w:val="bottom"/>
          </w:tcPr>
          <w:p>
            <w:pPr>
              <w:ind w:left="280"/>
              <w:spacing w:after="0"/>
              <w:rPr>
                <w:sz w:val="20"/>
                <w:szCs w:val="20"/>
                <w:color w:val="auto"/>
              </w:rPr>
            </w:pPr>
            <w:r>
              <w:rPr>
                <w:rFonts w:ascii="Arial" w:cs="Arial" w:eastAsia="Arial" w:hAnsi="Arial"/>
                <w:sz w:val="16"/>
                <w:szCs w:val="16"/>
                <w:color w:val="auto"/>
              </w:rPr>
              <w:t>Others</w:t>
            </w:r>
          </w:p>
        </w:tc>
        <w:tc>
          <w:tcPr>
            <w:tcW w:w="1500" w:type="dxa"/>
            <w:vAlign w:val="bottom"/>
            <w:gridSpan w:val="4"/>
          </w:tcPr>
          <w:p>
            <w:pPr>
              <w:jc w:val="right"/>
              <w:ind w:right="140"/>
              <w:spacing w:after="0"/>
              <w:rPr>
                <w:sz w:val="20"/>
                <w:szCs w:val="20"/>
                <w:color w:val="auto"/>
              </w:rPr>
            </w:pPr>
            <w:r>
              <w:rPr>
                <w:rFonts w:ascii="Arial" w:cs="Arial" w:eastAsia="Arial" w:hAnsi="Arial"/>
                <w:sz w:val="16"/>
                <w:szCs w:val="16"/>
                <w:color w:val="auto"/>
              </w:rPr>
              <w:t>(28,104)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(48,402)</w:t>
            </w:r>
          </w:p>
        </w:tc>
        <w:tc>
          <w:tcPr>
            <w:tcW w:w="0" w:type="dxa"/>
            <w:vAlign w:val="bottom"/>
          </w:tcPr>
          <w:p>
            <w:pPr>
              <w:spacing w:after="0"/>
              <w:rPr>
                <w:sz w:val="1"/>
                <w:szCs w:val="1"/>
                <w:color w:val="auto"/>
              </w:rPr>
            </w:pPr>
          </w:p>
        </w:tc>
      </w:tr>
      <w:tr>
        <w:trPr>
          <w:trHeight w:val="170"/>
        </w:trPr>
        <w:tc>
          <w:tcPr>
            <w:tcW w:w="7500" w:type="dxa"/>
            <w:vAlign w:val="bottom"/>
          </w:tcPr>
          <w:p>
            <w:pPr>
              <w:ind w:left="280"/>
              <w:spacing w:after="0" w:line="167" w:lineRule="exact"/>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4"/>
                <w:szCs w:val="14"/>
                <w:color w:val="auto"/>
              </w:rPr>
            </w:pPr>
          </w:p>
        </w:tc>
        <w:tc>
          <w:tcPr>
            <w:tcW w:w="106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1,170,866</w:t>
            </w: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1,182,195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424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Deferred income tax liability, net</w:t>
            </w:r>
          </w:p>
        </w:tc>
        <w:tc>
          <w:tcPr>
            <w:tcW w:w="320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5140" w:type="dxa"/>
            <w:vAlign w:val="bottom"/>
            <w:vMerge w:val="continue"/>
          </w:tcPr>
          <w:p>
            <w:pPr>
              <w:spacing w:after="0"/>
              <w:rPr>
                <w:sz w:val="10"/>
                <w:szCs w:val="10"/>
                <w:color w:val="auto"/>
              </w:rPr>
            </w:pPr>
          </w:p>
        </w:tc>
        <w:tc>
          <w:tcPr>
            <w:tcW w:w="3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140" w:type="dxa"/>
            <w:vAlign w:val="bottom"/>
          </w:tcPr>
          <w:p>
            <w:pPr>
              <w:ind w:left="840"/>
              <w:spacing w:after="0" w:line="177" w:lineRule="exact"/>
              <w:rPr>
                <w:sz w:val="20"/>
                <w:szCs w:val="20"/>
                <w:color w:val="auto"/>
              </w:rPr>
            </w:pPr>
            <w:r>
              <w:rPr>
                <w:rFonts w:ascii="Arial" w:cs="Arial" w:eastAsia="Arial" w:hAnsi="Arial"/>
                <w:sz w:val="16"/>
                <w:szCs w:val="16"/>
                <w:b w:val="1"/>
                <w:bCs w:val="1"/>
                <w:color w:val="auto"/>
              </w:rPr>
              <w:t>Deferred asset</w:t>
            </w:r>
          </w:p>
        </w:tc>
        <w:tc>
          <w:tcPr>
            <w:tcW w:w="3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Unrealized losses due to valuation of investments at fair</w:t>
            </w:r>
          </w:p>
        </w:tc>
        <w:tc>
          <w:tcPr>
            <w:tcW w:w="3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value through other comprehensive income</w:t>
            </w:r>
          </w:p>
        </w:tc>
        <w:tc>
          <w:tcPr>
            <w:tcW w:w="44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28,165</w:t>
            </w:r>
          </w:p>
        </w:tc>
        <w:tc>
          <w:tcPr>
            <w:tcW w:w="1700" w:type="dxa"/>
            <w:vAlign w:val="bottom"/>
            <w:gridSpan w:val="2"/>
          </w:tcPr>
          <w:p>
            <w:pPr>
              <w:jc w:val="right"/>
              <w:ind w:right="640"/>
              <w:spacing w:after="0" w:line="175" w:lineRule="exact"/>
              <w:rPr>
                <w:sz w:val="20"/>
                <w:szCs w:val="20"/>
                <w:color w:val="auto"/>
              </w:rPr>
            </w:pPr>
            <w:r>
              <w:rPr>
                <w:rFonts w:ascii="Arial" w:cs="Arial" w:eastAsia="Arial" w:hAnsi="Arial"/>
                <w:sz w:val="16"/>
                <w:szCs w:val="16"/>
                <w:color w:val="auto"/>
              </w:rPr>
              <w:t>8,731</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Provision for sundry expenses and risks</w:t>
            </w:r>
          </w:p>
        </w:tc>
        <w:tc>
          <w:tcPr>
            <w:tcW w:w="44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23,034</w:t>
            </w:r>
          </w:p>
        </w:tc>
        <w:tc>
          <w:tcPr>
            <w:tcW w:w="1700" w:type="dxa"/>
            <w:vAlign w:val="bottom"/>
            <w:gridSpan w:val="2"/>
          </w:tcPr>
          <w:p>
            <w:pPr>
              <w:jc w:val="right"/>
              <w:ind w:right="640"/>
              <w:spacing w:after="0" w:line="175" w:lineRule="exact"/>
              <w:rPr>
                <w:sz w:val="20"/>
                <w:szCs w:val="20"/>
                <w:color w:val="auto"/>
              </w:rPr>
            </w:pPr>
            <w:r>
              <w:rPr>
                <w:rFonts w:ascii="Arial" w:cs="Arial" w:eastAsia="Arial" w:hAnsi="Arial"/>
                <w:sz w:val="16"/>
                <w:szCs w:val="16"/>
                <w:color w:val="auto"/>
              </w:rPr>
              <w:t>12,395</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Carry forward tax losses</w:t>
            </w:r>
          </w:p>
        </w:tc>
        <w:tc>
          <w:tcPr>
            <w:tcW w:w="44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19,757</w:t>
            </w:r>
          </w:p>
        </w:tc>
        <w:tc>
          <w:tcPr>
            <w:tcW w:w="1700" w:type="dxa"/>
            <w:vAlign w:val="bottom"/>
            <w:gridSpan w:val="2"/>
          </w:tcPr>
          <w:p>
            <w:pPr>
              <w:jc w:val="right"/>
              <w:ind w:right="640"/>
              <w:spacing w:after="0" w:line="175" w:lineRule="exact"/>
              <w:rPr>
                <w:sz w:val="20"/>
                <w:szCs w:val="20"/>
                <w:color w:val="auto"/>
              </w:rPr>
            </w:pPr>
            <w:r>
              <w:rPr>
                <w:rFonts w:ascii="Arial" w:cs="Arial" w:eastAsia="Arial" w:hAnsi="Arial"/>
                <w:sz w:val="16"/>
                <w:szCs w:val="16"/>
                <w:color w:val="auto"/>
              </w:rPr>
              <w:t>19,757</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Provision for profit sharing</w:t>
            </w:r>
          </w:p>
        </w:tc>
        <w:tc>
          <w:tcPr>
            <w:tcW w:w="44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14,850</w:t>
            </w:r>
          </w:p>
        </w:tc>
        <w:tc>
          <w:tcPr>
            <w:tcW w:w="1700" w:type="dxa"/>
            <w:vAlign w:val="bottom"/>
            <w:gridSpan w:val="2"/>
          </w:tcPr>
          <w:p>
            <w:pPr>
              <w:jc w:val="right"/>
              <w:ind w:right="640"/>
              <w:spacing w:after="0" w:line="175" w:lineRule="exact"/>
              <w:rPr>
                <w:sz w:val="20"/>
                <w:szCs w:val="20"/>
                <w:color w:val="auto"/>
              </w:rPr>
            </w:pPr>
            <w:r>
              <w:rPr>
                <w:rFonts w:ascii="Arial" w:cs="Arial" w:eastAsia="Arial" w:hAnsi="Arial"/>
                <w:sz w:val="16"/>
                <w:szCs w:val="16"/>
                <w:color w:val="auto"/>
              </w:rPr>
              <w:t>17,897</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Deferred income due to commission</w:t>
            </w:r>
          </w:p>
        </w:tc>
        <w:tc>
          <w:tcPr>
            <w:tcW w:w="442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4,645</w:t>
            </w:r>
          </w:p>
        </w:tc>
        <w:tc>
          <w:tcPr>
            <w:tcW w:w="1700" w:type="dxa"/>
            <w:vAlign w:val="bottom"/>
            <w:gridSpan w:val="2"/>
          </w:tcPr>
          <w:p>
            <w:pPr>
              <w:jc w:val="right"/>
              <w:ind w:right="640"/>
              <w:spacing w:after="0" w:line="175" w:lineRule="exact"/>
              <w:rPr>
                <w:sz w:val="20"/>
                <w:szCs w:val="20"/>
                <w:color w:val="auto"/>
              </w:rPr>
            </w:pPr>
            <w:r>
              <w:rPr>
                <w:rFonts w:ascii="Arial" w:cs="Arial" w:eastAsia="Arial" w:hAnsi="Arial"/>
                <w:sz w:val="16"/>
                <w:szCs w:val="16"/>
                <w:color w:val="auto"/>
              </w:rPr>
              <w:t>5,274</w:t>
            </w:r>
          </w:p>
        </w:tc>
        <w:tc>
          <w:tcPr>
            <w:tcW w:w="0" w:type="dxa"/>
            <w:vAlign w:val="bottom"/>
          </w:tcPr>
          <w:p>
            <w:pPr>
              <w:spacing w:after="0"/>
              <w:rPr>
                <w:sz w:val="1"/>
                <w:szCs w:val="1"/>
                <w:color w:val="auto"/>
              </w:rPr>
            </w:pPr>
          </w:p>
        </w:tc>
      </w:tr>
      <w:tr>
        <w:trPr>
          <w:trHeight w:val="173"/>
        </w:trPr>
        <w:tc>
          <w:tcPr>
            <w:tcW w:w="5140" w:type="dxa"/>
            <w:vAlign w:val="bottom"/>
          </w:tcPr>
          <w:p>
            <w:pPr>
              <w:ind w:left="840"/>
              <w:spacing w:after="0" w:line="173" w:lineRule="exact"/>
              <w:rPr>
                <w:sz w:val="20"/>
                <w:szCs w:val="20"/>
                <w:color w:val="auto"/>
              </w:rPr>
            </w:pPr>
            <w:r>
              <w:rPr>
                <w:rFonts w:ascii="Arial" w:cs="Arial" w:eastAsia="Arial" w:hAnsi="Arial"/>
                <w:sz w:val="16"/>
                <w:szCs w:val="16"/>
                <w:color w:val="auto"/>
              </w:rPr>
              <w:t>Others</w:t>
            </w:r>
          </w:p>
        </w:tc>
        <w:tc>
          <w:tcPr>
            <w:tcW w:w="4420" w:type="dxa"/>
            <w:vAlign w:val="bottom"/>
            <w:gridSpan w:val="3"/>
          </w:tcPr>
          <w:p>
            <w:pPr>
              <w:jc w:val="right"/>
              <w:ind w:right="140"/>
              <w:spacing w:after="0" w:line="173" w:lineRule="exact"/>
              <w:rPr>
                <w:sz w:val="20"/>
                <w:szCs w:val="20"/>
                <w:color w:val="auto"/>
              </w:rPr>
            </w:pPr>
            <w:r>
              <w:rPr>
                <w:rFonts w:ascii="Arial" w:cs="Arial" w:eastAsia="Arial" w:hAnsi="Arial"/>
                <w:sz w:val="16"/>
                <w:szCs w:val="16"/>
                <w:color w:val="auto"/>
              </w:rPr>
              <w:t>(39,448)</w:t>
            </w:r>
          </w:p>
        </w:tc>
        <w:tc>
          <w:tcPr>
            <w:tcW w:w="1700" w:type="dxa"/>
            <w:vAlign w:val="bottom"/>
            <w:gridSpan w:val="2"/>
          </w:tcPr>
          <w:p>
            <w:pPr>
              <w:jc w:val="right"/>
              <w:ind w:right="580"/>
              <w:spacing w:after="0" w:line="173" w:lineRule="exact"/>
              <w:rPr>
                <w:sz w:val="20"/>
                <w:szCs w:val="20"/>
                <w:color w:val="auto"/>
              </w:rPr>
            </w:pPr>
            <w:r>
              <w:rPr>
                <w:rFonts w:ascii="Arial" w:cs="Arial" w:eastAsia="Arial" w:hAnsi="Arial"/>
                <w:sz w:val="16"/>
                <w:szCs w:val="16"/>
                <w:color w:val="auto"/>
              </w:rPr>
              <w:t>(16,564)</w:t>
            </w:r>
          </w:p>
        </w:tc>
        <w:tc>
          <w:tcPr>
            <w:tcW w:w="0" w:type="dxa"/>
            <w:vAlign w:val="bottom"/>
          </w:tcPr>
          <w:p>
            <w:pPr>
              <w:spacing w:after="0"/>
              <w:rPr>
                <w:sz w:val="1"/>
                <w:szCs w:val="1"/>
                <w:color w:val="auto"/>
              </w:rPr>
            </w:pPr>
          </w:p>
        </w:tc>
      </w:tr>
      <w:tr>
        <w:trPr>
          <w:trHeight w:val="215"/>
        </w:trPr>
        <w:tc>
          <w:tcPr>
            <w:tcW w:w="5140" w:type="dxa"/>
            <w:vAlign w:val="bottom"/>
          </w:tcPr>
          <w:p>
            <w:pPr>
              <w:ind w:left="840"/>
              <w:spacing w:after="0"/>
              <w:rPr>
                <w:sz w:val="20"/>
                <w:szCs w:val="20"/>
                <w:color w:val="auto"/>
              </w:rPr>
            </w:pPr>
            <w:r>
              <w:rPr>
                <w:rFonts w:ascii="Arial" w:cs="Arial" w:eastAsia="Arial" w:hAnsi="Arial"/>
                <w:sz w:val="16"/>
                <w:szCs w:val="16"/>
                <w:b w:val="1"/>
                <w:bCs w:val="1"/>
                <w:color w:val="auto"/>
              </w:rPr>
              <w:t>Deferred liability</w:t>
            </w: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5140" w:type="dxa"/>
            <w:vAlign w:val="bottom"/>
          </w:tcPr>
          <w:p>
            <w:pPr>
              <w:ind w:left="840"/>
              <w:spacing w:after="0"/>
              <w:rPr>
                <w:sz w:val="20"/>
                <w:szCs w:val="20"/>
                <w:color w:val="auto"/>
              </w:rPr>
            </w:pPr>
            <w:r>
              <w:rPr>
                <w:rFonts w:ascii="Arial" w:cs="Arial" w:eastAsia="Arial" w:hAnsi="Arial"/>
                <w:sz w:val="16"/>
                <w:szCs w:val="16"/>
                <w:color w:val="auto"/>
              </w:rPr>
              <w:t>Gain generated in the reorganization of Pacífico EPS</w:t>
            </w:r>
          </w:p>
        </w:tc>
        <w:tc>
          <w:tcPr>
            <w:tcW w:w="4420" w:type="dxa"/>
            <w:vAlign w:val="bottom"/>
            <w:gridSpan w:val="3"/>
          </w:tcPr>
          <w:p>
            <w:pPr>
              <w:jc w:val="right"/>
              <w:ind w:right="140"/>
              <w:spacing w:after="0"/>
              <w:rPr>
                <w:sz w:val="20"/>
                <w:szCs w:val="20"/>
                <w:color w:val="auto"/>
              </w:rPr>
            </w:pPr>
            <w:r>
              <w:rPr>
                <w:rFonts w:ascii="Arial" w:cs="Arial" w:eastAsia="Arial" w:hAnsi="Arial"/>
                <w:sz w:val="16"/>
                <w:szCs w:val="16"/>
                <w:color w:val="auto"/>
              </w:rPr>
              <w:t>(39,515)</w:t>
            </w:r>
          </w:p>
        </w:tc>
        <w:tc>
          <w:tcPr>
            <w:tcW w:w="1700" w:type="dxa"/>
            <w:vAlign w:val="bottom"/>
            <w:gridSpan w:val="2"/>
          </w:tcPr>
          <w:p>
            <w:pPr>
              <w:jc w:val="right"/>
              <w:ind w:right="580"/>
              <w:spacing w:after="0"/>
              <w:rPr>
                <w:sz w:val="20"/>
                <w:szCs w:val="20"/>
                <w:color w:val="auto"/>
              </w:rPr>
            </w:pPr>
            <w:r>
              <w:rPr>
                <w:rFonts w:ascii="Arial" w:cs="Arial" w:eastAsia="Arial" w:hAnsi="Arial"/>
                <w:sz w:val="16"/>
                <w:szCs w:val="16"/>
                <w:color w:val="auto"/>
              </w:rPr>
              <w:t>(39,515)</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Intangibles, net</w:t>
            </w:r>
          </w:p>
        </w:tc>
        <w:tc>
          <w:tcPr>
            <w:tcW w:w="442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(16,953)</w:t>
            </w:r>
          </w:p>
        </w:tc>
        <w:tc>
          <w:tcPr>
            <w:tcW w:w="1700" w:type="dxa"/>
            <w:vAlign w:val="bottom"/>
            <w:gridSpan w:val="2"/>
          </w:tcPr>
          <w:p>
            <w:pPr>
              <w:jc w:val="right"/>
              <w:ind w:right="580"/>
              <w:spacing w:after="0" w:line="175" w:lineRule="exact"/>
              <w:rPr>
                <w:sz w:val="20"/>
                <w:szCs w:val="20"/>
                <w:color w:val="auto"/>
              </w:rPr>
            </w:pPr>
            <w:r>
              <w:rPr>
                <w:rFonts w:ascii="Arial" w:cs="Arial" w:eastAsia="Arial" w:hAnsi="Arial"/>
                <w:sz w:val="16"/>
                <w:szCs w:val="16"/>
                <w:color w:val="auto"/>
              </w:rPr>
              <w:t>(36,569)</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Unrealized gain due to valuation of investments at fair</w:t>
            </w:r>
          </w:p>
        </w:tc>
        <w:tc>
          <w:tcPr>
            <w:tcW w:w="3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value through other comprehensive income</w:t>
            </w:r>
          </w:p>
        </w:tc>
        <w:tc>
          <w:tcPr>
            <w:tcW w:w="442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(14,739)</w:t>
            </w:r>
          </w:p>
        </w:tc>
        <w:tc>
          <w:tcPr>
            <w:tcW w:w="1700" w:type="dxa"/>
            <w:vAlign w:val="bottom"/>
            <w:gridSpan w:val="2"/>
          </w:tcPr>
          <w:p>
            <w:pPr>
              <w:jc w:val="right"/>
              <w:ind w:right="580"/>
              <w:spacing w:after="0" w:line="175" w:lineRule="exact"/>
              <w:rPr>
                <w:sz w:val="20"/>
                <w:szCs w:val="20"/>
                <w:color w:val="auto"/>
              </w:rPr>
            </w:pPr>
            <w:r>
              <w:rPr>
                <w:rFonts w:ascii="Arial" w:cs="Arial" w:eastAsia="Arial" w:hAnsi="Arial"/>
                <w:sz w:val="16"/>
                <w:szCs w:val="16"/>
                <w:color w:val="auto"/>
              </w:rPr>
              <w:t>(13,846)</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Reserve for reinstatement premium costs and deductibles</w:t>
            </w:r>
          </w:p>
        </w:tc>
        <w:tc>
          <w:tcPr>
            <w:tcW w:w="442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(11,104)</w:t>
            </w:r>
          </w:p>
        </w:tc>
        <w:tc>
          <w:tcPr>
            <w:tcW w:w="1700" w:type="dxa"/>
            <w:vAlign w:val="bottom"/>
            <w:gridSpan w:val="2"/>
          </w:tcPr>
          <w:p>
            <w:pPr>
              <w:jc w:val="right"/>
              <w:ind w:right="580"/>
              <w:spacing w:after="0" w:line="175" w:lineRule="exact"/>
              <w:rPr>
                <w:sz w:val="20"/>
                <w:szCs w:val="20"/>
                <w:color w:val="auto"/>
              </w:rPr>
            </w:pPr>
            <w:r>
              <w:rPr>
                <w:rFonts w:ascii="Arial" w:cs="Arial" w:eastAsia="Arial" w:hAnsi="Arial"/>
                <w:sz w:val="16"/>
                <w:szCs w:val="16"/>
                <w:color w:val="auto"/>
              </w:rPr>
              <w:t>(10,942)</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Deferred acquisitions costs - DAC</w:t>
            </w:r>
          </w:p>
        </w:tc>
        <w:tc>
          <w:tcPr>
            <w:tcW w:w="442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(8,277)</w:t>
            </w:r>
          </w:p>
        </w:tc>
        <w:tc>
          <w:tcPr>
            <w:tcW w:w="1700" w:type="dxa"/>
            <w:vAlign w:val="bottom"/>
            <w:gridSpan w:val="2"/>
          </w:tcPr>
          <w:p>
            <w:pPr>
              <w:jc w:val="right"/>
              <w:ind w:right="580"/>
              <w:spacing w:after="0" w:line="175" w:lineRule="exact"/>
              <w:rPr>
                <w:sz w:val="20"/>
                <w:szCs w:val="20"/>
                <w:color w:val="auto"/>
              </w:rPr>
            </w:pPr>
            <w:r>
              <w:rPr>
                <w:rFonts w:ascii="Arial" w:cs="Arial" w:eastAsia="Arial" w:hAnsi="Arial"/>
                <w:sz w:val="16"/>
                <w:szCs w:val="16"/>
                <w:color w:val="auto"/>
              </w:rPr>
              <w:t>(8,186)</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Buildings revaluation</w:t>
            </w:r>
          </w:p>
        </w:tc>
        <w:tc>
          <w:tcPr>
            <w:tcW w:w="442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(2,990)</w:t>
            </w:r>
          </w:p>
        </w:tc>
        <w:tc>
          <w:tcPr>
            <w:tcW w:w="1700" w:type="dxa"/>
            <w:vAlign w:val="bottom"/>
            <w:gridSpan w:val="2"/>
          </w:tcPr>
          <w:p>
            <w:pPr>
              <w:jc w:val="right"/>
              <w:ind w:right="580"/>
              <w:spacing w:after="0" w:line="175" w:lineRule="exact"/>
              <w:rPr>
                <w:sz w:val="20"/>
                <w:szCs w:val="20"/>
                <w:color w:val="auto"/>
              </w:rPr>
            </w:pPr>
            <w:r>
              <w:rPr>
                <w:rFonts w:ascii="Arial" w:cs="Arial" w:eastAsia="Arial" w:hAnsi="Arial"/>
                <w:sz w:val="16"/>
                <w:szCs w:val="16"/>
                <w:color w:val="auto"/>
              </w:rPr>
              <w:t>(3,296)</w:t>
            </w:r>
          </w:p>
        </w:tc>
        <w:tc>
          <w:tcPr>
            <w:tcW w:w="0" w:type="dxa"/>
            <w:vAlign w:val="bottom"/>
          </w:tcPr>
          <w:p>
            <w:pPr>
              <w:spacing w:after="0"/>
              <w:rPr>
                <w:sz w:val="1"/>
                <w:szCs w:val="1"/>
                <w:color w:val="auto"/>
              </w:rPr>
            </w:pPr>
          </w:p>
        </w:tc>
      </w:tr>
      <w:tr>
        <w:trPr>
          <w:trHeight w:val="175"/>
        </w:trPr>
        <w:tc>
          <w:tcPr>
            <w:tcW w:w="5140" w:type="dxa"/>
            <w:vAlign w:val="bottom"/>
          </w:tcPr>
          <w:p>
            <w:pPr>
              <w:ind w:left="840"/>
              <w:spacing w:after="0" w:line="175" w:lineRule="exact"/>
              <w:rPr>
                <w:sz w:val="20"/>
                <w:szCs w:val="20"/>
                <w:color w:val="auto"/>
              </w:rPr>
            </w:pPr>
            <w:r>
              <w:rPr>
                <w:rFonts w:ascii="Arial" w:cs="Arial" w:eastAsia="Arial" w:hAnsi="Arial"/>
                <w:sz w:val="16"/>
                <w:szCs w:val="16"/>
                <w:color w:val="auto"/>
              </w:rPr>
              <w:t>Leasing operations related to loans</w:t>
            </w:r>
          </w:p>
        </w:tc>
        <w:tc>
          <w:tcPr>
            <w:tcW w:w="442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(2,852)</w:t>
            </w:r>
          </w:p>
        </w:tc>
        <w:tc>
          <w:tcPr>
            <w:tcW w:w="1700" w:type="dxa"/>
            <w:vAlign w:val="bottom"/>
            <w:gridSpan w:val="2"/>
          </w:tcPr>
          <w:p>
            <w:pPr>
              <w:jc w:val="right"/>
              <w:ind w:right="580"/>
              <w:spacing w:after="0" w:line="175" w:lineRule="exact"/>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190"/>
        </w:trPr>
        <w:tc>
          <w:tcPr>
            <w:tcW w:w="5140" w:type="dxa"/>
            <w:vAlign w:val="bottom"/>
          </w:tcPr>
          <w:p>
            <w:pPr>
              <w:ind w:left="840"/>
              <w:spacing w:after="0"/>
              <w:rPr>
                <w:sz w:val="20"/>
                <w:szCs w:val="20"/>
                <w:color w:val="auto"/>
              </w:rPr>
            </w:pPr>
            <w:r>
              <w:rPr>
                <w:rFonts w:ascii="Arial" w:cs="Arial" w:eastAsia="Arial" w:hAnsi="Arial"/>
                <w:sz w:val="16"/>
                <w:szCs w:val="16"/>
                <w:color w:val="auto"/>
              </w:rPr>
              <w:t>Others</w:t>
            </w:r>
          </w:p>
        </w:tc>
        <w:tc>
          <w:tcPr>
            <w:tcW w:w="4420" w:type="dxa"/>
            <w:vAlign w:val="bottom"/>
            <w:gridSpan w:val="3"/>
          </w:tcPr>
          <w:p>
            <w:pPr>
              <w:jc w:val="right"/>
              <w:ind w:right="140"/>
              <w:spacing w:after="0"/>
              <w:rPr>
                <w:sz w:val="20"/>
                <w:szCs w:val="20"/>
                <w:color w:val="auto"/>
              </w:rPr>
            </w:pPr>
            <w:r>
              <w:rPr>
                <w:rFonts w:ascii="Arial" w:cs="Arial" w:eastAsia="Arial" w:hAnsi="Arial"/>
                <w:sz w:val="16"/>
                <w:szCs w:val="16"/>
                <w:color w:val="auto"/>
              </w:rPr>
              <w:t>(13,598)</w:t>
            </w:r>
          </w:p>
        </w:tc>
        <w:tc>
          <w:tcPr>
            <w:tcW w:w="1700" w:type="dxa"/>
            <w:vAlign w:val="bottom"/>
            <w:gridSpan w:val="2"/>
          </w:tcPr>
          <w:p>
            <w:pPr>
              <w:jc w:val="right"/>
              <w:ind w:right="580"/>
              <w:spacing w:after="0"/>
              <w:rPr>
                <w:sz w:val="20"/>
                <w:szCs w:val="20"/>
                <w:color w:val="auto"/>
              </w:rPr>
            </w:pPr>
            <w:r>
              <w:rPr>
                <w:rFonts w:ascii="Arial" w:cs="Arial" w:eastAsia="Arial" w:hAnsi="Arial"/>
                <w:sz w:val="16"/>
                <w:szCs w:val="16"/>
                <w:color w:val="auto"/>
              </w:rPr>
              <w:t>(39,615)</w:t>
            </w:r>
          </w:p>
        </w:tc>
        <w:tc>
          <w:tcPr>
            <w:tcW w:w="0" w:type="dxa"/>
            <w:vAlign w:val="bottom"/>
          </w:tcPr>
          <w:p>
            <w:pPr>
              <w:spacing w:after="0"/>
              <w:rPr>
                <w:sz w:val="1"/>
                <w:szCs w:val="1"/>
                <w:color w:val="auto"/>
              </w:rPr>
            </w:pPr>
          </w:p>
        </w:tc>
      </w:tr>
      <w:tr>
        <w:trPr>
          <w:trHeight w:val="170"/>
        </w:trPr>
        <w:tc>
          <w:tcPr>
            <w:tcW w:w="5140" w:type="dxa"/>
            <w:vAlign w:val="bottom"/>
          </w:tcPr>
          <w:p>
            <w:pPr>
              <w:ind w:left="840"/>
              <w:spacing w:after="0" w:line="167" w:lineRule="exact"/>
              <w:rPr>
                <w:sz w:val="20"/>
                <w:szCs w:val="20"/>
                <w:color w:val="auto"/>
              </w:rPr>
            </w:pPr>
            <w:r>
              <w:rPr>
                <w:rFonts w:ascii="Arial" w:cs="Arial" w:eastAsia="Arial" w:hAnsi="Arial"/>
                <w:sz w:val="16"/>
                <w:szCs w:val="16"/>
                <w:b w:val="1"/>
                <w:bCs w:val="1"/>
                <w:color w:val="auto"/>
              </w:rPr>
              <w:t>Total</w:t>
            </w:r>
          </w:p>
        </w:tc>
        <w:tc>
          <w:tcPr>
            <w:tcW w:w="32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(59,025)</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(107,517)</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5140" w:type="dxa"/>
            <w:vAlign w:val="bottom"/>
          </w:tcPr>
          <w:p>
            <w:pPr>
              <w:spacing w:after="0"/>
              <w:rPr>
                <w:sz w:val="24"/>
                <w:szCs w:val="24"/>
                <w:color w:val="auto"/>
              </w:rPr>
            </w:pPr>
          </w:p>
        </w:tc>
        <w:tc>
          <w:tcPr>
            <w:tcW w:w="3200" w:type="dxa"/>
            <w:vAlign w:val="bottom"/>
          </w:tcPr>
          <w:p>
            <w:pPr>
              <w:jc w:val="right"/>
              <w:ind w:right="2503"/>
              <w:spacing w:after="0"/>
              <w:rPr>
                <w:sz w:val="20"/>
                <w:szCs w:val="20"/>
                <w:color w:val="auto"/>
              </w:rPr>
            </w:pPr>
            <w:r>
              <w:rPr>
                <w:rFonts w:ascii="Arial" w:cs="Arial" w:eastAsia="Arial" w:hAnsi="Arial"/>
                <w:sz w:val="12"/>
                <w:szCs w:val="12"/>
                <w:color w:val="auto"/>
              </w:rPr>
              <w:t>-103-</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1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06" w:name="page107"/>
    <w:bookmarkEnd w:id="106"/>
    <w:p>
      <w:pPr>
        <w:ind w:left="286" w:right="560"/>
        <w:spacing w:after="0" w:line="242" w:lineRule="auto"/>
        <w:rPr>
          <w:sz w:val="20"/>
          <w:szCs w:val="20"/>
          <w:color w:val="auto"/>
        </w:rPr>
      </w:pPr>
      <w:r>
        <w:rPr>
          <w:rFonts w:ascii="Arial" w:cs="Arial" w:eastAsia="Arial" w:hAnsi="Arial"/>
          <w:sz w:val="16"/>
          <w:szCs w:val="16"/>
          <w:color w:val="auto"/>
        </w:rPr>
        <w:t>The Group has recorded a deferred asset corresponding to accumulated tax losses, such losses relate to subsidiaries that have a history of tax loss carryforwards and will be offset against future taxable profits. This benefit cannot be offset against future taxable profits of other Group companies.</w:t>
      </w:r>
    </w:p>
    <w:p>
      <w:pPr>
        <w:spacing w:after="0" w:line="145" w:lineRule="exact"/>
        <w:rPr>
          <w:sz w:val="20"/>
          <w:szCs w:val="20"/>
          <w:color w:val="auto"/>
        </w:rPr>
      </w:pPr>
    </w:p>
    <w:p>
      <w:pPr>
        <w:ind w:left="286" w:right="100" w:hanging="286"/>
        <w:spacing w:after="0" w:line="241" w:lineRule="auto"/>
        <w:tabs>
          <w:tab w:leader="none" w:pos="28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Peruvian Tax Authority has the right to review and, if necessary, request the amend the Tax returns filed by Peruvian subsidiaries up to four years after their filing date. However, this period may be suspended according to the criteria established in the tax legislation. Tax returns of the major subsidiaries open for examination by the tax authorities are as follows:</w:t>
      </w:r>
    </w:p>
    <w:p>
      <w:pPr>
        <w:spacing w:after="0" w:line="137" w:lineRule="exact"/>
        <w:rPr>
          <w:sz w:val="20"/>
          <w:szCs w:val="20"/>
          <w:color w:val="auto"/>
        </w:rPr>
      </w:pPr>
    </w:p>
    <w:tbl>
      <w:tblPr>
        <w:tblLayout w:type="fixed"/>
        <w:tblInd w:w="286" w:type="dxa"/>
        <w:tblCellMar>
          <w:top w:w="0" w:type="dxa"/>
          <w:left w:w="0" w:type="dxa"/>
          <w:bottom w:w="0" w:type="dxa"/>
          <w:right w:w="0" w:type="dxa"/>
        </w:tblCellMar>
      </w:tblPr>
      <w:tr>
        <w:trPr>
          <w:trHeight w:val="184"/>
        </w:trPr>
        <w:tc>
          <w:tcPr>
            <w:tcW w:w="6560" w:type="dxa"/>
            <w:vAlign w:val="bottom"/>
          </w:tcPr>
          <w:p>
            <w:pPr>
              <w:spacing w:after="0"/>
              <w:rPr>
                <w:sz w:val="20"/>
                <w:szCs w:val="20"/>
                <w:color w:val="auto"/>
              </w:rPr>
            </w:pPr>
            <w:r>
              <w:rPr>
                <w:rFonts w:ascii="Arial" w:cs="Arial" w:eastAsia="Arial" w:hAnsi="Arial"/>
                <w:sz w:val="16"/>
                <w:szCs w:val="16"/>
                <w:color w:val="auto"/>
              </w:rPr>
              <w:t>Banco de Crédito del Perú S.A.</w:t>
            </w:r>
          </w:p>
        </w:tc>
        <w:tc>
          <w:tcPr>
            <w:tcW w:w="3560" w:type="dxa"/>
            <w:vAlign w:val="bottom"/>
          </w:tcPr>
          <w:p>
            <w:pPr>
              <w:jc w:val="right"/>
              <w:spacing w:after="0"/>
              <w:rPr>
                <w:sz w:val="20"/>
                <w:szCs w:val="20"/>
                <w:color w:val="auto"/>
              </w:rPr>
            </w:pPr>
            <w:r>
              <w:rPr>
                <w:rFonts w:ascii="Arial" w:cs="Arial" w:eastAsia="Arial" w:hAnsi="Arial"/>
                <w:sz w:val="16"/>
                <w:szCs w:val="16"/>
                <w:color w:val="auto"/>
              </w:rPr>
              <w:t>2016, 2017, 2021 to 2023</w:t>
            </w: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MiBanco, Banco de la Microempresa S.A.</w:t>
            </w:r>
          </w:p>
        </w:tc>
        <w:tc>
          <w:tcPr>
            <w:tcW w:w="3560" w:type="dxa"/>
            <w:vAlign w:val="bottom"/>
          </w:tcPr>
          <w:p>
            <w:pPr>
              <w:jc w:val="right"/>
              <w:spacing w:after="0" w:line="175" w:lineRule="exact"/>
              <w:rPr>
                <w:sz w:val="20"/>
                <w:szCs w:val="20"/>
                <w:color w:val="auto"/>
              </w:rPr>
            </w:pPr>
            <w:r>
              <w:rPr>
                <w:rFonts w:ascii="Arial" w:cs="Arial" w:eastAsia="Arial" w:hAnsi="Arial"/>
                <w:sz w:val="16"/>
                <w:szCs w:val="16"/>
                <w:color w:val="auto"/>
              </w:rPr>
              <w:t>2023</w:t>
            </w: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Pacífico Compañía de Seguros y Reaseguros</w:t>
            </w:r>
          </w:p>
        </w:tc>
        <w:tc>
          <w:tcPr>
            <w:tcW w:w="3560" w:type="dxa"/>
            <w:vAlign w:val="bottom"/>
          </w:tcPr>
          <w:p>
            <w:pPr>
              <w:jc w:val="right"/>
              <w:spacing w:after="0" w:line="175" w:lineRule="exact"/>
              <w:rPr>
                <w:sz w:val="20"/>
                <w:szCs w:val="20"/>
                <w:color w:val="auto"/>
              </w:rPr>
            </w:pPr>
            <w:r>
              <w:rPr>
                <w:rFonts w:ascii="Arial" w:cs="Arial" w:eastAsia="Arial" w:hAnsi="Arial"/>
                <w:sz w:val="16"/>
                <w:szCs w:val="16"/>
                <w:color w:val="auto"/>
              </w:rPr>
              <w:t>2019 to 2023</w:t>
            </w: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Credicorp Capital Servicios Financieros</w:t>
            </w:r>
          </w:p>
        </w:tc>
        <w:tc>
          <w:tcPr>
            <w:tcW w:w="3560" w:type="dxa"/>
            <w:vAlign w:val="bottom"/>
          </w:tcPr>
          <w:p>
            <w:pPr>
              <w:jc w:val="right"/>
              <w:spacing w:after="0" w:line="175" w:lineRule="exact"/>
              <w:rPr>
                <w:sz w:val="20"/>
                <w:szCs w:val="20"/>
                <w:color w:val="auto"/>
              </w:rPr>
            </w:pPr>
            <w:r>
              <w:rPr>
                <w:rFonts w:ascii="Arial" w:cs="Arial" w:eastAsia="Arial" w:hAnsi="Arial"/>
                <w:sz w:val="16"/>
                <w:szCs w:val="16"/>
                <w:color w:val="auto"/>
              </w:rPr>
              <w:t>2019 to 2023</w:t>
            </w: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Credicorp Capital Perú</w:t>
            </w:r>
          </w:p>
        </w:tc>
        <w:tc>
          <w:tcPr>
            <w:tcW w:w="3560" w:type="dxa"/>
            <w:vAlign w:val="bottom"/>
          </w:tcPr>
          <w:p>
            <w:pPr>
              <w:jc w:val="right"/>
              <w:spacing w:after="0" w:line="175" w:lineRule="exact"/>
              <w:rPr>
                <w:sz w:val="20"/>
                <w:szCs w:val="20"/>
                <w:color w:val="auto"/>
              </w:rPr>
            </w:pPr>
            <w:r>
              <w:rPr>
                <w:rFonts w:ascii="Arial" w:cs="Arial" w:eastAsia="Arial" w:hAnsi="Arial"/>
                <w:sz w:val="16"/>
                <w:szCs w:val="16"/>
                <w:color w:val="auto"/>
              </w:rPr>
              <w:t>2019, 2020, 2022 and 2023</w:t>
            </w:r>
          </w:p>
        </w:tc>
      </w:tr>
      <w:tr>
        <w:trPr>
          <w:trHeight w:val="205"/>
        </w:trPr>
        <w:tc>
          <w:tcPr>
            <w:tcW w:w="6560" w:type="dxa"/>
            <w:vAlign w:val="bottom"/>
          </w:tcPr>
          <w:p>
            <w:pPr>
              <w:spacing w:after="0"/>
              <w:rPr>
                <w:sz w:val="20"/>
                <w:szCs w:val="20"/>
                <w:color w:val="auto"/>
              </w:rPr>
            </w:pPr>
            <w:r>
              <w:rPr>
                <w:rFonts w:ascii="Arial" w:cs="Arial" w:eastAsia="Arial" w:hAnsi="Arial"/>
                <w:sz w:val="16"/>
                <w:szCs w:val="16"/>
                <w:color w:val="auto"/>
              </w:rPr>
              <w:t>Grupo Credito</w:t>
            </w:r>
          </w:p>
        </w:tc>
        <w:tc>
          <w:tcPr>
            <w:tcW w:w="3560" w:type="dxa"/>
            <w:vAlign w:val="bottom"/>
          </w:tcPr>
          <w:p>
            <w:pPr>
              <w:jc w:val="right"/>
              <w:spacing w:after="0"/>
              <w:rPr>
                <w:sz w:val="20"/>
                <w:szCs w:val="20"/>
                <w:color w:val="auto"/>
              </w:rPr>
            </w:pPr>
            <w:r>
              <w:rPr>
                <w:rFonts w:ascii="Arial" w:cs="Arial" w:eastAsia="Arial" w:hAnsi="Arial"/>
                <w:sz w:val="16"/>
                <w:szCs w:val="16"/>
                <w:color w:val="auto"/>
              </w:rPr>
              <w:t>2020 to 2023</w:t>
            </w:r>
          </w:p>
        </w:tc>
      </w:tr>
      <w:tr>
        <w:trPr>
          <w:trHeight w:val="350"/>
        </w:trPr>
        <w:tc>
          <w:tcPr>
            <w:tcW w:w="6560" w:type="dxa"/>
            <w:vAlign w:val="bottom"/>
          </w:tcPr>
          <w:p>
            <w:pPr>
              <w:spacing w:after="0"/>
              <w:rPr>
                <w:sz w:val="20"/>
                <w:szCs w:val="20"/>
                <w:color w:val="auto"/>
              </w:rPr>
            </w:pPr>
            <w:r>
              <w:rPr>
                <w:rFonts w:ascii="Arial" w:cs="Arial" w:eastAsia="Arial" w:hAnsi="Arial"/>
                <w:sz w:val="16"/>
                <w:szCs w:val="16"/>
                <w:color w:val="auto"/>
              </w:rPr>
              <w:t>It is worth mentioning that the Tax Authority is auditing the tax return of:</w:t>
            </w:r>
          </w:p>
        </w:tc>
        <w:tc>
          <w:tcPr>
            <w:tcW w:w="3560" w:type="dxa"/>
            <w:vAlign w:val="bottom"/>
          </w:tcPr>
          <w:p>
            <w:pPr>
              <w:spacing w:after="0"/>
              <w:rPr>
                <w:sz w:val="24"/>
                <w:szCs w:val="24"/>
                <w:color w:val="auto"/>
              </w:rPr>
            </w:pPr>
          </w:p>
        </w:tc>
      </w:tr>
      <w:tr>
        <w:trPr>
          <w:trHeight w:val="320"/>
        </w:trPr>
        <w:tc>
          <w:tcPr>
            <w:tcW w:w="6560" w:type="dxa"/>
            <w:vAlign w:val="bottom"/>
          </w:tcPr>
          <w:p>
            <w:pPr>
              <w:spacing w:after="0"/>
              <w:rPr>
                <w:sz w:val="20"/>
                <w:szCs w:val="20"/>
                <w:color w:val="auto"/>
              </w:rPr>
            </w:pPr>
            <w:r>
              <w:rPr>
                <w:rFonts w:ascii="Arial" w:cs="Arial" w:eastAsia="Arial" w:hAnsi="Arial"/>
                <w:sz w:val="16"/>
                <w:szCs w:val="16"/>
                <w:color w:val="auto"/>
              </w:rPr>
              <w:t>Banco de Crédito del Perú S.A.</w:t>
            </w:r>
          </w:p>
        </w:tc>
        <w:tc>
          <w:tcPr>
            <w:tcW w:w="356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175"/>
        </w:trPr>
        <w:tc>
          <w:tcPr>
            <w:tcW w:w="6560" w:type="dxa"/>
            <w:vAlign w:val="bottom"/>
          </w:tcPr>
          <w:p>
            <w:pPr>
              <w:spacing w:after="0" w:line="175" w:lineRule="exact"/>
              <w:rPr>
                <w:sz w:val="20"/>
                <w:szCs w:val="20"/>
                <w:color w:val="auto"/>
              </w:rPr>
            </w:pPr>
            <w:r>
              <w:rPr>
                <w:rFonts w:ascii="Arial" w:cs="Arial" w:eastAsia="Arial" w:hAnsi="Arial"/>
                <w:sz w:val="16"/>
                <w:szCs w:val="16"/>
                <w:color w:val="auto"/>
              </w:rPr>
              <w:t>MiBanco, Banco de la Microempresa S.A.</w:t>
            </w:r>
          </w:p>
        </w:tc>
        <w:tc>
          <w:tcPr>
            <w:tcW w:w="3560" w:type="dxa"/>
            <w:vAlign w:val="bottom"/>
          </w:tcPr>
          <w:p>
            <w:pPr>
              <w:jc w:val="right"/>
              <w:spacing w:after="0" w:line="175" w:lineRule="exact"/>
              <w:rPr>
                <w:sz w:val="20"/>
                <w:szCs w:val="20"/>
                <w:color w:val="auto"/>
              </w:rPr>
            </w:pPr>
            <w:r>
              <w:rPr>
                <w:rFonts w:ascii="Arial" w:cs="Arial" w:eastAsia="Arial" w:hAnsi="Arial"/>
                <w:sz w:val="16"/>
                <w:szCs w:val="16"/>
                <w:color w:val="auto"/>
              </w:rPr>
              <w:t>2022</w:t>
            </w:r>
          </w:p>
        </w:tc>
      </w:tr>
      <w:tr>
        <w:trPr>
          <w:trHeight w:val="205"/>
        </w:trPr>
        <w:tc>
          <w:tcPr>
            <w:tcW w:w="6560" w:type="dxa"/>
            <w:vAlign w:val="bottom"/>
          </w:tcPr>
          <w:p>
            <w:pPr>
              <w:spacing w:after="0"/>
              <w:rPr>
                <w:sz w:val="20"/>
                <w:szCs w:val="20"/>
                <w:color w:val="auto"/>
              </w:rPr>
            </w:pPr>
            <w:r>
              <w:rPr>
                <w:rFonts w:ascii="Arial" w:cs="Arial" w:eastAsia="Arial" w:hAnsi="Arial"/>
                <w:sz w:val="16"/>
                <w:szCs w:val="16"/>
                <w:color w:val="auto"/>
              </w:rPr>
              <w:t>Credicorp Capital Perú</w:t>
            </w:r>
          </w:p>
        </w:tc>
        <w:tc>
          <w:tcPr>
            <w:tcW w:w="3560" w:type="dxa"/>
            <w:vAlign w:val="bottom"/>
          </w:tcPr>
          <w:p>
            <w:pPr>
              <w:jc w:val="right"/>
              <w:spacing w:after="0"/>
              <w:rPr>
                <w:sz w:val="20"/>
                <w:szCs w:val="20"/>
                <w:color w:val="auto"/>
              </w:rPr>
            </w:pPr>
            <w:r>
              <w:rPr>
                <w:rFonts w:ascii="Arial" w:cs="Arial" w:eastAsia="Arial" w:hAnsi="Arial"/>
                <w:sz w:val="16"/>
                <w:szCs w:val="16"/>
                <w:color w:val="auto"/>
              </w:rPr>
              <w:t>2021</w:t>
            </w:r>
          </w:p>
        </w:tc>
      </w:tr>
    </w:tbl>
    <w:p>
      <w:pPr>
        <w:spacing w:after="0" w:line="145" w:lineRule="exact"/>
        <w:rPr>
          <w:sz w:val="20"/>
          <w:szCs w:val="20"/>
          <w:color w:val="auto"/>
        </w:rPr>
      </w:pPr>
    </w:p>
    <w:p>
      <w:pPr>
        <w:ind w:left="286" w:right="60"/>
        <w:spacing w:after="0" w:line="238" w:lineRule="auto"/>
        <w:rPr>
          <w:sz w:val="20"/>
          <w:szCs w:val="20"/>
          <w:color w:val="auto"/>
        </w:rPr>
      </w:pPr>
      <w:r>
        <w:rPr>
          <w:rFonts w:ascii="Arial" w:cs="Arial" w:eastAsia="Arial" w:hAnsi="Arial"/>
          <w:sz w:val="16"/>
          <w:szCs w:val="16"/>
          <w:color w:val="auto"/>
        </w:rPr>
        <w:t>The Tax Authorities of Bolivia and Colombia have the power to review and, if applicable, to make a new Income Tax assessment of Credicorp's subsidiaries located in such countries, which also regulate the terms for the review after the filing of the Income Tax returns. Additionally, in the case of Colombia, a 6-year term was established for taxpayers obliged to apply the rules on Transfer Pricing or taxpayers who declare tax losses. The annual tax returns pending review by the foreign tax authorities are as follows:</w:t>
      </w:r>
    </w:p>
    <w:p>
      <w:pPr>
        <w:spacing w:after="0" w:line="136" w:lineRule="exact"/>
        <w:rPr>
          <w:sz w:val="20"/>
          <w:szCs w:val="20"/>
          <w:color w:val="auto"/>
        </w:rPr>
      </w:pPr>
    </w:p>
    <w:tbl>
      <w:tblPr>
        <w:tblLayout w:type="fixed"/>
        <w:tblInd w:w="286" w:type="dxa"/>
        <w:tblCellMar>
          <w:top w:w="0" w:type="dxa"/>
          <w:left w:w="0" w:type="dxa"/>
          <w:bottom w:w="0" w:type="dxa"/>
          <w:right w:w="0" w:type="dxa"/>
        </w:tblCellMar>
      </w:tblPr>
      <w:tr>
        <w:trPr>
          <w:trHeight w:val="184"/>
        </w:trPr>
        <w:tc>
          <w:tcPr>
            <w:tcW w:w="5060" w:type="dxa"/>
            <w:vAlign w:val="bottom"/>
          </w:tcPr>
          <w:p>
            <w:pPr>
              <w:spacing w:after="0"/>
              <w:rPr>
                <w:sz w:val="20"/>
                <w:szCs w:val="20"/>
                <w:color w:val="auto"/>
              </w:rPr>
            </w:pPr>
            <w:r>
              <w:rPr>
                <w:rFonts w:ascii="Arial" w:cs="Arial" w:eastAsia="Arial" w:hAnsi="Arial"/>
                <w:sz w:val="16"/>
                <w:szCs w:val="16"/>
                <w:color w:val="auto"/>
              </w:rPr>
              <w:t>Banco de Crédito de Bolivia</w:t>
            </w:r>
          </w:p>
        </w:tc>
        <w:tc>
          <w:tcPr>
            <w:tcW w:w="5060" w:type="dxa"/>
            <w:vAlign w:val="bottom"/>
          </w:tcPr>
          <w:p>
            <w:pPr>
              <w:jc w:val="right"/>
              <w:spacing w:after="0"/>
              <w:rPr>
                <w:sz w:val="20"/>
                <w:szCs w:val="20"/>
                <w:color w:val="auto"/>
              </w:rPr>
            </w:pPr>
            <w:r>
              <w:rPr>
                <w:rFonts w:ascii="Arial" w:cs="Arial" w:eastAsia="Arial" w:hAnsi="Arial"/>
                <w:sz w:val="16"/>
                <w:szCs w:val="16"/>
                <w:color w:val="auto"/>
              </w:rPr>
              <w:t>2017 to 2023</w:t>
            </w:r>
          </w:p>
        </w:tc>
      </w:tr>
      <w:tr>
        <w:trPr>
          <w:trHeight w:val="175"/>
        </w:trPr>
        <w:tc>
          <w:tcPr>
            <w:tcW w:w="5060" w:type="dxa"/>
            <w:vAlign w:val="bottom"/>
          </w:tcPr>
          <w:p>
            <w:pPr>
              <w:spacing w:after="0" w:line="175" w:lineRule="exact"/>
              <w:rPr>
                <w:sz w:val="20"/>
                <w:szCs w:val="20"/>
                <w:color w:val="auto"/>
              </w:rPr>
            </w:pPr>
            <w:r>
              <w:rPr>
                <w:rFonts w:ascii="Arial" w:cs="Arial" w:eastAsia="Arial" w:hAnsi="Arial"/>
                <w:sz w:val="16"/>
                <w:szCs w:val="16"/>
                <w:color w:val="auto"/>
              </w:rPr>
              <w:t>Credicorp Capital Colombia</w:t>
            </w:r>
          </w:p>
        </w:tc>
        <w:tc>
          <w:tcPr>
            <w:tcW w:w="5060" w:type="dxa"/>
            <w:vAlign w:val="bottom"/>
          </w:tcPr>
          <w:p>
            <w:pPr>
              <w:jc w:val="right"/>
              <w:spacing w:after="0" w:line="175" w:lineRule="exact"/>
              <w:rPr>
                <w:sz w:val="20"/>
                <w:szCs w:val="20"/>
                <w:color w:val="auto"/>
              </w:rPr>
            </w:pPr>
            <w:r>
              <w:rPr>
                <w:rFonts w:ascii="Arial" w:cs="Arial" w:eastAsia="Arial" w:hAnsi="Arial"/>
                <w:sz w:val="16"/>
                <w:szCs w:val="16"/>
                <w:color w:val="auto"/>
              </w:rPr>
              <w:t>2019, 2020, 2021 and 2023</w:t>
            </w:r>
          </w:p>
        </w:tc>
      </w:tr>
      <w:tr>
        <w:trPr>
          <w:trHeight w:val="175"/>
        </w:trPr>
        <w:tc>
          <w:tcPr>
            <w:tcW w:w="5060" w:type="dxa"/>
            <w:vAlign w:val="bottom"/>
          </w:tcPr>
          <w:p>
            <w:pPr>
              <w:spacing w:after="0" w:line="175" w:lineRule="exact"/>
              <w:rPr>
                <w:sz w:val="20"/>
                <w:szCs w:val="20"/>
                <w:color w:val="auto"/>
              </w:rPr>
            </w:pPr>
            <w:r>
              <w:rPr>
                <w:rFonts w:ascii="Arial" w:cs="Arial" w:eastAsia="Arial" w:hAnsi="Arial"/>
                <w:sz w:val="16"/>
                <w:szCs w:val="16"/>
                <w:color w:val="auto"/>
              </w:rPr>
              <w:t>MiBanco Colombia</w:t>
            </w:r>
          </w:p>
        </w:tc>
        <w:tc>
          <w:tcPr>
            <w:tcW w:w="5060" w:type="dxa"/>
            <w:vAlign w:val="bottom"/>
          </w:tcPr>
          <w:p>
            <w:pPr>
              <w:jc w:val="right"/>
              <w:spacing w:after="0" w:line="175" w:lineRule="exact"/>
              <w:rPr>
                <w:sz w:val="20"/>
                <w:szCs w:val="20"/>
                <w:color w:val="auto"/>
              </w:rPr>
            </w:pPr>
            <w:r>
              <w:rPr>
                <w:rFonts w:ascii="Arial" w:cs="Arial" w:eastAsia="Arial" w:hAnsi="Arial"/>
                <w:sz w:val="16"/>
                <w:szCs w:val="16"/>
                <w:color w:val="auto"/>
              </w:rPr>
              <w:t>2019 to 2023</w:t>
            </w:r>
          </w:p>
        </w:tc>
      </w:tr>
      <w:tr>
        <w:trPr>
          <w:trHeight w:val="205"/>
        </w:trPr>
        <w:tc>
          <w:tcPr>
            <w:tcW w:w="5060" w:type="dxa"/>
            <w:vAlign w:val="bottom"/>
          </w:tcPr>
          <w:p>
            <w:pPr>
              <w:spacing w:after="0"/>
              <w:rPr>
                <w:sz w:val="20"/>
                <w:szCs w:val="20"/>
                <w:color w:val="auto"/>
              </w:rPr>
            </w:pPr>
            <w:r>
              <w:rPr>
                <w:rFonts w:ascii="Arial" w:cs="Arial" w:eastAsia="Arial" w:hAnsi="Arial"/>
                <w:sz w:val="16"/>
                <w:szCs w:val="16"/>
                <w:color w:val="auto"/>
              </w:rPr>
              <w:t>Credicorp Capital Fiduciaria</w:t>
            </w:r>
          </w:p>
        </w:tc>
        <w:tc>
          <w:tcPr>
            <w:tcW w:w="5060" w:type="dxa"/>
            <w:vAlign w:val="bottom"/>
          </w:tcPr>
          <w:p>
            <w:pPr>
              <w:jc w:val="right"/>
              <w:spacing w:after="0"/>
              <w:rPr>
                <w:sz w:val="20"/>
                <w:szCs w:val="20"/>
                <w:color w:val="auto"/>
              </w:rPr>
            </w:pPr>
            <w:r>
              <w:rPr>
                <w:rFonts w:ascii="Arial" w:cs="Arial" w:eastAsia="Arial" w:hAnsi="Arial"/>
                <w:sz w:val="16"/>
                <w:szCs w:val="16"/>
                <w:color w:val="auto"/>
              </w:rPr>
              <w:t>2019 to 2023</w:t>
            </w:r>
          </w:p>
        </w:tc>
      </w:tr>
    </w:tbl>
    <w:p>
      <w:pPr>
        <w:spacing w:after="0" w:line="145" w:lineRule="exact"/>
        <w:rPr>
          <w:sz w:val="20"/>
          <w:szCs w:val="20"/>
          <w:color w:val="auto"/>
        </w:rPr>
      </w:pPr>
    </w:p>
    <w:p>
      <w:pPr>
        <w:ind w:left="286"/>
        <w:spacing w:after="0" w:line="236" w:lineRule="auto"/>
        <w:rPr>
          <w:sz w:val="20"/>
          <w:szCs w:val="20"/>
          <w:color w:val="auto"/>
        </w:rPr>
      </w:pPr>
      <w:r>
        <w:rPr>
          <w:rFonts w:ascii="Arial" w:cs="Arial" w:eastAsia="Arial" w:hAnsi="Arial"/>
          <w:sz w:val="16"/>
          <w:szCs w:val="16"/>
          <w:color w:val="auto"/>
        </w:rPr>
        <w:t>Since tax regulations are subject to interpretation by the different Tax Authorities where Credicorp’s subsidiaries are located, it is not possible to determine at the present date whether any significant additional liabilities may arise from any eventual tax examinations of the Credicorp’s subsidiaries. Any resulting unpaid taxes, tax penalties or interest that may arise will be recognized as expenses in the year in which they are determined. However, Management of Credicorp and its Subsidiaries and their legal counsel consider that any additional tax assessments would not have a significant impact on the consolidated financial statements as of December 31, 2024 and 2023.</w:t>
      </w:r>
    </w:p>
    <w:p>
      <w:pPr>
        <w:spacing w:after="0" w:line="146" w:lineRule="exact"/>
        <w:rPr>
          <w:sz w:val="20"/>
          <w:szCs w:val="20"/>
          <w:color w:val="auto"/>
        </w:rPr>
      </w:pPr>
    </w:p>
    <w:p>
      <w:pPr>
        <w:ind w:left="286" w:right="420" w:hanging="286"/>
        <w:spacing w:after="0" w:line="255" w:lineRule="auto"/>
        <w:tabs>
          <w:tab w:leader="none" w:pos="28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International Tax Reform—Pillar Two Model Rules – Amendments to IAS 12 The amendments to IAS 12 have been introduced in response to the OECD’s BEPS Pillar Two rules and include:</w:t>
      </w:r>
    </w:p>
    <w:p>
      <w:pPr>
        <w:spacing w:after="0" w:line="134" w:lineRule="exact"/>
        <w:rPr>
          <w:rFonts w:ascii="Arial" w:cs="Arial" w:eastAsia="Arial" w:hAnsi="Arial"/>
          <w:sz w:val="16"/>
          <w:szCs w:val="16"/>
          <w:color w:val="auto"/>
        </w:rPr>
      </w:pPr>
    </w:p>
    <w:p>
      <w:pPr>
        <w:ind w:left="706" w:right="200" w:hanging="426"/>
        <w:spacing w:after="0" w:line="255" w:lineRule="auto"/>
        <w:tabs>
          <w:tab w:leader="none" w:pos="70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 mandatory temporary exception to the recognition and disclosure of deferred taxes arising from the jurisdictional implementation of the Pillar Two model rules; and</w:t>
      </w:r>
    </w:p>
    <w:p>
      <w:pPr>
        <w:spacing w:after="0" w:line="134" w:lineRule="exact"/>
        <w:rPr>
          <w:rFonts w:ascii="Arial" w:cs="Arial" w:eastAsia="Arial" w:hAnsi="Arial"/>
          <w:sz w:val="16"/>
          <w:szCs w:val="16"/>
          <w:color w:val="auto"/>
        </w:rPr>
      </w:pPr>
    </w:p>
    <w:p>
      <w:pPr>
        <w:ind w:left="706" w:right="20" w:hanging="426"/>
        <w:spacing w:after="0" w:line="255" w:lineRule="auto"/>
        <w:tabs>
          <w:tab w:leader="none" w:pos="706"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Disclosure requirements for affected entities to help users of the financial statements better understand an entity’s exposure to Pillar Two income taxes arising from that legislation, particularly before its effective date.</w:t>
      </w:r>
    </w:p>
    <w:p>
      <w:pPr>
        <w:spacing w:after="0" w:line="281" w:lineRule="exact"/>
        <w:rPr>
          <w:sz w:val="20"/>
          <w:szCs w:val="20"/>
          <w:color w:val="auto"/>
        </w:rPr>
      </w:pPr>
    </w:p>
    <w:p>
      <w:pPr>
        <w:jc w:val="center"/>
        <w:ind w:right="514"/>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66"/>
          </w:cols>
          <w:pgMar w:left="874" w:top="124" w:right="359" w:bottom="1440" w:gutter="0" w:footer="0" w:header="0"/>
        </w:sectPr>
      </w:pPr>
    </w:p>
    <w:bookmarkStart w:id="107" w:name="page108"/>
    <w:bookmarkEnd w:id="107"/>
    <w:p>
      <w:pPr>
        <w:ind w:left="840" w:right="200"/>
        <w:spacing w:after="0" w:line="257" w:lineRule="auto"/>
        <w:rPr>
          <w:sz w:val="20"/>
          <w:szCs w:val="20"/>
          <w:color w:val="auto"/>
        </w:rPr>
      </w:pPr>
      <w:r>
        <w:rPr>
          <w:rFonts w:ascii="Arial" w:cs="Arial" w:eastAsia="Arial" w:hAnsi="Arial"/>
          <w:sz w:val="16"/>
          <w:szCs w:val="16"/>
          <w:color w:val="auto"/>
        </w:rPr>
        <w:t>These modifications to IAS 12 came into force on January 1, 2023, and have not had an impact on the Group's consolidated financial statements, to the extent that Pillar Two legislation is not in force.</w:t>
      </w:r>
    </w:p>
    <w:p>
      <w:pPr>
        <w:spacing w:after="0" w:line="132" w:lineRule="exact"/>
        <w:rPr>
          <w:sz w:val="20"/>
          <w:szCs w:val="20"/>
          <w:color w:val="auto"/>
        </w:rPr>
      </w:pPr>
    </w:p>
    <w:p>
      <w:pPr>
        <w:ind w:left="840" w:right="200"/>
        <w:spacing w:after="0" w:line="255" w:lineRule="auto"/>
        <w:rPr>
          <w:sz w:val="20"/>
          <w:szCs w:val="20"/>
          <w:color w:val="auto"/>
        </w:rPr>
      </w:pPr>
      <w:r>
        <w:rPr>
          <w:rFonts w:ascii="Arial" w:cs="Arial" w:eastAsia="Arial" w:hAnsi="Arial"/>
          <w:sz w:val="16"/>
          <w:szCs w:val="16"/>
          <w:color w:val="auto"/>
        </w:rPr>
        <w:t>The Group has applied the mandatory exception to recognizing and disclosing information about deferred tax assets and liabilities arising from Pillar Two income taxes.</w:t>
      </w:r>
    </w:p>
    <w:p>
      <w:pPr>
        <w:spacing w:after="0" w:line="134" w:lineRule="exact"/>
        <w:rPr>
          <w:sz w:val="20"/>
          <w:szCs w:val="20"/>
          <w:color w:val="auto"/>
        </w:rPr>
      </w:pPr>
    </w:p>
    <w:p>
      <w:pPr>
        <w:ind w:left="840" w:right="120"/>
        <w:spacing w:after="0" w:line="255" w:lineRule="auto"/>
        <w:rPr>
          <w:sz w:val="20"/>
          <w:szCs w:val="20"/>
          <w:color w:val="auto"/>
        </w:rPr>
      </w:pPr>
      <w:r>
        <w:rPr>
          <w:rFonts w:ascii="Arial" w:cs="Arial" w:eastAsia="Arial" w:hAnsi="Arial"/>
          <w:sz w:val="16"/>
          <w:szCs w:val="16"/>
          <w:color w:val="auto"/>
        </w:rPr>
        <w:t>At the date of these financial statements, the corresponding legislation is still pending and there is no certainty, to date or whether such legislation will be enacted and, if applicable, what the effective date of the resulting legislation will be.</w:t>
      </w:r>
    </w:p>
    <w:p>
      <w:pPr>
        <w:spacing w:after="0" w:line="13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As of 2024, the Group is in the process of evaluating its exposure to the Pillar Two legislation.</w:t>
      </w:r>
    </w:p>
    <w:p>
      <w:pPr>
        <w:spacing w:after="0" w:line="166" w:lineRule="exact"/>
        <w:rPr>
          <w:sz w:val="20"/>
          <w:szCs w:val="20"/>
          <w:color w:val="auto"/>
        </w:rPr>
      </w:pPr>
    </w:p>
    <w:p>
      <w:pPr>
        <w:ind w:left="840" w:right="420"/>
        <w:spacing w:after="0" w:line="255" w:lineRule="auto"/>
        <w:rPr>
          <w:sz w:val="20"/>
          <w:szCs w:val="20"/>
          <w:color w:val="auto"/>
        </w:rPr>
      </w:pPr>
      <w:r>
        <w:rPr>
          <w:rFonts w:ascii="Arial" w:cs="Arial" w:eastAsia="Arial" w:hAnsi="Arial"/>
          <w:sz w:val="16"/>
          <w:szCs w:val="16"/>
          <w:color w:val="auto"/>
        </w:rPr>
        <w:t>Furthermore, the Group based on the analysis carried out, at the end of December 31, 2024, the Group does not anticipate substantial economic impacts resulting from the additional tax that would arise as a consequence of the application of Pillar Two.</w:t>
      </w:r>
    </w:p>
    <w:p>
      <w:pPr>
        <w:spacing w:after="0" w:line="134" w:lineRule="exact"/>
        <w:rPr>
          <w:sz w:val="20"/>
          <w:szCs w:val="20"/>
          <w:color w:val="auto"/>
        </w:rPr>
      </w:pPr>
    </w:p>
    <w:p>
      <w:pPr>
        <w:ind w:left="840" w:right="60" w:hanging="286"/>
        <w:spacing w:after="0" w:line="255" w:lineRule="auto"/>
        <w:tabs>
          <w:tab w:leader="none" w:pos="8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From 2026, the tax authority will provide taxpayers with a rating of their tax profile, determined in accordance with the rules in force. This rating will not have a direct impact on the assessment of taxes.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jc w:val="right"/>
              <w:ind w:right="122"/>
              <w:spacing w:after="0"/>
              <w:rPr>
                <w:sz w:val="20"/>
                <w:szCs w:val="20"/>
                <w:color w:val="auto"/>
              </w:rPr>
            </w:pPr>
            <w:r>
              <w:rPr>
                <w:rFonts w:ascii="Arial" w:cs="Arial" w:eastAsia="Arial" w:hAnsi="Arial"/>
                <w:sz w:val="16"/>
                <w:szCs w:val="16"/>
                <w:b w:val="1"/>
                <w:bCs w:val="1"/>
                <w:color w:val="auto"/>
                <w:w w:val="78"/>
              </w:rPr>
              <w:t>18</w:t>
            </w:r>
          </w:p>
        </w:tc>
        <w:tc>
          <w:tcPr>
            <w:tcW w:w="5900" w:type="dxa"/>
            <w:vAlign w:val="bottom"/>
          </w:tcPr>
          <w:p>
            <w:pPr>
              <w:ind w:left="200"/>
              <w:spacing w:after="0"/>
              <w:rPr>
                <w:sz w:val="20"/>
                <w:szCs w:val="20"/>
                <w:color w:val="auto"/>
              </w:rPr>
            </w:pPr>
            <w:r>
              <w:rPr>
                <w:rFonts w:ascii="Arial" w:cs="Arial" w:eastAsia="Arial" w:hAnsi="Arial"/>
                <w:sz w:val="16"/>
                <w:szCs w:val="16"/>
                <w:b w:val="1"/>
                <w:bCs w:val="1"/>
                <w:color w:val="auto"/>
              </w:rPr>
              <w:t>CONTINGENT RISKS AND COMMITMENTS</w:t>
            </w:r>
          </w:p>
        </w:tc>
        <w:tc>
          <w:tcPr>
            <w:tcW w:w="2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2"/>
        </w:trPr>
        <w:tc>
          <w:tcPr>
            <w:tcW w:w="360" w:type="dxa"/>
            <w:vAlign w:val="bottom"/>
          </w:tcPr>
          <w:p>
            <w:pPr>
              <w:spacing w:after="0"/>
              <w:rPr>
                <w:sz w:val="24"/>
                <w:szCs w:val="24"/>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a)  This item consists of the following:</w:t>
            </w: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5"/>
        </w:trPr>
        <w:tc>
          <w:tcPr>
            <w:tcW w:w="3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12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24"/>
                <w:szCs w:val="24"/>
                <w:color w:val="auto"/>
              </w:rPr>
            </w:pPr>
          </w:p>
        </w:tc>
      </w:tr>
      <w:tr>
        <w:trPr>
          <w:trHeight w:val="206"/>
        </w:trPr>
        <w:tc>
          <w:tcPr>
            <w:tcW w:w="3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40" w:type="dxa"/>
            <w:vAlign w:val="bottom"/>
            <w:tcBorders>
              <w:top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360" w:type="dxa"/>
            <w:vAlign w:val="bottom"/>
          </w:tcPr>
          <w:p>
            <w:pPr>
              <w:spacing w:after="0"/>
              <w:rPr>
                <w:sz w:val="24"/>
                <w:szCs w:val="24"/>
                <w:color w:val="auto"/>
              </w:rPr>
            </w:pPr>
          </w:p>
        </w:tc>
        <w:tc>
          <w:tcPr>
            <w:tcW w:w="5900" w:type="dxa"/>
            <w:vAlign w:val="bottom"/>
          </w:tcPr>
          <w:p>
            <w:pPr>
              <w:ind w:left="480"/>
              <w:spacing w:after="0"/>
              <w:rPr>
                <w:sz w:val="20"/>
                <w:szCs w:val="20"/>
                <w:color w:val="auto"/>
              </w:rPr>
            </w:pPr>
            <w:r>
              <w:rPr>
                <w:rFonts w:ascii="Arial" w:cs="Arial" w:eastAsia="Arial" w:hAnsi="Arial"/>
                <w:sz w:val="16"/>
                <w:szCs w:val="16"/>
                <w:b w:val="1"/>
                <w:bCs w:val="1"/>
                <w:color w:val="auto"/>
              </w:rPr>
              <w:t>Contingent credits – indirect loans (b)</w:t>
            </w: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360" w:type="dxa"/>
            <w:vAlign w:val="bottom"/>
          </w:tcPr>
          <w:p>
            <w:pPr>
              <w:spacing w:after="0"/>
              <w:rPr>
                <w:sz w:val="15"/>
                <w:szCs w:val="15"/>
                <w:color w:val="auto"/>
              </w:rPr>
            </w:pPr>
          </w:p>
        </w:tc>
        <w:tc>
          <w:tcPr>
            <w:tcW w:w="5900" w:type="dxa"/>
            <w:vAlign w:val="bottom"/>
          </w:tcPr>
          <w:p>
            <w:pPr>
              <w:ind w:left="640"/>
              <w:spacing w:after="0" w:line="175" w:lineRule="exact"/>
              <w:rPr>
                <w:sz w:val="20"/>
                <w:szCs w:val="20"/>
                <w:color w:val="auto"/>
              </w:rPr>
            </w:pPr>
            <w:r>
              <w:rPr>
                <w:rFonts w:ascii="Arial" w:cs="Arial" w:eastAsia="Arial" w:hAnsi="Arial"/>
                <w:sz w:val="16"/>
                <w:szCs w:val="16"/>
                <w:color w:val="auto"/>
              </w:rPr>
              <w:t>Guarantees and standby letters</w:t>
            </w:r>
          </w:p>
        </w:tc>
        <w:tc>
          <w:tcPr>
            <w:tcW w:w="3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19,557,938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17,737,645</w:t>
            </w:r>
          </w:p>
        </w:tc>
        <w:tc>
          <w:tcPr>
            <w:tcW w:w="20" w:type="dxa"/>
            <w:vAlign w:val="bottom"/>
          </w:tcPr>
          <w:p>
            <w:pPr>
              <w:spacing w:after="0"/>
              <w:rPr>
                <w:sz w:val="15"/>
                <w:szCs w:val="15"/>
                <w:color w:val="auto"/>
              </w:rPr>
            </w:pPr>
          </w:p>
        </w:tc>
      </w:tr>
      <w:tr>
        <w:trPr>
          <w:trHeight w:val="190"/>
        </w:trPr>
        <w:tc>
          <w:tcPr>
            <w:tcW w:w="360" w:type="dxa"/>
            <w:vAlign w:val="bottom"/>
          </w:tcPr>
          <w:p>
            <w:pPr>
              <w:spacing w:after="0"/>
              <w:rPr>
                <w:sz w:val="16"/>
                <w:szCs w:val="16"/>
                <w:color w:val="auto"/>
              </w:rPr>
            </w:pPr>
          </w:p>
        </w:tc>
        <w:tc>
          <w:tcPr>
            <w:tcW w:w="5900" w:type="dxa"/>
            <w:vAlign w:val="bottom"/>
          </w:tcPr>
          <w:p>
            <w:pPr>
              <w:ind w:left="640"/>
              <w:spacing w:after="0"/>
              <w:rPr>
                <w:sz w:val="20"/>
                <w:szCs w:val="20"/>
                <w:color w:val="auto"/>
              </w:rPr>
            </w:pPr>
            <w:r>
              <w:rPr>
                <w:rFonts w:ascii="Arial" w:cs="Arial" w:eastAsia="Arial" w:hAnsi="Arial"/>
                <w:sz w:val="16"/>
                <w:szCs w:val="16"/>
                <w:color w:val="auto"/>
              </w:rPr>
              <w:t>Import and export letters of credit</w:t>
            </w:r>
          </w:p>
        </w:tc>
        <w:tc>
          <w:tcPr>
            <w:tcW w:w="3140" w:type="dxa"/>
            <w:vAlign w:val="bottom"/>
            <w:gridSpan w:val="3"/>
          </w:tcPr>
          <w:p>
            <w:pPr>
              <w:jc w:val="right"/>
              <w:ind w:right="20"/>
              <w:spacing w:after="0"/>
              <w:rPr>
                <w:sz w:val="20"/>
                <w:szCs w:val="20"/>
                <w:color w:val="auto"/>
              </w:rPr>
            </w:pPr>
            <w:r>
              <w:rPr>
                <w:rFonts w:ascii="Arial" w:cs="Arial" w:eastAsia="Arial" w:hAnsi="Arial"/>
                <w:sz w:val="16"/>
                <w:szCs w:val="16"/>
                <w:color w:val="auto"/>
              </w:rPr>
              <w:t>2,581,383</w:t>
            </w:r>
          </w:p>
        </w:tc>
        <w:tc>
          <w:tcPr>
            <w:tcW w:w="16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2,313,970</w:t>
            </w:r>
          </w:p>
        </w:tc>
      </w:tr>
      <w:tr>
        <w:trPr>
          <w:trHeight w:val="196"/>
        </w:trPr>
        <w:tc>
          <w:tcPr>
            <w:tcW w:w="360" w:type="dxa"/>
            <w:vAlign w:val="bottom"/>
          </w:tcPr>
          <w:p>
            <w:pPr>
              <w:spacing w:after="0"/>
              <w:rPr>
                <w:sz w:val="17"/>
                <w:szCs w:val="17"/>
                <w:color w:val="auto"/>
              </w:rPr>
            </w:pPr>
          </w:p>
        </w:tc>
        <w:tc>
          <w:tcPr>
            <w:tcW w:w="5900" w:type="dxa"/>
            <w:vAlign w:val="bottom"/>
          </w:tcPr>
          <w:p>
            <w:pPr>
              <w:ind w:left="480"/>
              <w:spacing w:after="0"/>
              <w:rPr>
                <w:sz w:val="20"/>
                <w:szCs w:val="20"/>
                <w:color w:val="auto"/>
              </w:rPr>
            </w:pPr>
            <w:r>
              <w:rPr>
                <w:rFonts w:ascii="Arial" w:cs="Arial" w:eastAsia="Arial" w:hAnsi="Arial"/>
                <w:sz w:val="16"/>
                <w:szCs w:val="16"/>
                <w:color w:val="auto"/>
              </w:rPr>
              <w:t>Sub-total, Note 7(b)</w:t>
            </w:r>
          </w:p>
        </w:tc>
        <w:tc>
          <w:tcPr>
            <w:tcW w:w="20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22,139,321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20,051,615</w:t>
            </w:r>
          </w:p>
        </w:tc>
        <w:tc>
          <w:tcPr>
            <w:tcW w:w="20" w:type="dxa"/>
            <w:vAlign w:val="bottom"/>
          </w:tcPr>
          <w:p>
            <w:pPr>
              <w:spacing w:after="0"/>
              <w:rPr>
                <w:sz w:val="17"/>
                <w:szCs w:val="17"/>
                <w:color w:val="auto"/>
              </w:rPr>
            </w:pPr>
          </w:p>
        </w:tc>
      </w:tr>
      <w:tr>
        <w:trPr>
          <w:trHeight w:val="320"/>
        </w:trPr>
        <w:tc>
          <w:tcPr>
            <w:tcW w:w="360" w:type="dxa"/>
            <w:vAlign w:val="bottom"/>
          </w:tcPr>
          <w:p>
            <w:pPr>
              <w:spacing w:after="0"/>
              <w:rPr>
                <w:sz w:val="24"/>
                <w:szCs w:val="24"/>
                <w:color w:val="auto"/>
              </w:rPr>
            </w:pPr>
          </w:p>
        </w:tc>
        <w:tc>
          <w:tcPr>
            <w:tcW w:w="5900" w:type="dxa"/>
            <w:vAlign w:val="bottom"/>
          </w:tcPr>
          <w:p>
            <w:pPr>
              <w:ind w:left="480"/>
              <w:spacing w:after="0"/>
              <w:rPr>
                <w:sz w:val="20"/>
                <w:szCs w:val="20"/>
                <w:color w:val="auto"/>
              </w:rPr>
            </w:pPr>
            <w:r>
              <w:rPr>
                <w:rFonts w:ascii="Arial" w:cs="Arial" w:eastAsia="Arial" w:hAnsi="Arial"/>
                <w:sz w:val="16"/>
                <w:szCs w:val="16"/>
                <w:color w:val="auto"/>
              </w:rPr>
              <w:t>Responsibilities under credit line agreements (c)</w:t>
            </w:r>
          </w:p>
        </w:tc>
        <w:tc>
          <w:tcPr>
            <w:tcW w:w="3120" w:type="dxa"/>
            <w:vAlign w:val="bottom"/>
            <w:gridSpan w:val="2"/>
          </w:tcPr>
          <w:p>
            <w:pPr>
              <w:jc w:val="right"/>
              <w:spacing w:after="0"/>
              <w:rPr>
                <w:sz w:val="20"/>
                <w:szCs w:val="20"/>
                <w:color w:val="auto"/>
              </w:rPr>
            </w:pPr>
            <w:r>
              <w:rPr>
                <w:rFonts w:ascii="Arial" w:cs="Arial" w:eastAsia="Arial" w:hAnsi="Arial"/>
                <w:sz w:val="16"/>
                <w:szCs w:val="16"/>
                <w:color w:val="auto"/>
              </w:rPr>
              <w:t>85,269,774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87,091,701</w:t>
            </w:r>
          </w:p>
        </w:tc>
        <w:tc>
          <w:tcPr>
            <w:tcW w:w="20" w:type="dxa"/>
            <w:vAlign w:val="bottom"/>
          </w:tcPr>
          <w:p>
            <w:pPr>
              <w:spacing w:after="0"/>
              <w:rPr>
                <w:sz w:val="24"/>
                <w:szCs w:val="24"/>
                <w:color w:val="auto"/>
              </w:rPr>
            </w:pPr>
          </w:p>
        </w:tc>
      </w:tr>
      <w:tr>
        <w:trPr>
          <w:trHeight w:val="170"/>
        </w:trPr>
        <w:tc>
          <w:tcPr>
            <w:tcW w:w="360" w:type="dxa"/>
            <w:vAlign w:val="bottom"/>
          </w:tcPr>
          <w:p>
            <w:pPr>
              <w:spacing w:after="0"/>
              <w:rPr>
                <w:sz w:val="14"/>
                <w:szCs w:val="14"/>
                <w:color w:val="auto"/>
              </w:rPr>
            </w:pPr>
          </w:p>
        </w:tc>
        <w:tc>
          <w:tcPr>
            <w:tcW w:w="5900" w:type="dxa"/>
            <w:vAlign w:val="bottom"/>
          </w:tcPr>
          <w:p>
            <w:pPr>
              <w:ind w:left="480"/>
              <w:spacing w:after="0" w:line="167" w:lineRule="exact"/>
              <w:rPr>
                <w:sz w:val="20"/>
                <w:szCs w:val="20"/>
                <w:color w:val="auto"/>
              </w:rPr>
            </w:pPr>
            <w:r>
              <w:rPr>
                <w:rFonts w:ascii="Arial" w:cs="Arial" w:eastAsia="Arial" w:hAnsi="Arial"/>
                <w:sz w:val="16"/>
                <w:szCs w:val="16"/>
                <w:b w:val="1"/>
                <w:bCs w:val="1"/>
                <w:color w:val="auto"/>
              </w:rPr>
              <w:t>Total</w:t>
            </w:r>
          </w:p>
        </w:tc>
        <w:tc>
          <w:tcPr>
            <w:tcW w:w="20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107,409,095</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107,143,316</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840" w:right="380"/>
        <w:spacing w:after="0" w:line="255" w:lineRule="auto"/>
        <w:rPr>
          <w:sz w:val="20"/>
          <w:szCs w:val="20"/>
          <w:color w:val="auto"/>
        </w:rPr>
      </w:pPr>
      <w:r>
        <w:rPr>
          <w:rFonts w:ascii="Arial" w:cs="Arial" w:eastAsia="Arial" w:hAnsi="Arial"/>
          <w:sz w:val="16"/>
          <w:szCs w:val="16"/>
          <w:color w:val="auto"/>
        </w:rPr>
        <w:t>The reference values of transactions with derivative financial instruments are recorded in accounts outside the consolidated statement of financial position in the committed currency, as presented in Note 12(c).</w:t>
      </w:r>
    </w:p>
    <w:p>
      <w:pPr>
        <w:spacing w:after="0" w:line="134" w:lineRule="exact"/>
        <w:rPr>
          <w:sz w:val="20"/>
          <w:szCs w:val="20"/>
          <w:color w:val="auto"/>
        </w:rPr>
      </w:pPr>
    </w:p>
    <w:p>
      <w:pPr>
        <w:ind w:left="840" w:right="460" w:hanging="286"/>
        <w:spacing w:after="0" w:line="255" w:lineRule="auto"/>
        <w:tabs>
          <w:tab w:leader="none" w:pos="8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the normal course of their business, the Group’s banking Subsidiaries are party to transactions with off-balance sheet risk. These transactions expose them to credit risk in addition to the amounts recognized in the consolidated statement of financial position.</w:t>
      </w:r>
    </w:p>
    <w:p>
      <w:pPr>
        <w:spacing w:after="0" w:line="134" w:lineRule="exact"/>
        <w:rPr>
          <w:rFonts w:ascii="Arial" w:cs="Arial" w:eastAsia="Arial" w:hAnsi="Arial"/>
          <w:sz w:val="16"/>
          <w:szCs w:val="16"/>
          <w:color w:val="auto"/>
        </w:rPr>
      </w:pPr>
    </w:p>
    <w:p>
      <w:pPr>
        <w:ind w:left="840"/>
        <w:spacing w:after="0" w:line="238" w:lineRule="auto"/>
        <w:rPr>
          <w:rFonts w:ascii="Arial" w:cs="Arial" w:eastAsia="Arial" w:hAnsi="Arial"/>
          <w:sz w:val="16"/>
          <w:szCs w:val="16"/>
          <w:color w:val="auto"/>
        </w:rPr>
      </w:pPr>
      <w:r>
        <w:rPr>
          <w:rFonts w:ascii="Arial" w:cs="Arial" w:eastAsia="Arial" w:hAnsi="Arial"/>
          <w:sz w:val="16"/>
          <w:szCs w:val="16"/>
          <w:color w:val="auto"/>
        </w:rPr>
        <w:t>Credit risk for contingent credits is defined as the possibility of sustaining a loss because one of the parties to a financial instrument fails to comply with the terms of the contract. The risk of credit losses is represented by the contractual amounts specified in the related contracts. The Group applies the same credit policies in making contingent commitments and other obligations as it does for on-balance sheet instruments (Note 7(a)), including the requirement to obtain collateral when it is deemed necessary.</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08" w:name="page109"/>
    <w:bookmarkEnd w:id="108"/>
    <w:p>
      <w:pPr>
        <w:ind w:left="847" w:right="240"/>
        <w:spacing w:after="0" w:line="257" w:lineRule="auto"/>
        <w:rPr>
          <w:sz w:val="20"/>
          <w:szCs w:val="20"/>
          <w:color w:val="auto"/>
        </w:rPr>
      </w:pPr>
      <w:r>
        <w:rPr>
          <w:rFonts w:ascii="Arial" w:cs="Arial" w:eastAsia="Arial" w:hAnsi="Arial"/>
          <w:sz w:val="16"/>
          <w:szCs w:val="16"/>
          <w:color w:val="auto"/>
        </w:rPr>
        <w:t>Collateral held varies, but may include deposits in financial institutions, securities or other assets. Many of the contingent transactions reach maturity without any performance being required; therefore, the total committed amounts do not necessarily represent future cash requirements.</w:t>
      </w:r>
    </w:p>
    <w:p>
      <w:pPr>
        <w:spacing w:after="0" w:line="132" w:lineRule="exact"/>
        <w:rPr>
          <w:sz w:val="20"/>
          <w:szCs w:val="20"/>
          <w:color w:val="auto"/>
        </w:rPr>
      </w:pPr>
    </w:p>
    <w:p>
      <w:pPr>
        <w:ind w:left="847" w:right="460" w:hanging="286"/>
        <w:spacing w:after="0" w:line="255" w:lineRule="auto"/>
        <w:tabs>
          <w:tab w:leader="none" w:pos="84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Lines of credit include consumer loans and other consumer loan facilities (credit card receivables) granted to customers and are cancelable upon related notice to the customer.</w:t>
      </w:r>
    </w:p>
    <w:p>
      <w:pPr>
        <w:spacing w:after="0" w:line="132" w:lineRule="exact"/>
        <w:rPr>
          <w:sz w:val="20"/>
          <w:szCs w:val="20"/>
          <w:color w:val="auto"/>
        </w:rPr>
      </w:pPr>
    </w:p>
    <w:p>
      <w:pPr>
        <w:ind w:left="567" w:hanging="567"/>
        <w:spacing w:after="0"/>
        <w:tabs>
          <w:tab w:leader="none" w:pos="567"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INTEREST, SIMILAR INCOME AND SIMILAR EXPENSES</w:t>
      </w:r>
    </w:p>
    <w:p>
      <w:pPr>
        <w:spacing w:after="0" w:line="168" w:lineRule="exact"/>
        <w:rPr>
          <w:rFonts w:ascii="Arial" w:cs="Arial" w:eastAsia="Arial" w:hAnsi="Arial"/>
          <w:sz w:val="16"/>
          <w:szCs w:val="16"/>
          <w:b w:val="1"/>
          <w:bCs w:val="1"/>
          <w:color w:val="auto"/>
        </w:rPr>
      </w:pPr>
    </w:p>
    <w:p>
      <w:pPr>
        <w:ind w:left="567"/>
        <w:spacing w:after="0"/>
        <w:rPr>
          <w:rFonts w:ascii="Arial" w:cs="Arial" w:eastAsia="Arial" w:hAnsi="Arial"/>
          <w:sz w:val="16"/>
          <w:szCs w:val="16"/>
          <w:b w:val="1"/>
          <w:bCs w:val="1"/>
          <w:color w:val="auto"/>
        </w:rPr>
      </w:pPr>
      <w:r>
        <w:rPr>
          <w:rFonts w:ascii="Arial" w:cs="Arial" w:eastAsia="Arial" w:hAnsi="Arial"/>
          <w:sz w:val="16"/>
          <w:szCs w:val="16"/>
          <w:color w:val="auto"/>
        </w:rPr>
        <w:t>The following is a breakdown of the accrued interest, similar income and similar expenses:</w:t>
      </w: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68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6"/>
                <w:szCs w:val="16"/>
                <w:color w:val="auto"/>
              </w:rPr>
            </w:pPr>
          </w:p>
        </w:tc>
        <w:tc>
          <w:tcPr>
            <w:tcW w:w="1180" w:type="dxa"/>
            <w:vAlign w:val="bottom"/>
            <w:gridSpan w:val="2"/>
          </w:tcPr>
          <w:p>
            <w:pPr>
              <w:jc w:val="right"/>
              <w:ind w:right="682"/>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380" w:type="dxa"/>
            <w:vAlign w:val="bottom"/>
            <w:vMerge w:val="restart"/>
          </w:tcPr>
          <w:p>
            <w:pPr>
              <w:ind w:left="560"/>
              <w:spacing w:after="0"/>
              <w:rPr>
                <w:sz w:val="20"/>
                <w:szCs w:val="20"/>
                <w:color w:val="auto"/>
              </w:rPr>
            </w:pPr>
            <w:r>
              <w:rPr>
                <w:rFonts w:ascii="Arial" w:cs="Arial" w:eastAsia="Arial" w:hAnsi="Arial"/>
                <w:sz w:val="16"/>
                <w:szCs w:val="16"/>
                <w:b w:val="1"/>
                <w:bCs w:val="1"/>
                <w:color w:val="auto"/>
              </w:rPr>
              <w:t>Interest and similar income</w:t>
            </w:r>
          </w:p>
        </w:tc>
        <w:tc>
          <w:tcPr>
            <w:tcW w:w="620" w:type="dxa"/>
            <w:vAlign w:val="bottom"/>
          </w:tcPr>
          <w:p>
            <w:pPr>
              <w:spacing w:after="0"/>
              <w:rPr>
                <w:sz w:val="17"/>
                <w:szCs w:val="17"/>
                <w:color w:val="auto"/>
              </w:rPr>
            </w:pPr>
          </w:p>
        </w:tc>
        <w:tc>
          <w:tcPr>
            <w:tcW w:w="106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63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Interest on loans</w:t>
            </w:r>
          </w:p>
        </w:tc>
        <w:tc>
          <w:tcPr>
            <w:tcW w:w="16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15,654,391</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15,044,864</w:t>
            </w:r>
          </w:p>
        </w:tc>
        <w:tc>
          <w:tcPr>
            <w:tcW w:w="11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12,419,281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Interest on investments at fair value through other comprehensive income</w:t>
            </w:r>
          </w:p>
        </w:tc>
        <w:tc>
          <w:tcPr>
            <w:tcW w:w="18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2,136,099</w:t>
            </w: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1,984,408</w:t>
            </w:r>
          </w:p>
        </w:tc>
        <w:tc>
          <w:tcPr>
            <w:tcW w:w="18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1,595,570</w:t>
            </w: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Interest on due from banks</w:t>
            </w:r>
          </w:p>
        </w:tc>
        <w:tc>
          <w:tcPr>
            <w:tcW w:w="18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1,405,854</w:t>
            </w: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1,133,211</w:t>
            </w:r>
          </w:p>
        </w:tc>
        <w:tc>
          <w:tcPr>
            <w:tcW w:w="11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467,387</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Interest on investments at amortized cost</w:t>
            </w:r>
          </w:p>
        </w:tc>
        <w:tc>
          <w:tcPr>
            <w:tcW w:w="16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469,224</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456,543</w:t>
            </w:r>
          </w:p>
        </w:tc>
        <w:tc>
          <w:tcPr>
            <w:tcW w:w="11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382,097</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Interest on investments at fair value through profit or loss</w:t>
            </w:r>
          </w:p>
        </w:tc>
        <w:tc>
          <w:tcPr>
            <w:tcW w:w="18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54,999</w:t>
            </w: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48,376</w:t>
            </w:r>
          </w:p>
        </w:tc>
        <w:tc>
          <w:tcPr>
            <w:tcW w:w="18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38,550</w:t>
            </w: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Dividends received</w:t>
            </w:r>
          </w:p>
        </w:tc>
        <w:tc>
          <w:tcPr>
            <w:tcW w:w="188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49,469</w:t>
            </w: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46,080</w:t>
            </w:r>
          </w:p>
        </w:tc>
        <w:tc>
          <w:tcPr>
            <w:tcW w:w="18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29,226</w:t>
            </w:r>
          </w:p>
        </w:tc>
        <w:tc>
          <w:tcPr>
            <w:tcW w:w="0" w:type="dxa"/>
            <w:vAlign w:val="bottom"/>
          </w:tcPr>
          <w:p>
            <w:pPr>
              <w:spacing w:after="0"/>
              <w:rPr>
                <w:sz w:val="1"/>
                <w:szCs w:val="1"/>
                <w:color w:val="auto"/>
              </w:rPr>
            </w:pPr>
          </w:p>
        </w:tc>
      </w:tr>
      <w:tr>
        <w:trPr>
          <w:trHeight w:val="190"/>
        </w:trPr>
        <w:tc>
          <w:tcPr>
            <w:tcW w:w="6380" w:type="dxa"/>
            <w:vAlign w:val="bottom"/>
          </w:tcPr>
          <w:p>
            <w:pPr>
              <w:ind w:left="560"/>
              <w:spacing w:after="0"/>
              <w:rPr>
                <w:sz w:val="20"/>
                <w:szCs w:val="20"/>
                <w:color w:val="auto"/>
              </w:rPr>
            </w:pPr>
            <w:r>
              <w:rPr>
                <w:rFonts w:ascii="Arial" w:cs="Arial" w:eastAsia="Arial" w:hAnsi="Arial"/>
                <w:sz w:val="16"/>
                <w:szCs w:val="16"/>
                <w:color w:val="auto"/>
              </w:rPr>
              <w:t>Other interest and similar income</w:t>
            </w:r>
          </w:p>
        </w:tc>
        <w:tc>
          <w:tcPr>
            <w:tcW w:w="1880" w:type="dxa"/>
            <w:vAlign w:val="bottom"/>
            <w:gridSpan w:val="3"/>
          </w:tcPr>
          <w:p>
            <w:pPr>
              <w:jc w:val="right"/>
              <w:ind w:right="200"/>
              <w:spacing w:after="0"/>
              <w:rPr>
                <w:sz w:val="20"/>
                <w:szCs w:val="20"/>
                <w:color w:val="auto"/>
              </w:rPr>
            </w:pPr>
            <w:r>
              <w:rPr>
                <w:rFonts w:ascii="Arial" w:cs="Arial" w:eastAsia="Arial" w:hAnsi="Arial"/>
                <w:sz w:val="16"/>
                <w:szCs w:val="16"/>
                <w:color w:val="auto"/>
              </w:rPr>
              <w:t>99,220</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85,013</w:t>
            </w:r>
          </w:p>
        </w:tc>
        <w:tc>
          <w:tcPr>
            <w:tcW w:w="1820" w:type="dxa"/>
            <w:vAlign w:val="bottom"/>
            <w:gridSpan w:val="3"/>
          </w:tcPr>
          <w:p>
            <w:pPr>
              <w:jc w:val="right"/>
              <w:ind w:right="640"/>
              <w:spacing w:after="0"/>
              <w:rPr>
                <w:sz w:val="20"/>
                <w:szCs w:val="20"/>
                <w:color w:val="auto"/>
              </w:rPr>
            </w:pPr>
            <w:r>
              <w:rPr>
                <w:rFonts w:ascii="Arial" w:cs="Arial" w:eastAsia="Arial" w:hAnsi="Arial"/>
                <w:sz w:val="16"/>
                <w:szCs w:val="16"/>
                <w:color w:val="auto"/>
              </w:rPr>
              <w:t>79,171</w:t>
            </w:r>
          </w:p>
        </w:tc>
        <w:tc>
          <w:tcPr>
            <w:tcW w:w="0" w:type="dxa"/>
            <w:vAlign w:val="bottom"/>
          </w:tcPr>
          <w:p>
            <w:pPr>
              <w:spacing w:after="0"/>
              <w:rPr>
                <w:sz w:val="1"/>
                <w:szCs w:val="1"/>
                <w:color w:val="auto"/>
              </w:rPr>
            </w:pPr>
          </w:p>
        </w:tc>
      </w:tr>
      <w:tr>
        <w:trPr>
          <w:trHeight w:val="170"/>
        </w:trPr>
        <w:tc>
          <w:tcPr>
            <w:tcW w:w="6380" w:type="dxa"/>
            <w:vAlign w:val="bottom"/>
          </w:tcPr>
          <w:p>
            <w:pPr>
              <w:ind w:left="560"/>
              <w:spacing w:after="0" w:line="167" w:lineRule="exact"/>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19,869,256</w:t>
            </w:r>
          </w:p>
        </w:tc>
        <w:tc>
          <w:tcPr>
            <w:tcW w:w="2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18,798,495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15,011,282</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6380" w:type="dxa"/>
            <w:vAlign w:val="bottom"/>
          </w:tcPr>
          <w:p>
            <w:pPr>
              <w:ind w:left="560"/>
              <w:spacing w:after="0"/>
              <w:rPr>
                <w:sz w:val="20"/>
                <w:szCs w:val="20"/>
                <w:color w:val="auto"/>
              </w:rPr>
            </w:pPr>
            <w:r>
              <w:rPr>
                <w:rFonts w:ascii="Arial" w:cs="Arial" w:eastAsia="Arial" w:hAnsi="Arial"/>
                <w:sz w:val="16"/>
                <w:szCs w:val="16"/>
                <w:b w:val="1"/>
                <w:bCs w:val="1"/>
                <w:color w:val="auto"/>
              </w:rPr>
              <w:t>Interest and similar expense</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Interest on deposits and obligations</w:t>
            </w:r>
          </w:p>
        </w:tc>
        <w:tc>
          <w:tcPr>
            <w:tcW w:w="18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(2,850,474)</w:t>
            </w: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(3,141,307)</w:t>
            </w:r>
          </w:p>
        </w:tc>
        <w:tc>
          <w:tcPr>
            <w:tcW w:w="1820" w:type="dxa"/>
            <w:vAlign w:val="bottom"/>
            <w:gridSpan w:val="3"/>
          </w:tcPr>
          <w:p>
            <w:pPr>
              <w:jc w:val="right"/>
              <w:ind w:right="600"/>
              <w:spacing w:after="0" w:line="175" w:lineRule="exact"/>
              <w:rPr>
                <w:sz w:val="20"/>
                <w:szCs w:val="20"/>
                <w:color w:val="auto"/>
              </w:rPr>
            </w:pPr>
            <w:r>
              <w:rPr>
                <w:rFonts w:ascii="Arial" w:cs="Arial" w:eastAsia="Arial" w:hAnsi="Arial"/>
                <w:sz w:val="16"/>
                <w:szCs w:val="16"/>
                <w:color w:val="auto"/>
              </w:rPr>
              <w:t>(1,688,245)</w:t>
            </w: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Interest on due to banks and correspondents</w:t>
            </w:r>
          </w:p>
        </w:tc>
        <w:tc>
          <w:tcPr>
            <w:tcW w:w="18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(1,081,126)</w:t>
            </w: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(1,158,665)</w:t>
            </w:r>
          </w:p>
        </w:tc>
        <w:tc>
          <w:tcPr>
            <w:tcW w:w="1820" w:type="dxa"/>
            <w:vAlign w:val="bottom"/>
            <w:gridSpan w:val="3"/>
          </w:tcPr>
          <w:p>
            <w:pPr>
              <w:jc w:val="right"/>
              <w:ind w:right="600"/>
              <w:spacing w:after="0" w:line="175" w:lineRule="exact"/>
              <w:rPr>
                <w:sz w:val="20"/>
                <w:szCs w:val="20"/>
                <w:color w:val="auto"/>
              </w:rPr>
            </w:pPr>
            <w:r>
              <w:rPr>
                <w:rFonts w:ascii="Arial" w:cs="Arial" w:eastAsia="Arial" w:hAnsi="Arial"/>
                <w:sz w:val="16"/>
                <w:szCs w:val="16"/>
                <w:color w:val="auto"/>
              </w:rPr>
              <w:t>(683,078)</w:t>
            </w: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Interest on bonds and notes issued</w:t>
            </w:r>
          </w:p>
        </w:tc>
        <w:tc>
          <w:tcPr>
            <w:tcW w:w="18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(799,223)</w:t>
            </w: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(634,299)</w:t>
            </w:r>
          </w:p>
        </w:tc>
        <w:tc>
          <w:tcPr>
            <w:tcW w:w="1820" w:type="dxa"/>
            <w:vAlign w:val="bottom"/>
            <w:gridSpan w:val="3"/>
          </w:tcPr>
          <w:p>
            <w:pPr>
              <w:jc w:val="right"/>
              <w:ind w:right="600"/>
              <w:spacing w:after="0" w:line="175" w:lineRule="exact"/>
              <w:rPr>
                <w:sz w:val="20"/>
                <w:szCs w:val="20"/>
                <w:color w:val="auto"/>
              </w:rPr>
            </w:pPr>
            <w:r>
              <w:rPr>
                <w:rFonts w:ascii="Arial" w:cs="Arial" w:eastAsia="Arial" w:hAnsi="Arial"/>
                <w:sz w:val="16"/>
                <w:szCs w:val="16"/>
                <w:color w:val="auto"/>
              </w:rPr>
              <w:t>(728,218)</w:t>
            </w: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Financial expenses of insurance</w:t>
            </w: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activities</w:t>
            </w:r>
          </w:p>
        </w:tc>
        <w:tc>
          <w:tcPr>
            <w:tcW w:w="18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(507,356)</w:t>
            </w: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(466,814)</w:t>
            </w:r>
          </w:p>
        </w:tc>
        <w:tc>
          <w:tcPr>
            <w:tcW w:w="1820" w:type="dxa"/>
            <w:vAlign w:val="bottom"/>
            <w:gridSpan w:val="3"/>
          </w:tcPr>
          <w:p>
            <w:pPr>
              <w:jc w:val="right"/>
              <w:ind w:right="600"/>
              <w:spacing w:after="0" w:line="175" w:lineRule="exact"/>
              <w:rPr>
                <w:sz w:val="20"/>
                <w:szCs w:val="20"/>
                <w:color w:val="auto"/>
              </w:rPr>
            </w:pPr>
            <w:r>
              <w:rPr>
                <w:rFonts w:ascii="Arial" w:cs="Arial" w:eastAsia="Arial" w:hAnsi="Arial"/>
                <w:sz w:val="16"/>
                <w:szCs w:val="16"/>
                <w:color w:val="auto"/>
              </w:rPr>
              <w:t>(426,477)</w:t>
            </w: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Deposit Insurance Fund</w:t>
            </w:r>
          </w:p>
        </w:tc>
        <w:tc>
          <w:tcPr>
            <w:tcW w:w="18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(256,583)</w:t>
            </w: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(237,441)</w:t>
            </w:r>
          </w:p>
        </w:tc>
        <w:tc>
          <w:tcPr>
            <w:tcW w:w="1820" w:type="dxa"/>
            <w:vAlign w:val="bottom"/>
            <w:gridSpan w:val="3"/>
          </w:tcPr>
          <w:p>
            <w:pPr>
              <w:jc w:val="right"/>
              <w:ind w:right="600"/>
              <w:spacing w:after="0" w:line="175" w:lineRule="exact"/>
              <w:rPr>
                <w:sz w:val="20"/>
                <w:szCs w:val="20"/>
                <w:color w:val="auto"/>
              </w:rPr>
            </w:pPr>
            <w:r>
              <w:rPr>
                <w:rFonts w:ascii="Arial" w:cs="Arial" w:eastAsia="Arial" w:hAnsi="Arial"/>
                <w:sz w:val="16"/>
                <w:szCs w:val="16"/>
                <w:color w:val="auto"/>
              </w:rPr>
              <w:t>(230,255)</w:t>
            </w:r>
          </w:p>
        </w:tc>
        <w:tc>
          <w:tcPr>
            <w:tcW w:w="0" w:type="dxa"/>
            <w:vAlign w:val="bottom"/>
          </w:tcPr>
          <w:p>
            <w:pPr>
              <w:spacing w:after="0"/>
              <w:rPr>
                <w:sz w:val="1"/>
                <w:szCs w:val="1"/>
                <w:color w:val="auto"/>
              </w:rPr>
            </w:pPr>
          </w:p>
        </w:tc>
      </w:tr>
      <w:tr>
        <w:trPr>
          <w:trHeight w:val="175"/>
        </w:trPr>
        <w:tc>
          <w:tcPr>
            <w:tcW w:w="6380" w:type="dxa"/>
            <w:vAlign w:val="bottom"/>
          </w:tcPr>
          <w:p>
            <w:pPr>
              <w:ind w:left="560"/>
              <w:spacing w:after="0" w:line="175" w:lineRule="exact"/>
              <w:rPr>
                <w:sz w:val="20"/>
                <w:szCs w:val="20"/>
                <w:color w:val="auto"/>
              </w:rPr>
            </w:pPr>
            <w:r>
              <w:rPr>
                <w:rFonts w:ascii="Arial" w:cs="Arial" w:eastAsia="Arial" w:hAnsi="Arial"/>
                <w:sz w:val="16"/>
                <w:szCs w:val="16"/>
                <w:color w:val="auto"/>
              </w:rPr>
              <w:t>Interest on lease liabilities</w:t>
            </w:r>
          </w:p>
        </w:tc>
        <w:tc>
          <w:tcPr>
            <w:tcW w:w="18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(22,828)</w:t>
            </w: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(25,574)</w:t>
            </w:r>
          </w:p>
        </w:tc>
        <w:tc>
          <w:tcPr>
            <w:tcW w:w="1820" w:type="dxa"/>
            <w:vAlign w:val="bottom"/>
            <w:gridSpan w:val="3"/>
          </w:tcPr>
          <w:p>
            <w:pPr>
              <w:jc w:val="right"/>
              <w:ind w:right="600"/>
              <w:spacing w:after="0" w:line="175" w:lineRule="exact"/>
              <w:rPr>
                <w:sz w:val="20"/>
                <w:szCs w:val="20"/>
                <w:color w:val="auto"/>
              </w:rPr>
            </w:pPr>
            <w:r>
              <w:rPr>
                <w:rFonts w:ascii="Arial" w:cs="Arial" w:eastAsia="Arial" w:hAnsi="Arial"/>
                <w:sz w:val="16"/>
                <w:szCs w:val="16"/>
                <w:color w:val="auto"/>
              </w:rPr>
              <w:t>(25,054)</w:t>
            </w:r>
          </w:p>
        </w:tc>
        <w:tc>
          <w:tcPr>
            <w:tcW w:w="0" w:type="dxa"/>
            <w:vAlign w:val="bottom"/>
          </w:tcPr>
          <w:p>
            <w:pPr>
              <w:spacing w:after="0"/>
              <w:rPr>
                <w:sz w:val="1"/>
                <w:szCs w:val="1"/>
                <w:color w:val="auto"/>
              </w:rPr>
            </w:pPr>
          </w:p>
        </w:tc>
      </w:tr>
      <w:tr>
        <w:trPr>
          <w:trHeight w:val="190"/>
        </w:trPr>
        <w:tc>
          <w:tcPr>
            <w:tcW w:w="6380" w:type="dxa"/>
            <w:vAlign w:val="bottom"/>
          </w:tcPr>
          <w:p>
            <w:pPr>
              <w:ind w:left="560"/>
              <w:spacing w:after="0"/>
              <w:rPr>
                <w:sz w:val="20"/>
                <w:szCs w:val="20"/>
                <w:color w:val="auto"/>
              </w:rPr>
            </w:pPr>
            <w:r>
              <w:rPr>
                <w:rFonts w:ascii="Arial" w:cs="Arial" w:eastAsia="Arial" w:hAnsi="Arial"/>
                <w:sz w:val="16"/>
                <w:szCs w:val="16"/>
                <w:color w:val="auto"/>
              </w:rPr>
              <w:t>Other interest and similar expense</w:t>
            </w:r>
          </w:p>
        </w:tc>
        <w:tc>
          <w:tcPr>
            <w:tcW w:w="1880" w:type="dxa"/>
            <w:vAlign w:val="bottom"/>
            <w:gridSpan w:val="3"/>
          </w:tcPr>
          <w:p>
            <w:pPr>
              <w:jc w:val="right"/>
              <w:ind w:right="140"/>
              <w:spacing w:after="0"/>
              <w:rPr>
                <w:sz w:val="20"/>
                <w:szCs w:val="20"/>
                <w:color w:val="auto"/>
              </w:rPr>
            </w:pPr>
            <w:r>
              <w:rPr>
                <w:rFonts w:ascii="Arial" w:cs="Arial" w:eastAsia="Arial" w:hAnsi="Arial"/>
                <w:sz w:val="16"/>
                <w:szCs w:val="16"/>
                <w:color w:val="auto"/>
              </w:rPr>
              <w:t>(236,535)</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(196,423)</w:t>
            </w:r>
          </w:p>
        </w:tc>
        <w:tc>
          <w:tcPr>
            <w:tcW w:w="1820" w:type="dxa"/>
            <w:vAlign w:val="bottom"/>
            <w:gridSpan w:val="3"/>
          </w:tcPr>
          <w:p>
            <w:pPr>
              <w:jc w:val="right"/>
              <w:ind w:right="600"/>
              <w:spacing w:after="0"/>
              <w:rPr>
                <w:sz w:val="20"/>
                <w:szCs w:val="20"/>
                <w:color w:val="auto"/>
              </w:rPr>
            </w:pPr>
            <w:r>
              <w:rPr>
                <w:rFonts w:ascii="Arial" w:cs="Arial" w:eastAsia="Arial" w:hAnsi="Arial"/>
                <w:sz w:val="16"/>
                <w:szCs w:val="16"/>
                <w:color w:val="auto"/>
              </w:rPr>
              <w:t>(138,337)</w:t>
            </w:r>
          </w:p>
        </w:tc>
        <w:tc>
          <w:tcPr>
            <w:tcW w:w="0" w:type="dxa"/>
            <w:vAlign w:val="bottom"/>
          </w:tcPr>
          <w:p>
            <w:pPr>
              <w:spacing w:after="0"/>
              <w:rPr>
                <w:sz w:val="1"/>
                <w:szCs w:val="1"/>
                <w:color w:val="auto"/>
              </w:rPr>
            </w:pPr>
          </w:p>
        </w:tc>
      </w:tr>
      <w:tr>
        <w:trPr>
          <w:trHeight w:val="170"/>
        </w:trPr>
        <w:tc>
          <w:tcPr>
            <w:tcW w:w="6380" w:type="dxa"/>
            <w:vAlign w:val="bottom"/>
          </w:tcPr>
          <w:p>
            <w:pPr>
              <w:ind w:left="560"/>
              <w:spacing w:after="0" w:line="167" w:lineRule="exact"/>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(5,754,125)</w:t>
            </w:r>
          </w:p>
        </w:tc>
        <w:tc>
          <w:tcPr>
            <w:tcW w:w="2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(5,860,523)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(3,919,664)</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6380" w:type="dxa"/>
            <w:vAlign w:val="bottom"/>
          </w:tcPr>
          <w:p>
            <w:pPr>
              <w:ind w:left="5480"/>
              <w:spacing w:after="0"/>
              <w:rPr>
                <w:sz w:val="20"/>
                <w:szCs w:val="20"/>
                <w:color w:val="auto"/>
              </w:rPr>
            </w:pPr>
            <w:r>
              <w:rPr>
                <w:rFonts w:ascii="Arial" w:cs="Arial" w:eastAsia="Arial" w:hAnsi="Arial"/>
                <w:sz w:val="12"/>
                <w:szCs w:val="12"/>
                <w:color w:val="auto"/>
              </w:rPr>
              <w:t>-106-</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7"/>
          </w:cols>
          <w:pgMar w:left="313" w:top="124" w:right="319" w:bottom="1440" w:gutter="0" w:footer="0" w:header="0"/>
        </w:sectPr>
      </w:pPr>
    </w:p>
    <w:bookmarkStart w:id="109" w:name="page110"/>
    <w:bookmarkEnd w:id="109"/>
    <w:p>
      <w:pPr>
        <w:ind w:left="567" w:hanging="567"/>
        <w:spacing w:after="0"/>
        <w:tabs>
          <w:tab w:leader="none" w:pos="567"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COMMISSIONS AND FEES</w:t>
      </w:r>
    </w:p>
    <w:p>
      <w:pPr>
        <w:spacing w:after="0" w:line="167" w:lineRule="exact"/>
        <w:rPr>
          <w:rFonts w:ascii="Arial" w:cs="Arial" w:eastAsia="Arial" w:hAnsi="Arial"/>
          <w:sz w:val="16"/>
          <w:szCs w:val="16"/>
          <w:b w:val="1"/>
          <w:bCs w:val="1"/>
          <w:color w:val="auto"/>
        </w:rPr>
      </w:pPr>
    </w:p>
    <w:p>
      <w:pPr>
        <w:ind w:left="567"/>
        <w:spacing w:after="0"/>
        <w:rPr>
          <w:rFonts w:ascii="Arial" w:cs="Arial" w:eastAsia="Arial" w:hAnsi="Arial"/>
          <w:sz w:val="16"/>
          <w:szCs w:val="16"/>
          <w:b w:val="1"/>
          <w:bCs w:val="1"/>
          <w:color w:val="auto"/>
        </w:rPr>
      </w:pPr>
      <w:r>
        <w:rPr>
          <w:rFonts w:ascii="Arial" w:cs="Arial" w:eastAsia="Arial" w:hAnsi="Arial"/>
          <w:sz w:val="16"/>
          <w:szCs w:val="16"/>
          <w:color w:val="auto"/>
        </w:rPr>
        <w:t>This item consists of the following:</w:t>
      </w:r>
    </w:p>
    <w:p>
      <w:pPr>
        <w:spacing w:after="0" w:line="164" w:lineRule="exact"/>
        <w:rPr>
          <w:sz w:val="20"/>
          <w:szCs w:val="20"/>
          <w:color w:val="auto"/>
        </w:rPr>
      </w:pPr>
    </w:p>
    <w:tbl>
      <w:tblPr>
        <w:tblLayout w:type="fixed"/>
        <w:tblInd w:w="567"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6"/>
                <w:szCs w:val="16"/>
                <w:color w:val="auto"/>
              </w:rPr>
            </w:pPr>
          </w:p>
        </w:tc>
      </w:tr>
      <w:tr>
        <w:trPr>
          <w:trHeight w:val="206"/>
        </w:trPr>
        <w:tc>
          <w:tcPr>
            <w:tcW w:w="6440" w:type="dxa"/>
            <w:vAlign w:val="bottom"/>
          </w:tcPr>
          <w:p>
            <w:pPr>
              <w:spacing w:after="0"/>
              <w:rPr>
                <w:sz w:val="17"/>
                <w:szCs w:val="17"/>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6440" w:type="dxa"/>
            <w:vAlign w:val="bottom"/>
          </w:tcPr>
          <w:p>
            <w:pPr>
              <w:spacing w:after="0"/>
              <w:rPr>
                <w:sz w:val="20"/>
                <w:szCs w:val="20"/>
                <w:color w:val="auto"/>
              </w:rPr>
            </w:pPr>
            <w:r>
              <w:rPr>
                <w:rFonts w:ascii="Arial" w:cs="Arial" w:eastAsia="Arial" w:hAnsi="Arial"/>
                <w:sz w:val="16"/>
                <w:szCs w:val="16"/>
                <w:b w:val="1"/>
                <w:bCs w:val="1"/>
                <w:color w:val="auto"/>
              </w:rPr>
              <w:t>Performance obligations at a point in time:</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6"/>
                <w:szCs w:val="16"/>
                <w:color w:val="auto"/>
              </w:rPr>
              <w:t>Maintenance of accounts, transfers and card services</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1,791,533</w:t>
            </w: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1,465,318</w:t>
            </w:r>
          </w:p>
        </w:tc>
        <w:tc>
          <w:tcPr>
            <w:tcW w:w="12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1,595,547</w:t>
            </w: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6"/>
                <w:szCs w:val="16"/>
                <w:color w:val="auto"/>
              </w:rPr>
              <w:t>Commissions for banking services</w:t>
            </w:r>
          </w:p>
        </w:tc>
        <w:tc>
          <w:tcPr>
            <w:tcW w:w="10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542,592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443,040</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367,946</w:t>
            </w:r>
          </w:p>
        </w:tc>
        <w:tc>
          <w:tcPr>
            <w:tcW w:w="20" w:type="dxa"/>
            <w:vAlign w:val="bottom"/>
          </w:tcPr>
          <w:p>
            <w:pPr>
              <w:spacing w:after="0"/>
              <w:rPr>
                <w:sz w:val="15"/>
                <w:szCs w:val="15"/>
                <w:color w:val="auto"/>
              </w:rPr>
            </w:pP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6"/>
                <w:szCs w:val="16"/>
                <w:color w:val="auto"/>
              </w:rPr>
              <w:t>Collection services</w:t>
            </w:r>
          </w:p>
        </w:tc>
        <w:tc>
          <w:tcPr>
            <w:tcW w:w="10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146,109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119,563</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119,636</w:t>
            </w:r>
          </w:p>
        </w:tc>
        <w:tc>
          <w:tcPr>
            <w:tcW w:w="20" w:type="dxa"/>
            <w:vAlign w:val="bottom"/>
          </w:tcPr>
          <w:p>
            <w:pPr>
              <w:spacing w:after="0"/>
              <w:rPr>
                <w:sz w:val="15"/>
                <w:szCs w:val="15"/>
                <w:color w:val="auto"/>
              </w:rPr>
            </w:pP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6"/>
                <w:szCs w:val="16"/>
                <w:color w:val="auto"/>
              </w:rPr>
              <w:t>Commissions for consulting and technical studies</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84,494</w:t>
            </w: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61,390</w:t>
            </w:r>
          </w:p>
        </w:tc>
        <w:tc>
          <w:tcPr>
            <w:tcW w:w="12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66,291</w:t>
            </w: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6"/>
                <w:szCs w:val="16"/>
                <w:color w:val="auto"/>
              </w:rPr>
              <w:t>Commissions for brokerages, stockbrokers and stock markets.</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67,329</w:t>
            </w: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43,861</w:t>
            </w:r>
          </w:p>
        </w:tc>
        <w:tc>
          <w:tcPr>
            <w:tcW w:w="12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44,225</w:t>
            </w: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6"/>
                <w:szCs w:val="16"/>
                <w:color w:val="auto"/>
              </w:rPr>
              <w:t>Commissions for salary advance and payment of services</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43,421</w:t>
            </w: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59,903</w:t>
            </w:r>
          </w:p>
        </w:tc>
        <w:tc>
          <w:tcPr>
            <w:tcW w:w="12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66,330</w:t>
            </w: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6"/>
                <w:szCs w:val="16"/>
                <w:color w:val="auto"/>
              </w:rPr>
              <w:t>Commissions for intermediation in virtual platforms</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35,686</w:t>
            </w: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41,376</w:t>
            </w:r>
          </w:p>
        </w:tc>
        <w:tc>
          <w:tcPr>
            <w:tcW w:w="12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35,324</w:t>
            </w: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6"/>
                <w:szCs w:val="16"/>
                <w:color w:val="auto"/>
              </w:rPr>
              <w:t>Commissions for placements</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41,866</w:t>
            </w: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32,253</w:t>
            </w:r>
          </w:p>
        </w:tc>
        <w:tc>
          <w:tcPr>
            <w:tcW w:w="12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27,686</w:t>
            </w:r>
          </w:p>
        </w:tc>
      </w:tr>
      <w:tr>
        <w:trPr>
          <w:trHeight w:val="175"/>
        </w:trPr>
        <w:tc>
          <w:tcPr>
            <w:tcW w:w="6440" w:type="dxa"/>
            <w:vAlign w:val="bottom"/>
          </w:tcPr>
          <w:p>
            <w:pPr>
              <w:spacing w:after="0" w:line="175" w:lineRule="exact"/>
              <w:rPr>
                <w:sz w:val="20"/>
                <w:szCs w:val="20"/>
                <w:color w:val="auto"/>
              </w:rPr>
            </w:pPr>
            <w:r>
              <w:rPr>
                <w:rFonts w:ascii="Arial" w:cs="Arial" w:eastAsia="Arial" w:hAnsi="Arial"/>
                <w:sz w:val="16"/>
                <w:szCs w:val="16"/>
                <w:color w:val="auto"/>
              </w:rPr>
              <w:t>Operational commissions</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45,955</w:t>
            </w:r>
          </w:p>
        </w:tc>
        <w:tc>
          <w:tcPr>
            <w:tcW w:w="18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41,082</w:t>
            </w:r>
          </w:p>
        </w:tc>
        <w:tc>
          <w:tcPr>
            <w:tcW w:w="122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36,213</w:t>
            </w:r>
          </w:p>
        </w:tc>
      </w:tr>
      <w:tr>
        <w:trPr>
          <w:trHeight w:val="190"/>
        </w:trPr>
        <w:tc>
          <w:tcPr>
            <w:tcW w:w="6440" w:type="dxa"/>
            <w:vAlign w:val="bottom"/>
          </w:tcPr>
          <w:p>
            <w:pPr>
              <w:spacing w:after="0"/>
              <w:rPr>
                <w:sz w:val="20"/>
                <w:szCs w:val="20"/>
                <w:color w:val="auto"/>
              </w:rPr>
            </w:pPr>
            <w:r>
              <w:rPr>
                <w:rFonts w:ascii="Arial" w:cs="Arial" w:eastAsia="Arial" w:hAnsi="Arial"/>
                <w:sz w:val="16"/>
                <w:szCs w:val="16"/>
                <w:color w:val="auto"/>
              </w:rPr>
              <w:t>Others</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78,347</w:t>
            </w:r>
          </w:p>
        </w:tc>
        <w:tc>
          <w:tcPr>
            <w:tcW w:w="1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99,085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130,155</w:t>
            </w:r>
          </w:p>
        </w:tc>
        <w:tc>
          <w:tcPr>
            <w:tcW w:w="20" w:type="dxa"/>
            <w:vAlign w:val="bottom"/>
          </w:tcPr>
          <w:p>
            <w:pPr>
              <w:spacing w:after="0"/>
              <w:rPr>
                <w:sz w:val="16"/>
                <w:szCs w:val="16"/>
                <w:color w:val="auto"/>
              </w:rPr>
            </w:pPr>
          </w:p>
        </w:tc>
      </w:tr>
      <w:tr>
        <w:trPr>
          <w:trHeight w:val="196"/>
        </w:trPr>
        <w:tc>
          <w:tcPr>
            <w:tcW w:w="6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2,877,332</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2,406,871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2,489,353</w:t>
            </w:r>
          </w:p>
        </w:tc>
        <w:tc>
          <w:tcPr>
            <w:tcW w:w="20" w:type="dxa"/>
            <w:vAlign w:val="bottom"/>
          </w:tcPr>
          <w:p>
            <w:pPr>
              <w:spacing w:after="0"/>
              <w:rPr>
                <w:sz w:val="17"/>
                <w:szCs w:val="17"/>
                <w:color w:val="auto"/>
              </w:rPr>
            </w:pPr>
          </w:p>
        </w:tc>
      </w:tr>
    </w:tbl>
    <w:p>
      <w:pPr>
        <w:spacing w:after="0" w:line="122"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6640" w:type="dxa"/>
            <w:vAlign w:val="bottom"/>
          </w:tcPr>
          <w:p>
            <w:pPr>
              <w:ind w:left="200"/>
              <w:spacing w:after="0"/>
              <w:rPr>
                <w:sz w:val="20"/>
                <w:szCs w:val="20"/>
                <w:color w:val="auto"/>
              </w:rPr>
            </w:pPr>
            <w:r>
              <w:rPr>
                <w:rFonts w:ascii="Arial" w:cs="Arial" w:eastAsia="Arial" w:hAnsi="Arial"/>
                <w:sz w:val="16"/>
                <w:szCs w:val="16"/>
                <w:b w:val="1"/>
                <w:bCs w:val="1"/>
                <w:color w:val="auto"/>
              </w:rPr>
              <w:t>Performance obligations over time:</w:t>
            </w: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Arial" w:cs="Arial" w:eastAsia="Arial" w:hAnsi="Arial"/>
                <w:sz w:val="16"/>
                <w:szCs w:val="16"/>
                <w:color w:val="auto"/>
              </w:rPr>
              <w:t>Funds and equity management</w:t>
            </w:r>
          </w:p>
        </w:tc>
        <w:tc>
          <w:tcPr>
            <w:tcW w:w="10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742,250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700,663</w:t>
            </w:r>
          </w:p>
        </w:tc>
        <w:tc>
          <w:tcPr>
            <w:tcW w:w="11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628,739</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Arial" w:cs="Arial" w:eastAsia="Arial" w:hAnsi="Arial"/>
                <w:sz w:val="16"/>
                <w:szCs w:val="16"/>
                <w:color w:val="auto"/>
              </w:rPr>
              <w:t>Contingent loans and foreign trade fees</w:t>
            </w:r>
          </w:p>
        </w:tc>
        <w:tc>
          <w:tcPr>
            <w:tcW w:w="10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375,929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651,392</w:t>
            </w:r>
          </w:p>
        </w:tc>
        <w:tc>
          <w:tcPr>
            <w:tcW w:w="11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450,874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Commissions for custody of securities</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56,592</w:t>
            </w:r>
          </w:p>
        </w:tc>
        <w:tc>
          <w:tcPr>
            <w:tcW w:w="18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45,533</w:t>
            </w:r>
          </w:p>
        </w:tc>
        <w:tc>
          <w:tcPr>
            <w:tcW w:w="1820" w:type="dxa"/>
            <w:vAlign w:val="bottom"/>
            <w:gridSpan w:val="3"/>
          </w:tcPr>
          <w:p>
            <w:pPr>
              <w:jc w:val="right"/>
              <w:ind w:right="640"/>
              <w:spacing w:after="0"/>
              <w:rPr>
                <w:sz w:val="20"/>
                <w:szCs w:val="20"/>
                <w:color w:val="auto"/>
              </w:rPr>
            </w:pPr>
            <w:r>
              <w:rPr>
                <w:rFonts w:ascii="Arial" w:cs="Arial" w:eastAsia="Arial" w:hAnsi="Arial"/>
                <w:sz w:val="16"/>
                <w:szCs w:val="16"/>
                <w:color w:val="auto"/>
              </w:rPr>
              <w:t>73,891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1,174,771</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1,397,588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1,153,504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664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 w:type="dxa"/>
            <w:vAlign w:val="bottom"/>
            <w:vMerge w:val="restart"/>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66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6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4,052,103</w:t>
            </w:r>
          </w:p>
        </w:tc>
        <w:tc>
          <w:tcPr>
            <w:tcW w:w="180" w:type="dxa"/>
            <w:vAlign w:val="bottom"/>
          </w:tcPr>
          <w:p>
            <w:pPr>
              <w:spacing w:after="0"/>
              <w:rPr>
                <w:sz w:val="14"/>
                <w:szCs w:val="14"/>
                <w:color w:val="auto"/>
              </w:rPr>
            </w:pPr>
          </w:p>
        </w:tc>
        <w:tc>
          <w:tcPr>
            <w:tcW w:w="1060" w:type="dxa"/>
            <w:vAlign w:val="bottom"/>
          </w:tcPr>
          <w:p>
            <w:pPr>
              <w:jc w:val="right"/>
              <w:spacing w:after="0" w:line="167" w:lineRule="exact"/>
              <w:rPr>
                <w:sz w:val="20"/>
                <w:szCs w:val="20"/>
                <w:color w:val="auto"/>
              </w:rPr>
            </w:pPr>
            <w:r>
              <w:rPr>
                <w:rFonts w:ascii="Arial" w:cs="Arial" w:eastAsia="Arial" w:hAnsi="Arial"/>
                <w:sz w:val="16"/>
                <w:szCs w:val="16"/>
                <w:color w:val="auto"/>
              </w:rPr>
              <w:t>3,804,459</w:t>
            </w:r>
          </w:p>
        </w:tc>
        <w:tc>
          <w:tcPr>
            <w:tcW w:w="1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tcPr>
          <w:p>
            <w:pPr>
              <w:jc w:val="right"/>
              <w:spacing w:after="0" w:line="167" w:lineRule="exact"/>
              <w:rPr>
                <w:sz w:val="20"/>
                <w:szCs w:val="20"/>
                <w:color w:val="auto"/>
              </w:rPr>
            </w:pPr>
            <w:r>
              <w:rPr>
                <w:rFonts w:ascii="Arial" w:cs="Arial" w:eastAsia="Arial" w:hAnsi="Arial"/>
                <w:sz w:val="16"/>
                <w:szCs w:val="16"/>
                <w:color w:val="auto"/>
              </w:rPr>
              <w:t>3,642,857</w:t>
            </w: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360" w:type="dxa"/>
            <w:vAlign w:val="bottom"/>
          </w:tcPr>
          <w:p>
            <w:pPr>
              <w:jc w:val="right"/>
              <w:ind w:right="122"/>
              <w:spacing w:after="0"/>
              <w:rPr>
                <w:sz w:val="20"/>
                <w:szCs w:val="20"/>
                <w:color w:val="auto"/>
              </w:rPr>
            </w:pPr>
            <w:r>
              <w:rPr>
                <w:rFonts w:ascii="Arial" w:cs="Arial" w:eastAsia="Arial" w:hAnsi="Arial"/>
                <w:sz w:val="16"/>
                <w:szCs w:val="16"/>
                <w:b w:val="1"/>
                <w:bCs w:val="1"/>
                <w:color w:val="auto"/>
                <w:w w:val="78"/>
              </w:rPr>
              <w:t>21</w:t>
            </w:r>
          </w:p>
        </w:tc>
        <w:tc>
          <w:tcPr>
            <w:tcW w:w="6640" w:type="dxa"/>
            <w:vAlign w:val="bottom"/>
          </w:tcPr>
          <w:p>
            <w:pPr>
              <w:ind w:left="200"/>
              <w:spacing w:after="0"/>
              <w:rPr>
                <w:sz w:val="20"/>
                <w:szCs w:val="20"/>
                <w:color w:val="auto"/>
              </w:rPr>
            </w:pPr>
            <w:r>
              <w:rPr>
                <w:rFonts w:ascii="Arial" w:cs="Arial" w:eastAsia="Arial" w:hAnsi="Arial"/>
                <w:sz w:val="16"/>
                <w:szCs w:val="16"/>
                <w:b w:val="1"/>
                <w:bCs w:val="1"/>
                <w:color w:val="auto"/>
              </w:rPr>
              <w:t>NET GAIN ON SECURITIES</w:t>
            </w:r>
          </w:p>
        </w:tc>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60" w:type="dxa"/>
            <w:vAlign w:val="bottom"/>
          </w:tcPr>
          <w:p>
            <w:pPr>
              <w:spacing w:after="0"/>
              <w:rPr>
                <w:sz w:val="24"/>
                <w:szCs w:val="24"/>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This item consists of the following:</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0" w:type="dxa"/>
            <w:vAlign w:val="bottom"/>
            <w:gridSpan w:val="2"/>
          </w:tcPr>
          <w:p>
            <w:pPr>
              <w:spacing w:after="0"/>
              <w:rPr>
                <w:sz w:val="17"/>
                <w:szCs w:val="17"/>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Net gain (loss) on financial assets at fair value through profit or loss</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212,907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370,049</w:t>
            </w:r>
          </w:p>
        </w:tc>
        <w:tc>
          <w:tcPr>
            <w:tcW w:w="1820" w:type="dxa"/>
            <w:vAlign w:val="bottom"/>
            <w:gridSpan w:val="3"/>
          </w:tcPr>
          <w:p>
            <w:pPr>
              <w:jc w:val="right"/>
              <w:ind w:right="600"/>
              <w:spacing w:after="0"/>
              <w:rPr>
                <w:sz w:val="20"/>
                <w:szCs w:val="20"/>
                <w:color w:val="auto"/>
              </w:rPr>
            </w:pPr>
            <w:r>
              <w:rPr>
                <w:rFonts w:ascii="Arial" w:cs="Arial" w:eastAsia="Arial" w:hAnsi="Arial"/>
                <w:sz w:val="16"/>
                <w:szCs w:val="16"/>
                <w:color w:val="auto"/>
              </w:rPr>
              <w:t>(114,892)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Arial" w:cs="Arial" w:eastAsia="Arial" w:hAnsi="Arial"/>
                <w:sz w:val="16"/>
                <w:szCs w:val="16"/>
                <w:color w:val="auto"/>
              </w:rPr>
              <w:t>Net gain in associates</w:t>
            </w:r>
          </w:p>
        </w:tc>
        <w:tc>
          <w:tcPr>
            <w:tcW w:w="10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135,183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117,089</w:t>
            </w:r>
          </w:p>
        </w:tc>
        <w:tc>
          <w:tcPr>
            <w:tcW w:w="11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104,461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Arial" w:cs="Arial" w:eastAsia="Arial" w:hAnsi="Arial"/>
                <w:sz w:val="16"/>
                <w:szCs w:val="16"/>
                <w:color w:val="auto"/>
              </w:rPr>
              <w:t>Net gain (loss) on investments at fair value through other comprehensive income</w:t>
            </w:r>
          </w:p>
        </w:tc>
        <w:tc>
          <w:tcPr>
            <w:tcW w:w="10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43,101</w:t>
            </w:r>
          </w:p>
        </w:tc>
        <w:tc>
          <w:tcPr>
            <w:tcW w:w="180" w:type="dxa"/>
            <w:vAlign w:val="bottom"/>
          </w:tcPr>
          <w:p>
            <w:pPr>
              <w:spacing w:after="0"/>
              <w:rPr>
                <w:sz w:val="15"/>
                <w:szCs w:val="15"/>
                <w:color w:val="auto"/>
              </w:rPr>
            </w:pP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(61,255)</w:t>
            </w:r>
          </w:p>
        </w:tc>
        <w:tc>
          <w:tcPr>
            <w:tcW w:w="182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75,273</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640" w:type="dxa"/>
            <w:vAlign w:val="bottom"/>
          </w:tcPr>
          <w:p>
            <w:pPr>
              <w:ind w:left="200"/>
              <w:spacing w:after="0" w:line="175" w:lineRule="exact"/>
              <w:rPr>
                <w:sz w:val="20"/>
                <w:szCs w:val="20"/>
                <w:color w:val="auto"/>
              </w:rPr>
            </w:pPr>
            <w:r>
              <w:rPr>
                <w:rFonts w:ascii="Arial" w:cs="Arial" w:eastAsia="Arial" w:hAnsi="Arial"/>
                <w:sz w:val="16"/>
                <w:szCs w:val="16"/>
                <w:color w:val="auto"/>
              </w:rPr>
              <w:t>Impairment of investments at fair value through other comprehensive income, Note 6(b)</w:t>
            </w:r>
          </w:p>
        </w:tc>
        <w:tc>
          <w:tcPr>
            <w:tcW w:w="1260" w:type="dxa"/>
            <w:vAlign w:val="bottom"/>
            <w:gridSpan w:val="4"/>
          </w:tcPr>
          <w:p>
            <w:pPr>
              <w:jc w:val="right"/>
              <w:ind w:right="140"/>
              <w:spacing w:after="0" w:line="175" w:lineRule="exact"/>
              <w:rPr>
                <w:sz w:val="20"/>
                <w:szCs w:val="20"/>
                <w:color w:val="auto"/>
              </w:rPr>
            </w:pPr>
            <w:r>
              <w:rPr>
                <w:rFonts w:ascii="Arial" w:cs="Arial" w:eastAsia="Arial" w:hAnsi="Arial"/>
                <w:sz w:val="16"/>
                <w:szCs w:val="16"/>
                <w:color w:val="auto"/>
              </w:rPr>
              <w:t>(27,947)</w:t>
            </w: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(4,321)</w:t>
            </w:r>
          </w:p>
        </w:tc>
        <w:tc>
          <w:tcPr>
            <w:tcW w:w="1820" w:type="dxa"/>
            <w:vAlign w:val="bottom"/>
            <w:gridSpan w:val="3"/>
          </w:tcPr>
          <w:p>
            <w:pPr>
              <w:jc w:val="right"/>
              <w:ind w:right="600"/>
              <w:spacing w:after="0" w:line="175" w:lineRule="exact"/>
              <w:rPr>
                <w:sz w:val="20"/>
                <w:szCs w:val="20"/>
                <w:color w:val="auto"/>
              </w:rPr>
            </w:pPr>
            <w:r>
              <w:rPr>
                <w:rFonts w:ascii="Arial" w:cs="Arial" w:eastAsia="Arial" w:hAnsi="Arial"/>
                <w:sz w:val="16"/>
                <w:szCs w:val="16"/>
                <w:color w:val="auto"/>
              </w:rPr>
              <w:t>(58,260)</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640" w:type="dxa"/>
            <w:vAlign w:val="bottom"/>
          </w:tcPr>
          <w:p>
            <w:pPr>
              <w:ind w:left="200"/>
              <w:spacing w:after="0"/>
              <w:rPr>
                <w:sz w:val="20"/>
                <w:szCs w:val="20"/>
                <w:color w:val="auto"/>
              </w:rPr>
            </w:pPr>
            <w:r>
              <w:rPr>
                <w:rFonts w:ascii="Arial" w:cs="Arial" w:eastAsia="Arial" w:hAnsi="Arial"/>
                <w:sz w:val="16"/>
                <w:szCs w:val="16"/>
                <w:color w:val="auto"/>
              </w:rPr>
              <w:t>Others</w:t>
            </w:r>
          </w:p>
        </w:tc>
        <w:tc>
          <w:tcPr>
            <w:tcW w:w="1260" w:type="dxa"/>
            <w:vAlign w:val="bottom"/>
            <w:gridSpan w:val="4"/>
          </w:tcPr>
          <w:p>
            <w:pPr>
              <w:jc w:val="right"/>
              <w:ind w:right="140"/>
              <w:spacing w:after="0"/>
              <w:rPr>
                <w:sz w:val="20"/>
                <w:szCs w:val="20"/>
                <w:color w:val="auto"/>
              </w:rPr>
            </w:pPr>
            <w:r>
              <w:rPr>
                <w:rFonts w:ascii="Arial" w:cs="Arial" w:eastAsia="Arial" w:hAnsi="Arial"/>
                <w:sz w:val="16"/>
                <w:szCs w:val="16"/>
                <w:color w:val="auto"/>
              </w:rPr>
              <w:t>(949)</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3,582</w:t>
            </w:r>
          </w:p>
        </w:tc>
        <w:tc>
          <w:tcPr>
            <w:tcW w:w="1820" w:type="dxa"/>
            <w:vAlign w:val="bottom"/>
            <w:gridSpan w:val="3"/>
          </w:tcPr>
          <w:p>
            <w:pPr>
              <w:jc w:val="right"/>
              <w:ind w:right="60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6640" w:type="dxa"/>
            <w:vAlign w:val="bottom"/>
          </w:tcPr>
          <w:p>
            <w:pPr>
              <w:ind w:left="200"/>
              <w:spacing w:after="0" w:line="167"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362,295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425,144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5,468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360" w:type="dxa"/>
            <w:vAlign w:val="bottom"/>
          </w:tcPr>
          <w:p>
            <w:pPr>
              <w:spacing w:after="0"/>
              <w:rPr>
                <w:sz w:val="24"/>
                <w:szCs w:val="24"/>
                <w:color w:val="auto"/>
              </w:rPr>
            </w:pPr>
          </w:p>
        </w:tc>
        <w:tc>
          <w:tcPr>
            <w:tcW w:w="6640" w:type="dxa"/>
            <w:vAlign w:val="bottom"/>
          </w:tcPr>
          <w:p>
            <w:pPr>
              <w:ind w:left="5120"/>
              <w:spacing w:after="0"/>
              <w:rPr>
                <w:sz w:val="20"/>
                <w:szCs w:val="20"/>
                <w:color w:val="auto"/>
              </w:rPr>
            </w:pPr>
            <w:r>
              <w:rPr>
                <w:rFonts w:ascii="Arial" w:cs="Arial" w:eastAsia="Arial" w:hAnsi="Arial"/>
                <w:sz w:val="12"/>
                <w:szCs w:val="12"/>
                <w:color w:val="auto"/>
              </w:rPr>
              <w:t>-107-</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7"/>
          </w:cols>
          <w:pgMar w:left="313" w:top="124" w:right="31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Pr>
          <w:p>
            <w:pPr>
              <w:jc w:val="right"/>
              <w:ind w:right="122"/>
              <w:spacing w:after="0"/>
              <w:rPr>
                <w:sz w:val="20"/>
                <w:szCs w:val="20"/>
                <w:color w:val="auto"/>
              </w:rPr>
            </w:pPr>
            <w:r>
              <w:rPr>
                <w:rFonts w:ascii="Arial" w:cs="Arial" w:eastAsia="Arial" w:hAnsi="Arial"/>
                <w:sz w:val="16"/>
                <w:szCs w:val="16"/>
                <w:b w:val="1"/>
                <w:bCs w:val="1"/>
                <w:color w:val="auto"/>
                <w:w w:val="78"/>
              </w:rPr>
              <w:t>22</w:t>
            </w:r>
          </w:p>
        </w:tc>
        <w:tc>
          <w:tcPr>
            <w:tcW w:w="6360" w:type="dxa"/>
            <w:vAlign w:val="bottom"/>
          </w:tcPr>
          <w:p>
            <w:pPr>
              <w:ind w:left="200"/>
              <w:spacing w:after="0"/>
              <w:rPr>
                <w:sz w:val="20"/>
                <w:szCs w:val="20"/>
                <w:color w:val="auto"/>
              </w:rPr>
            </w:pPr>
            <w:r>
              <w:rPr>
                <w:rFonts w:ascii="Arial" w:cs="Arial" w:eastAsia="Arial" w:hAnsi="Arial"/>
                <w:sz w:val="16"/>
                <w:szCs w:val="16"/>
                <w:b w:val="1"/>
                <w:bCs w:val="1"/>
                <w:color w:val="auto"/>
              </w:rPr>
              <w:t>INSURANCE AND REINSURANCE RESULT</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60" w:type="dxa"/>
            <w:vAlign w:val="bottom"/>
          </w:tcPr>
          <w:p>
            <w:pPr>
              <w:spacing w:after="0"/>
              <w:rPr>
                <w:sz w:val="24"/>
                <w:szCs w:val="24"/>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a)  This item consists of the following:</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42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02"/>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24"/>
                <w:szCs w:val="24"/>
                <w:color w:val="auto"/>
              </w:rPr>
            </w:pPr>
          </w:p>
        </w:tc>
        <w:tc>
          <w:tcPr>
            <w:tcW w:w="1140" w:type="dxa"/>
            <w:vAlign w:val="bottom"/>
            <w:gridSpan w:val="2"/>
          </w:tcPr>
          <w:p>
            <w:pPr>
              <w:jc w:val="right"/>
              <w:ind w:right="64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Borders>
              <w:top w:val="single" w:sz="8" w:color="auto"/>
            </w:tcBorders>
          </w:tcPr>
          <w:p>
            <w:pPr>
              <w:jc w:val="right"/>
              <w:ind w:right="362"/>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top w:val="single" w:sz="8" w:color="auto"/>
            </w:tcBorders>
          </w:tcPr>
          <w:p>
            <w:pPr>
              <w:jc w:val="right"/>
              <w:ind w:right="362"/>
              <w:spacing w:after="0" w:line="152"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ind w:right="382"/>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360" w:type="dxa"/>
            <w:vAlign w:val="bottom"/>
          </w:tcPr>
          <w:p>
            <w:pPr>
              <w:ind w:left="480"/>
              <w:spacing w:after="0" w:line="175" w:lineRule="exact"/>
              <w:rPr>
                <w:sz w:val="20"/>
                <w:szCs w:val="20"/>
                <w:color w:val="auto"/>
              </w:rPr>
            </w:pPr>
            <w:r>
              <w:rPr>
                <w:rFonts w:ascii="Arial" w:cs="Arial" w:eastAsia="Arial" w:hAnsi="Arial"/>
                <w:sz w:val="16"/>
                <w:szCs w:val="16"/>
                <w:color w:val="auto"/>
              </w:rPr>
              <w:t>Contracts measured under BBA* and VFA (b)</w:t>
            </w:r>
          </w:p>
        </w:tc>
        <w:tc>
          <w:tcPr>
            <w:tcW w:w="14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204,578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226,125</w:t>
            </w:r>
          </w:p>
        </w:tc>
        <w:tc>
          <w:tcPr>
            <w:tcW w:w="11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211,323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360" w:type="dxa"/>
            <w:vAlign w:val="bottom"/>
          </w:tcPr>
          <w:p>
            <w:pPr>
              <w:ind w:left="480"/>
              <w:spacing w:after="0"/>
              <w:rPr>
                <w:sz w:val="20"/>
                <w:szCs w:val="20"/>
                <w:color w:val="auto"/>
              </w:rPr>
            </w:pPr>
            <w:r>
              <w:rPr>
                <w:rFonts w:ascii="Arial" w:cs="Arial" w:eastAsia="Arial" w:hAnsi="Arial"/>
                <w:sz w:val="16"/>
                <w:szCs w:val="16"/>
                <w:color w:val="auto"/>
              </w:rPr>
              <w:t>Contracts measured under PAA</w:t>
            </w: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3,574,816</w:t>
            </w:r>
          </w:p>
        </w:tc>
        <w:tc>
          <w:tcPr>
            <w:tcW w:w="1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3,629,283</w:t>
            </w:r>
          </w:p>
        </w:tc>
        <w:tc>
          <w:tcPr>
            <w:tcW w:w="1200" w:type="dxa"/>
            <w:vAlign w:val="bottom"/>
            <w:gridSpan w:val="3"/>
          </w:tcPr>
          <w:p>
            <w:pPr>
              <w:jc w:val="right"/>
              <w:ind w:right="60"/>
              <w:spacing w:after="0"/>
              <w:rPr>
                <w:sz w:val="20"/>
                <w:szCs w:val="20"/>
                <w:color w:val="auto"/>
              </w:rPr>
            </w:pPr>
            <w:r>
              <w:rPr>
                <w:rFonts w:ascii="Arial" w:cs="Arial" w:eastAsia="Arial" w:hAnsi="Arial"/>
                <w:sz w:val="16"/>
                <w:szCs w:val="16"/>
                <w:color w:val="auto"/>
              </w:rPr>
              <w:t>3,321,947</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6360" w:type="dxa"/>
            <w:vAlign w:val="bottom"/>
          </w:tcPr>
          <w:p>
            <w:pPr>
              <w:ind w:left="480"/>
              <w:spacing w:after="0" w:line="167" w:lineRule="exact"/>
              <w:rPr>
                <w:sz w:val="20"/>
                <w:szCs w:val="20"/>
                <w:color w:val="auto"/>
              </w:rPr>
            </w:pPr>
            <w:r>
              <w:rPr>
                <w:rFonts w:ascii="Arial" w:cs="Arial" w:eastAsia="Arial" w:hAnsi="Arial"/>
                <w:sz w:val="16"/>
                <w:szCs w:val="16"/>
                <w:color w:val="auto"/>
              </w:rPr>
              <w:t>Income from the Insurance Service</w:t>
            </w:r>
          </w:p>
        </w:tc>
        <w:tc>
          <w:tcPr>
            <w:tcW w:w="380" w:type="dxa"/>
            <w:vAlign w:val="bottom"/>
          </w:tcPr>
          <w:p>
            <w:pPr>
              <w:spacing w:after="0"/>
              <w:rPr>
                <w:sz w:val="14"/>
                <w:szCs w:val="14"/>
                <w:color w:val="auto"/>
              </w:rPr>
            </w:pPr>
          </w:p>
        </w:tc>
        <w:tc>
          <w:tcPr>
            <w:tcW w:w="106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3,779,394</w:t>
            </w: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3,855,408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3,533,270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360" w:type="dxa"/>
            <w:vAlign w:val="bottom"/>
          </w:tcPr>
          <w:p>
            <w:pPr>
              <w:spacing w:after="0"/>
              <w:rPr>
                <w:sz w:val="24"/>
                <w:szCs w:val="24"/>
                <w:color w:val="auto"/>
              </w:rPr>
            </w:pPr>
          </w:p>
        </w:tc>
        <w:tc>
          <w:tcPr>
            <w:tcW w:w="6360" w:type="dxa"/>
            <w:vAlign w:val="bottom"/>
          </w:tcPr>
          <w:p>
            <w:pPr>
              <w:ind w:left="480"/>
              <w:spacing w:after="0"/>
              <w:rPr>
                <w:sz w:val="20"/>
                <w:szCs w:val="20"/>
                <w:color w:val="auto"/>
              </w:rPr>
            </w:pPr>
            <w:r>
              <w:rPr>
                <w:rFonts w:ascii="Arial" w:cs="Arial" w:eastAsia="Arial" w:hAnsi="Arial"/>
                <w:sz w:val="16"/>
                <w:szCs w:val="16"/>
                <w:color w:val="auto"/>
              </w:rPr>
              <w:t>Expenses for incurred claims and other expenses net of change of past services</w:t>
            </w:r>
          </w:p>
        </w:tc>
        <w:tc>
          <w:tcPr>
            <w:tcW w:w="1600" w:type="dxa"/>
            <w:vAlign w:val="bottom"/>
            <w:gridSpan w:val="4"/>
          </w:tcPr>
          <w:p>
            <w:pPr>
              <w:jc w:val="right"/>
              <w:ind w:right="120"/>
              <w:spacing w:after="0"/>
              <w:rPr>
                <w:sz w:val="20"/>
                <w:szCs w:val="20"/>
                <w:color w:val="auto"/>
              </w:rPr>
            </w:pPr>
            <w:r>
              <w:rPr>
                <w:rFonts w:ascii="Arial" w:cs="Arial" w:eastAsia="Arial" w:hAnsi="Arial"/>
                <w:sz w:val="16"/>
                <w:szCs w:val="16"/>
                <w:color w:val="auto"/>
              </w:rPr>
              <w:t>(2,062,848)</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(2,232,672)</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(2,122,652)</w:t>
            </w:r>
          </w:p>
        </w:tc>
        <w:tc>
          <w:tcPr>
            <w:tcW w:w="0" w:type="dxa"/>
            <w:vAlign w:val="bottom"/>
          </w:tcPr>
          <w:p>
            <w:pPr>
              <w:spacing w:after="0"/>
              <w:rPr>
                <w:sz w:val="1"/>
                <w:szCs w:val="1"/>
                <w:color w:val="auto"/>
              </w:rPr>
            </w:pPr>
          </w:p>
        </w:tc>
      </w:tr>
      <w:tr>
        <w:trPr>
          <w:trHeight w:val="320"/>
        </w:trPr>
        <w:tc>
          <w:tcPr>
            <w:tcW w:w="360" w:type="dxa"/>
            <w:vAlign w:val="bottom"/>
          </w:tcPr>
          <w:p>
            <w:pPr>
              <w:spacing w:after="0"/>
              <w:rPr>
                <w:sz w:val="24"/>
                <w:szCs w:val="24"/>
                <w:color w:val="auto"/>
              </w:rPr>
            </w:pPr>
          </w:p>
        </w:tc>
        <w:tc>
          <w:tcPr>
            <w:tcW w:w="6360" w:type="dxa"/>
            <w:vAlign w:val="bottom"/>
          </w:tcPr>
          <w:p>
            <w:pPr>
              <w:ind w:left="480"/>
              <w:spacing w:after="0"/>
              <w:rPr>
                <w:sz w:val="20"/>
                <w:szCs w:val="20"/>
                <w:color w:val="auto"/>
              </w:rPr>
            </w:pPr>
            <w:r>
              <w:rPr>
                <w:rFonts w:ascii="Arial" w:cs="Arial" w:eastAsia="Arial" w:hAnsi="Arial"/>
                <w:sz w:val="16"/>
                <w:szCs w:val="16"/>
                <w:color w:val="auto"/>
              </w:rPr>
              <w:t>Losses in onerous contracts and reversal of losses</w:t>
            </w:r>
          </w:p>
        </w:tc>
        <w:tc>
          <w:tcPr>
            <w:tcW w:w="1600" w:type="dxa"/>
            <w:vAlign w:val="bottom"/>
            <w:gridSpan w:val="4"/>
          </w:tcPr>
          <w:p>
            <w:pPr>
              <w:jc w:val="right"/>
              <w:ind w:right="120"/>
              <w:spacing w:after="0"/>
              <w:rPr>
                <w:sz w:val="20"/>
                <w:szCs w:val="20"/>
                <w:color w:val="auto"/>
              </w:rPr>
            </w:pPr>
            <w:r>
              <w:rPr>
                <w:rFonts w:ascii="Arial" w:cs="Arial" w:eastAsia="Arial" w:hAnsi="Arial"/>
                <w:sz w:val="16"/>
                <w:szCs w:val="16"/>
                <w:color w:val="auto"/>
              </w:rPr>
              <w:t>(15,801)</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(17,181)</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(92,530)</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360" w:type="dxa"/>
            <w:vAlign w:val="bottom"/>
          </w:tcPr>
          <w:p>
            <w:pPr>
              <w:ind w:left="480"/>
              <w:spacing w:after="0"/>
              <w:rPr>
                <w:sz w:val="20"/>
                <w:szCs w:val="20"/>
                <w:color w:val="auto"/>
              </w:rPr>
            </w:pPr>
            <w:r>
              <w:rPr>
                <w:rFonts w:ascii="Arial" w:cs="Arial" w:eastAsia="Arial" w:hAnsi="Arial"/>
                <w:sz w:val="16"/>
                <w:szCs w:val="16"/>
                <w:color w:val="auto"/>
              </w:rPr>
              <w:t>Others</w:t>
            </w:r>
          </w:p>
        </w:tc>
        <w:tc>
          <w:tcPr>
            <w:tcW w:w="1600" w:type="dxa"/>
            <w:vAlign w:val="bottom"/>
            <w:gridSpan w:val="4"/>
          </w:tcPr>
          <w:p>
            <w:pPr>
              <w:jc w:val="right"/>
              <w:ind w:right="120"/>
              <w:spacing w:after="0"/>
              <w:rPr>
                <w:sz w:val="20"/>
                <w:szCs w:val="20"/>
                <w:color w:val="auto"/>
              </w:rPr>
            </w:pPr>
            <w:r>
              <w:rPr>
                <w:rFonts w:ascii="Arial" w:cs="Arial" w:eastAsia="Arial" w:hAnsi="Arial"/>
                <w:sz w:val="16"/>
                <w:szCs w:val="16"/>
                <w:color w:val="auto"/>
              </w:rPr>
              <w:t>(7,128)</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(3,134)</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(15,741)</w:t>
            </w: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6360" w:type="dxa"/>
            <w:vAlign w:val="bottom"/>
          </w:tcPr>
          <w:p>
            <w:pPr>
              <w:ind w:left="480"/>
              <w:spacing w:after="0" w:line="167" w:lineRule="exact"/>
              <w:rPr>
                <w:sz w:val="20"/>
                <w:szCs w:val="20"/>
                <w:color w:val="auto"/>
              </w:rPr>
            </w:pPr>
            <w:r>
              <w:rPr>
                <w:rFonts w:ascii="Arial" w:cs="Arial" w:eastAsia="Arial" w:hAnsi="Arial"/>
                <w:sz w:val="16"/>
                <w:szCs w:val="16"/>
                <w:color w:val="auto"/>
              </w:rPr>
              <w:t>Insurance service expenses</w:t>
            </w:r>
          </w:p>
        </w:tc>
        <w:tc>
          <w:tcPr>
            <w:tcW w:w="380" w:type="dxa"/>
            <w:vAlign w:val="bottom"/>
          </w:tcPr>
          <w:p>
            <w:pPr>
              <w:spacing w:after="0"/>
              <w:rPr>
                <w:sz w:val="14"/>
                <w:szCs w:val="14"/>
                <w:color w:val="auto"/>
              </w:rPr>
            </w:pPr>
          </w:p>
        </w:tc>
        <w:tc>
          <w:tcPr>
            <w:tcW w:w="10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(2,085,777)</w:t>
            </w:r>
          </w:p>
        </w:tc>
        <w:tc>
          <w:tcPr>
            <w:tcW w:w="180" w:type="dxa"/>
            <w:vAlign w:val="bottom"/>
            <w:gridSpan w:val="2"/>
          </w:tcPr>
          <w:p>
            <w:pPr>
              <w:spacing w:after="0"/>
              <w:rPr>
                <w:sz w:val="14"/>
                <w:szCs w:val="14"/>
                <w:color w:val="auto"/>
              </w:rPr>
            </w:pPr>
          </w:p>
        </w:tc>
        <w:tc>
          <w:tcPr>
            <w:tcW w:w="10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(2,252,987)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6"/>
                <w:szCs w:val="16"/>
                <w:color w:val="auto"/>
              </w:rPr>
              <w:t>(2,230,923)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636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Insurance service result</w:t>
            </w:r>
          </w:p>
        </w:tc>
        <w:tc>
          <w:tcPr>
            <w:tcW w:w="380" w:type="dxa"/>
            <w:vAlign w:val="bottom"/>
            <w:vMerge w:val="restart"/>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vMerge w:val="restart"/>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2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1,693,617</w:t>
            </w:r>
          </w:p>
        </w:tc>
        <w:tc>
          <w:tcPr>
            <w:tcW w:w="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1,602,421</w:t>
            </w:r>
          </w:p>
        </w:tc>
        <w:tc>
          <w:tcPr>
            <w:tcW w:w="1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1,302,347</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42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02"/>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24"/>
                <w:szCs w:val="24"/>
                <w:color w:val="auto"/>
              </w:rPr>
            </w:pPr>
          </w:p>
        </w:tc>
        <w:tc>
          <w:tcPr>
            <w:tcW w:w="1140" w:type="dxa"/>
            <w:vAlign w:val="bottom"/>
            <w:gridSpan w:val="2"/>
          </w:tcPr>
          <w:p>
            <w:pPr>
              <w:jc w:val="right"/>
              <w:ind w:right="64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Borders>
              <w:top w:val="single" w:sz="8" w:color="auto"/>
            </w:tcBorders>
          </w:tcPr>
          <w:p>
            <w:pPr>
              <w:jc w:val="right"/>
              <w:ind w:right="362"/>
              <w:spacing w:after="0" w:line="152" w:lineRule="exact"/>
              <w:rPr>
                <w:sz w:val="20"/>
                <w:szCs w:val="20"/>
                <w:color w:val="auto"/>
              </w:rPr>
            </w:pPr>
            <w:r>
              <w:rPr>
                <w:rFonts w:ascii="Arial" w:cs="Arial" w:eastAsia="Arial" w:hAnsi="Arial"/>
                <w:sz w:val="16"/>
                <w:szCs w:val="16"/>
                <w:b w:val="1"/>
                <w:bCs w:val="1"/>
                <w:color w:val="auto"/>
              </w:rPr>
              <w:t>S/(000)</w:t>
            </w:r>
          </w:p>
        </w:tc>
        <w:tc>
          <w:tcPr>
            <w:tcW w:w="180" w:type="dxa"/>
            <w:vAlign w:val="bottom"/>
            <w:gridSpan w:val="2"/>
          </w:tcPr>
          <w:p>
            <w:pPr>
              <w:spacing w:after="0"/>
              <w:rPr>
                <w:sz w:val="13"/>
                <w:szCs w:val="13"/>
                <w:color w:val="auto"/>
              </w:rPr>
            </w:pPr>
          </w:p>
        </w:tc>
        <w:tc>
          <w:tcPr>
            <w:tcW w:w="1040" w:type="dxa"/>
            <w:vAlign w:val="bottom"/>
            <w:tcBorders>
              <w:top w:val="single" w:sz="8" w:color="auto"/>
            </w:tcBorders>
          </w:tcPr>
          <w:p>
            <w:pPr>
              <w:jc w:val="right"/>
              <w:ind w:right="362"/>
              <w:spacing w:after="0" w:line="152"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ind w:right="382"/>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6360" w:type="dxa"/>
            <w:vAlign w:val="bottom"/>
          </w:tcPr>
          <w:p>
            <w:pPr>
              <w:ind w:left="480"/>
              <w:spacing w:after="0"/>
              <w:rPr>
                <w:sz w:val="20"/>
                <w:szCs w:val="20"/>
                <w:color w:val="auto"/>
              </w:rPr>
            </w:pPr>
            <w:r>
              <w:rPr>
                <w:rFonts w:ascii="Arial" w:cs="Arial" w:eastAsia="Arial" w:hAnsi="Arial"/>
                <w:sz w:val="16"/>
                <w:szCs w:val="16"/>
                <w:color w:val="auto"/>
              </w:rPr>
              <w:t>Income from reinsurance recoveries</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179,617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448,491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317,110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360" w:type="dxa"/>
            <w:vAlign w:val="bottom"/>
          </w:tcPr>
          <w:p>
            <w:pPr>
              <w:spacing w:after="0"/>
              <w:rPr>
                <w:sz w:val="24"/>
                <w:szCs w:val="24"/>
                <w:color w:val="auto"/>
              </w:rPr>
            </w:pPr>
          </w:p>
        </w:tc>
        <w:tc>
          <w:tcPr>
            <w:tcW w:w="6360" w:type="dxa"/>
            <w:vAlign w:val="bottom"/>
          </w:tcPr>
          <w:p>
            <w:pPr>
              <w:ind w:left="480"/>
              <w:spacing w:after="0"/>
              <w:rPr>
                <w:sz w:val="20"/>
                <w:szCs w:val="20"/>
                <w:color w:val="auto"/>
              </w:rPr>
            </w:pPr>
            <w:r>
              <w:rPr>
                <w:rFonts w:ascii="Arial" w:cs="Arial" w:eastAsia="Arial" w:hAnsi="Arial"/>
                <w:sz w:val="16"/>
                <w:szCs w:val="16"/>
                <w:color w:val="auto"/>
              </w:rPr>
              <w:t>Premiums allocated to the current period</w:t>
            </w:r>
          </w:p>
        </w:tc>
        <w:tc>
          <w:tcPr>
            <w:tcW w:w="1600" w:type="dxa"/>
            <w:vAlign w:val="bottom"/>
            <w:gridSpan w:val="4"/>
          </w:tcPr>
          <w:p>
            <w:pPr>
              <w:jc w:val="right"/>
              <w:ind w:right="120"/>
              <w:spacing w:after="0"/>
              <w:rPr>
                <w:sz w:val="20"/>
                <w:szCs w:val="20"/>
                <w:color w:val="auto"/>
              </w:rPr>
            </w:pPr>
            <w:r>
              <w:rPr>
                <w:rFonts w:ascii="Arial" w:cs="Arial" w:eastAsia="Arial" w:hAnsi="Arial"/>
                <w:sz w:val="16"/>
                <w:szCs w:val="16"/>
                <w:color w:val="auto"/>
              </w:rPr>
              <w:t>(674,214)</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(839,812)</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(778,009)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60" w:type="dxa"/>
            <w:vAlign w:val="bottom"/>
          </w:tcPr>
          <w:p>
            <w:pPr>
              <w:ind w:left="480"/>
              <w:spacing w:after="0"/>
              <w:rPr>
                <w:sz w:val="20"/>
                <w:szCs w:val="20"/>
                <w:color w:val="auto"/>
              </w:rPr>
            </w:pPr>
            <w:r>
              <w:rPr>
                <w:rFonts w:ascii="Arial" w:cs="Arial" w:eastAsia="Arial" w:hAnsi="Arial"/>
                <w:sz w:val="16"/>
                <w:szCs w:val="16"/>
                <w:color w:val="auto"/>
              </w:rPr>
              <w:t>Expenses for assigning the premiums paid to the reinsurer</w:t>
            </w:r>
          </w:p>
        </w:tc>
        <w:tc>
          <w:tcPr>
            <w:tcW w:w="3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(674,214)</w:t>
            </w:r>
          </w:p>
        </w:tc>
        <w:tc>
          <w:tcPr>
            <w:tcW w:w="180" w:type="dxa"/>
            <w:vAlign w:val="bottom"/>
            <w:gridSpan w:val="2"/>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(839,812)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(778,009)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636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Reinsurance result</w:t>
            </w:r>
          </w:p>
        </w:tc>
        <w:tc>
          <w:tcPr>
            <w:tcW w:w="380" w:type="dxa"/>
            <w:vAlign w:val="bottom"/>
            <w:vMerge w:val="restart"/>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80" w:type="dxa"/>
            <w:vAlign w:val="bottom"/>
            <w:gridSpan w:val="2"/>
            <w:vMerge w:val="restart"/>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(494,597)</w:t>
            </w:r>
          </w:p>
        </w:tc>
        <w:tc>
          <w:tcPr>
            <w:tcW w:w="180" w:type="dxa"/>
            <w:vAlign w:val="bottom"/>
            <w:gridSpan w:val="2"/>
            <w:vMerge w:val="continue"/>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(391,321)</w:t>
            </w:r>
          </w:p>
        </w:tc>
        <w:tc>
          <w:tcPr>
            <w:tcW w:w="1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(460,899)</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6360" w:type="dxa"/>
            <w:vAlign w:val="bottom"/>
          </w:tcPr>
          <w:p>
            <w:pPr>
              <w:ind w:left="200"/>
              <w:spacing w:after="0"/>
              <w:rPr>
                <w:sz w:val="20"/>
                <w:szCs w:val="20"/>
                <w:color w:val="auto"/>
              </w:rPr>
            </w:pPr>
            <w:r>
              <w:rPr>
                <w:rFonts w:ascii="Arial" w:cs="Arial" w:eastAsia="Arial" w:hAnsi="Arial"/>
                <w:sz w:val="16"/>
                <w:szCs w:val="16"/>
                <w:color w:val="auto"/>
              </w:rPr>
              <w:t>b)  The result of contracts measured under BBA and VFA is detailed below:</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42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602"/>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24"/>
                <w:szCs w:val="24"/>
                <w:color w:val="auto"/>
              </w:rPr>
            </w:pPr>
          </w:p>
        </w:tc>
        <w:tc>
          <w:tcPr>
            <w:tcW w:w="1140" w:type="dxa"/>
            <w:vAlign w:val="bottom"/>
            <w:gridSpan w:val="2"/>
          </w:tcPr>
          <w:p>
            <w:pPr>
              <w:jc w:val="right"/>
              <w:ind w:right="642"/>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6360" w:type="dxa"/>
            <w:vAlign w:val="bottom"/>
            <w:vMerge w:val="restart"/>
          </w:tcPr>
          <w:p>
            <w:pPr>
              <w:ind w:left="480"/>
              <w:spacing w:after="0"/>
              <w:rPr>
                <w:sz w:val="20"/>
                <w:szCs w:val="20"/>
                <w:color w:val="auto"/>
              </w:rPr>
            </w:pPr>
            <w:r>
              <w:rPr>
                <w:rFonts w:ascii="Arial" w:cs="Arial" w:eastAsia="Arial" w:hAnsi="Arial"/>
                <w:sz w:val="16"/>
                <w:szCs w:val="16"/>
                <w:color w:val="auto"/>
              </w:rPr>
              <w:t>Amounts related to changes in liabilities for the remaining coverage:</w:t>
            </w:r>
          </w:p>
        </w:tc>
        <w:tc>
          <w:tcPr>
            <w:tcW w:w="380" w:type="dxa"/>
            <w:vAlign w:val="bottom"/>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180" w:type="dxa"/>
            <w:vAlign w:val="bottom"/>
            <w:gridSpan w:val="2"/>
          </w:tcPr>
          <w:p>
            <w:pPr>
              <w:spacing w:after="0"/>
              <w:rPr>
                <w:sz w:val="17"/>
                <w:szCs w:val="17"/>
                <w:color w:val="auto"/>
              </w:rPr>
            </w:pPr>
          </w:p>
        </w:tc>
        <w:tc>
          <w:tcPr>
            <w:tcW w:w="104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360" w:type="dxa"/>
            <w:vAlign w:val="bottom"/>
          </w:tcPr>
          <w:p>
            <w:pPr>
              <w:ind w:left="600"/>
              <w:spacing w:after="0" w:line="175" w:lineRule="exact"/>
              <w:rPr>
                <w:sz w:val="20"/>
                <w:szCs w:val="20"/>
                <w:color w:val="auto"/>
              </w:rPr>
            </w:pPr>
            <w:r>
              <w:rPr>
                <w:rFonts w:ascii="Arial" w:cs="Arial" w:eastAsia="Arial" w:hAnsi="Arial"/>
                <w:sz w:val="16"/>
                <w:szCs w:val="16"/>
                <w:color w:val="auto"/>
              </w:rPr>
              <w:t>CSM recognized for services provided</w:t>
            </w:r>
          </w:p>
        </w:tc>
        <w:tc>
          <w:tcPr>
            <w:tcW w:w="14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125,610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128,639</w:t>
            </w:r>
          </w:p>
        </w:tc>
        <w:tc>
          <w:tcPr>
            <w:tcW w:w="12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131,588</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360" w:type="dxa"/>
            <w:vAlign w:val="bottom"/>
          </w:tcPr>
          <w:p>
            <w:pPr>
              <w:ind w:left="600"/>
              <w:spacing w:after="0" w:line="175" w:lineRule="exact"/>
              <w:rPr>
                <w:sz w:val="20"/>
                <w:szCs w:val="20"/>
                <w:color w:val="auto"/>
              </w:rPr>
            </w:pPr>
            <w:r>
              <w:rPr>
                <w:rFonts w:ascii="Arial" w:cs="Arial" w:eastAsia="Arial" w:hAnsi="Arial"/>
                <w:sz w:val="16"/>
                <w:szCs w:val="16"/>
                <w:color w:val="auto"/>
              </w:rPr>
              <w:t>Change in risk adjustment for non-financial risk</w:t>
            </w:r>
          </w:p>
        </w:tc>
        <w:tc>
          <w:tcPr>
            <w:tcW w:w="14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9,907</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12,357</w:t>
            </w:r>
          </w:p>
        </w:tc>
        <w:tc>
          <w:tcPr>
            <w:tcW w:w="12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15,982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360" w:type="dxa"/>
            <w:vAlign w:val="bottom"/>
          </w:tcPr>
          <w:p>
            <w:pPr>
              <w:ind w:left="480"/>
              <w:spacing w:after="0" w:line="175" w:lineRule="exact"/>
              <w:rPr>
                <w:sz w:val="20"/>
                <w:szCs w:val="20"/>
                <w:color w:val="auto"/>
              </w:rPr>
            </w:pPr>
            <w:r>
              <w:rPr>
                <w:rFonts w:ascii="Arial" w:cs="Arial" w:eastAsia="Arial" w:hAnsi="Arial"/>
                <w:sz w:val="16"/>
                <w:szCs w:val="16"/>
                <w:color w:val="auto"/>
              </w:rPr>
              <w:t>Expenses for insurance services and expected claims occurred</w:t>
            </w:r>
          </w:p>
        </w:tc>
        <w:tc>
          <w:tcPr>
            <w:tcW w:w="144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61,933</w:t>
            </w: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81,995</w:t>
            </w:r>
          </w:p>
        </w:tc>
        <w:tc>
          <w:tcPr>
            <w:tcW w:w="12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65,329</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360" w:type="dxa"/>
            <w:vAlign w:val="bottom"/>
          </w:tcPr>
          <w:p>
            <w:pPr>
              <w:ind w:left="480"/>
              <w:spacing w:after="0"/>
              <w:rPr>
                <w:sz w:val="20"/>
                <w:szCs w:val="20"/>
                <w:color w:val="auto"/>
              </w:rPr>
            </w:pPr>
            <w:r>
              <w:rPr>
                <w:rFonts w:ascii="Arial" w:cs="Arial" w:eastAsia="Arial" w:hAnsi="Arial"/>
                <w:sz w:val="16"/>
                <w:szCs w:val="16"/>
                <w:color w:val="auto"/>
              </w:rPr>
              <w:t>Cash recovery for the purchase of insurance</w:t>
            </w: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7,128</w:t>
            </w:r>
          </w:p>
        </w:tc>
        <w:tc>
          <w:tcPr>
            <w:tcW w:w="1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3,134</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6360" w:type="dxa"/>
            <w:vAlign w:val="bottom"/>
          </w:tcPr>
          <w:p>
            <w:pPr>
              <w:ind w:left="480"/>
              <w:spacing w:after="0" w:line="167" w:lineRule="exact"/>
              <w:rPr>
                <w:sz w:val="20"/>
                <w:szCs w:val="20"/>
                <w:color w:val="auto"/>
              </w:rPr>
            </w:pPr>
            <w:r>
              <w:rPr>
                <w:rFonts w:ascii="Arial" w:cs="Arial" w:eastAsia="Arial" w:hAnsi="Arial"/>
                <w:sz w:val="16"/>
                <w:szCs w:val="16"/>
                <w:b w:val="1"/>
                <w:bCs w:val="1"/>
                <w:color w:val="auto"/>
              </w:rPr>
              <w:t>Contracts measured under BBA and VFA</w:t>
            </w:r>
          </w:p>
        </w:tc>
        <w:tc>
          <w:tcPr>
            <w:tcW w:w="3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204,578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226,125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211,323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Building Block Approach (BBA)</w:t>
      </w:r>
    </w:p>
    <w:p>
      <w:pPr>
        <w:spacing w:after="0" w:line="313"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0"/>
          </w:cols>
          <w:pgMar w:left="320" w:top="124" w:right="899" w:bottom="1440" w:gutter="0" w:footer="0" w:header="0"/>
        </w:sectPr>
      </w:pPr>
    </w:p>
    <w:bookmarkStart w:id="111" w:name="page112"/>
    <w:bookmarkEnd w:id="111"/>
    <w:p>
      <w:pPr>
        <w:ind w:left="560"/>
        <w:spacing w:after="0"/>
        <w:tabs>
          <w:tab w:leader="none" w:pos="8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The impact of the new business for onerous and non-onerous contracts is detailed below:</w:t>
      </w:r>
    </w:p>
    <w:p>
      <w:pPr>
        <w:spacing w:after="0" w:line="165"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5080</wp:posOffset>
            </wp:positionV>
            <wp:extent cx="223774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37740" cy="7620"/>
                    </a:xfrm>
                    <a:prstGeom prst="rect">
                      <a:avLst/>
                    </a:prstGeom>
                    <a:noFill/>
                  </pic:spPr>
                </pic:pic>
              </a:graphicData>
            </a:graphic>
          </wp:anchor>
        </w:drawing>
      </w:r>
    </w:p>
    <w:p>
      <w:pPr>
        <w:ind w:left="7100"/>
        <w:spacing w:after="0"/>
        <w:tabs>
          <w:tab w:leader="none" w:pos="8300" w:val="left"/>
        </w:tabs>
        <w:rPr>
          <w:sz w:val="20"/>
          <w:szCs w:val="20"/>
          <w:color w:val="auto"/>
        </w:rPr>
      </w:pPr>
      <w:r>
        <w:rPr>
          <w:rFonts w:ascii="Arial" w:cs="Arial" w:eastAsia="Arial" w:hAnsi="Arial"/>
          <w:sz w:val="16"/>
          <w:szCs w:val="16"/>
          <w:b w:val="1"/>
          <w:bCs w:val="1"/>
          <w:color w:val="auto"/>
        </w:rPr>
        <w:t>Onerous</w:t>
      </w:r>
      <w:r>
        <w:rPr>
          <w:sz w:val="20"/>
          <w:szCs w:val="20"/>
          <w:color w:val="auto"/>
        </w:rPr>
        <w:tab/>
      </w:r>
      <w:r>
        <w:rPr>
          <w:rFonts w:ascii="Arial" w:cs="Arial" w:eastAsia="Arial" w:hAnsi="Arial"/>
          <w:sz w:val="16"/>
          <w:szCs w:val="16"/>
          <w:b w:val="1"/>
          <w:bCs w:val="1"/>
          <w:color w:val="auto"/>
        </w:rPr>
        <w:t>Non-onerous</w:t>
      </w:r>
    </w:p>
    <w:p>
      <w:pPr>
        <w:ind w:left="7100"/>
        <w:spacing w:after="0"/>
        <w:tabs>
          <w:tab w:leader="none" w:pos="8300" w:val="left"/>
          <w:tab w:leader="none" w:pos="9540" w:val="left"/>
        </w:tabs>
        <w:rPr>
          <w:sz w:val="20"/>
          <w:szCs w:val="20"/>
          <w:color w:val="auto"/>
        </w:rPr>
      </w:pPr>
      <w:r>
        <w:rPr>
          <w:rFonts w:ascii="Arial" w:cs="Arial" w:eastAsia="Arial" w:hAnsi="Arial"/>
          <w:sz w:val="16"/>
          <w:szCs w:val="16"/>
          <w:b w:val="1"/>
          <w:bCs w:val="1"/>
          <w:color w:val="auto"/>
        </w:rPr>
        <w:t>contracts</w:t>
      </w:r>
      <w:r>
        <w:rPr>
          <w:sz w:val="20"/>
          <w:szCs w:val="20"/>
          <w:color w:val="auto"/>
        </w:rPr>
        <w:tab/>
      </w:r>
      <w:r>
        <w:rPr>
          <w:rFonts w:ascii="Arial" w:cs="Arial" w:eastAsia="Arial" w:hAnsi="Arial"/>
          <w:sz w:val="16"/>
          <w:szCs w:val="16"/>
          <w:b w:val="1"/>
          <w:bCs w:val="1"/>
          <w:color w:val="auto"/>
        </w:rPr>
        <w:t>contracts</w:t>
      </w:r>
      <w:r>
        <w:rPr>
          <w:sz w:val="20"/>
          <w:szCs w:val="20"/>
          <w:color w:val="auto"/>
        </w:rPr>
        <w:tab/>
      </w:r>
      <w:r>
        <w:rPr>
          <w:rFonts w:ascii="Arial" w:cs="Arial" w:eastAsia="Arial" w:hAnsi="Arial"/>
          <w:sz w:val="14"/>
          <w:szCs w:val="14"/>
          <w:b w:val="1"/>
          <w:bCs w:val="1"/>
          <w:color w:val="auto"/>
        </w:rPr>
        <w:t>Total</w:t>
      </w:r>
    </w:p>
    <w:tbl>
      <w:tblPr>
        <w:tblLayout w:type="fixed"/>
        <w:tblInd w:w="0" w:type="dxa"/>
        <w:tblCellMar>
          <w:top w:w="0" w:type="dxa"/>
          <w:left w:w="0" w:type="dxa"/>
          <w:bottom w:w="0" w:type="dxa"/>
          <w:right w:w="0" w:type="dxa"/>
        </w:tblCellMar>
      </w:tblPr>
      <w:tr>
        <w:trPr>
          <w:trHeight w:val="215"/>
        </w:trPr>
        <w:tc>
          <w:tcPr>
            <w:tcW w:w="5360" w:type="dxa"/>
            <w:vAlign w:val="bottom"/>
            <w:vMerge w:val="restart"/>
          </w:tcPr>
          <w:p>
            <w:pPr>
              <w:ind w:left="840"/>
              <w:spacing w:after="0"/>
              <w:rPr>
                <w:sz w:val="20"/>
                <w:szCs w:val="20"/>
                <w:color w:val="auto"/>
              </w:rPr>
            </w:pPr>
            <w:r>
              <w:rPr>
                <w:rFonts w:ascii="Arial" w:cs="Arial" w:eastAsia="Arial" w:hAnsi="Arial"/>
                <w:sz w:val="16"/>
                <w:szCs w:val="16"/>
                <w:color w:val="auto"/>
              </w:rPr>
              <w:t>Estimates of the present value of future outflows: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8"/>
                <w:szCs w:val="18"/>
                <w:color w:val="auto"/>
              </w:rPr>
            </w:pPr>
          </w:p>
        </w:tc>
        <w:tc>
          <w:tcPr>
            <w:tcW w:w="1040" w:type="dxa"/>
            <w:vAlign w:val="bottom"/>
            <w:tcBorders>
              <w:top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95"/>
              </w:rPr>
              <w:t>S/(000)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53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960"/>
              <w:spacing w:after="0" w:line="175" w:lineRule="exact"/>
              <w:rPr>
                <w:sz w:val="20"/>
                <w:szCs w:val="20"/>
                <w:color w:val="auto"/>
              </w:rPr>
            </w:pPr>
            <w:r>
              <w:rPr>
                <w:rFonts w:ascii="Arial" w:cs="Arial" w:eastAsia="Arial" w:hAnsi="Arial"/>
                <w:sz w:val="16"/>
                <w:szCs w:val="16"/>
                <w:color w:val="auto"/>
              </w:rPr>
              <w:t>Insurance Acquisition Cash Flows</w:t>
            </w:r>
          </w:p>
        </w:tc>
        <w:tc>
          <w:tcPr>
            <w:tcW w:w="2960" w:type="dxa"/>
            <w:vAlign w:val="bottom"/>
            <w:gridSpan w:val="4"/>
          </w:tcPr>
          <w:p>
            <w:pPr>
              <w:jc w:val="right"/>
              <w:ind w:right="180"/>
              <w:spacing w:after="0" w:line="175" w:lineRule="exact"/>
              <w:rPr>
                <w:sz w:val="20"/>
                <w:szCs w:val="20"/>
                <w:color w:val="auto"/>
              </w:rPr>
            </w:pPr>
            <w:r>
              <w:rPr>
                <w:rFonts w:ascii="Arial" w:cs="Arial" w:eastAsia="Arial" w:hAnsi="Arial"/>
                <w:sz w:val="16"/>
                <w:szCs w:val="16"/>
                <w:color w:val="auto"/>
              </w:rPr>
              <w:t>27,948</w:t>
            </w: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128,252</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156,200</w:t>
            </w:r>
          </w:p>
        </w:tc>
        <w:tc>
          <w:tcPr>
            <w:tcW w:w="0" w:type="dxa"/>
            <w:vAlign w:val="bottom"/>
          </w:tcPr>
          <w:p>
            <w:pPr>
              <w:spacing w:after="0"/>
              <w:rPr>
                <w:sz w:val="1"/>
                <w:szCs w:val="1"/>
                <w:color w:val="auto"/>
              </w:rPr>
            </w:pPr>
          </w:p>
        </w:tc>
      </w:tr>
      <w:tr>
        <w:trPr>
          <w:trHeight w:val="175"/>
        </w:trPr>
        <w:tc>
          <w:tcPr>
            <w:tcW w:w="5360" w:type="dxa"/>
            <w:vAlign w:val="bottom"/>
          </w:tcPr>
          <w:p>
            <w:pPr>
              <w:ind w:left="960"/>
              <w:spacing w:after="0" w:line="175" w:lineRule="exact"/>
              <w:rPr>
                <w:sz w:val="20"/>
                <w:szCs w:val="20"/>
                <w:color w:val="auto"/>
              </w:rPr>
            </w:pPr>
            <w:r>
              <w:rPr>
                <w:rFonts w:ascii="Arial" w:cs="Arial" w:eastAsia="Arial" w:hAnsi="Arial"/>
                <w:sz w:val="16"/>
                <w:szCs w:val="16"/>
                <w:color w:val="auto"/>
              </w:rPr>
              <w:t>Claims and other directly attributable expenses</w:t>
            </w:r>
          </w:p>
        </w:tc>
        <w:tc>
          <w:tcPr>
            <w:tcW w:w="278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445,384</w:t>
            </w:r>
          </w:p>
        </w:tc>
        <w:tc>
          <w:tcPr>
            <w:tcW w:w="18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886,382</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1,331,766</w:t>
            </w:r>
          </w:p>
        </w:tc>
        <w:tc>
          <w:tcPr>
            <w:tcW w:w="0" w:type="dxa"/>
            <w:vAlign w:val="bottom"/>
          </w:tcPr>
          <w:p>
            <w:pPr>
              <w:spacing w:after="0"/>
              <w:rPr>
                <w:sz w:val="1"/>
                <w:szCs w:val="1"/>
                <w:color w:val="auto"/>
              </w:rPr>
            </w:pPr>
          </w:p>
        </w:tc>
      </w:tr>
      <w:tr>
        <w:trPr>
          <w:trHeight w:val="175"/>
        </w:trPr>
        <w:tc>
          <w:tcPr>
            <w:tcW w:w="5360" w:type="dxa"/>
            <w:vAlign w:val="bottom"/>
          </w:tcPr>
          <w:p>
            <w:pPr>
              <w:ind w:left="840"/>
              <w:spacing w:after="0" w:line="175" w:lineRule="exact"/>
              <w:rPr>
                <w:sz w:val="20"/>
                <w:szCs w:val="20"/>
                <w:color w:val="auto"/>
              </w:rPr>
            </w:pPr>
            <w:r>
              <w:rPr>
                <w:rFonts w:ascii="Arial" w:cs="Arial" w:eastAsia="Arial" w:hAnsi="Arial"/>
                <w:sz w:val="16"/>
                <w:szCs w:val="16"/>
                <w:color w:val="auto"/>
              </w:rPr>
              <w:t>Estimates of the present value of future inflows</w:t>
            </w:r>
          </w:p>
        </w:tc>
        <w:tc>
          <w:tcPr>
            <w:tcW w:w="2960" w:type="dxa"/>
            <w:vAlign w:val="bottom"/>
            <w:gridSpan w:val="4"/>
          </w:tcPr>
          <w:p>
            <w:pPr>
              <w:jc w:val="right"/>
              <w:ind w:right="120"/>
              <w:spacing w:after="0" w:line="175" w:lineRule="exact"/>
              <w:rPr>
                <w:sz w:val="20"/>
                <w:szCs w:val="20"/>
                <w:color w:val="auto"/>
              </w:rPr>
            </w:pPr>
            <w:r>
              <w:rPr>
                <w:rFonts w:ascii="Arial" w:cs="Arial" w:eastAsia="Arial" w:hAnsi="Arial"/>
                <w:sz w:val="16"/>
                <w:szCs w:val="16"/>
                <w:color w:val="auto"/>
              </w:rPr>
              <w:t>(446,274)</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(1,143,887)</w:t>
            </w:r>
          </w:p>
        </w:tc>
        <w:tc>
          <w:tcPr>
            <w:tcW w:w="1780" w:type="dxa"/>
            <w:vAlign w:val="bottom"/>
            <w:gridSpan w:val="3"/>
          </w:tcPr>
          <w:p>
            <w:pPr>
              <w:jc w:val="right"/>
              <w:ind w:right="580"/>
              <w:spacing w:after="0" w:line="175" w:lineRule="exact"/>
              <w:rPr>
                <w:sz w:val="20"/>
                <w:szCs w:val="20"/>
                <w:color w:val="auto"/>
              </w:rPr>
            </w:pPr>
            <w:r>
              <w:rPr>
                <w:rFonts w:ascii="Arial" w:cs="Arial" w:eastAsia="Arial" w:hAnsi="Arial"/>
                <w:sz w:val="16"/>
                <w:szCs w:val="16"/>
                <w:color w:val="auto"/>
              </w:rPr>
              <w:t>(1,590,161)</w:t>
            </w:r>
          </w:p>
        </w:tc>
        <w:tc>
          <w:tcPr>
            <w:tcW w:w="0" w:type="dxa"/>
            <w:vAlign w:val="bottom"/>
          </w:tcPr>
          <w:p>
            <w:pPr>
              <w:spacing w:after="0"/>
              <w:rPr>
                <w:sz w:val="1"/>
                <w:szCs w:val="1"/>
                <w:color w:val="auto"/>
              </w:rPr>
            </w:pPr>
          </w:p>
        </w:tc>
      </w:tr>
      <w:tr>
        <w:trPr>
          <w:trHeight w:val="175"/>
        </w:trPr>
        <w:tc>
          <w:tcPr>
            <w:tcW w:w="5360" w:type="dxa"/>
            <w:vAlign w:val="bottom"/>
          </w:tcPr>
          <w:p>
            <w:pPr>
              <w:ind w:left="840"/>
              <w:spacing w:after="0" w:line="175" w:lineRule="exact"/>
              <w:rPr>
                <w:sz w:val="20"/>
                <w:szCs w:val="20"/>
                <w:color w:val="auto"/>
              </w:rPr>
            </w:pPr>
            <w:r>
              <w:rPr>
                <w:rFonts w:ascii="Arial" w:cs="Arial" w:eastAsia="Arial" w:hAnsi="Arial"/>
                <w:sz w:val="16"/>
                <w:szCs w:val="16"/>
                <w:color w:val="auto"/>
              </w:rPr>
              <w:t>Risk adjustment for non-financial risk</w:t>
            </w:r>
          </w:p>
        </w:tc>
        <w:tc>
          <w:tcPr>
            <w:tcW w:w="2960" w:type="dxa"/>
            <w:vAlign w:val="bottom"/>
            <w:gridSpan w:val="4"/>
          </w:tcPr>
          <w:p>
            <w:pPr>
              <w:jc w:val="right"/>
              <w:ind w:right="180"/>
              <w:spacing w:after="0" w:line="175" w:lineRule="exact"/>
              <w:rPr>
                <w:sz w:val="20"/>
                <w:szCs w:val="20"/>
                <w:color w:val="auto"/>
              </w:rPr>
            </w:pPr>
            <w:r>
              <w:rPr>
                <w:rFonts w:ascii="Arial" w:cs="Arial" w:eastAsia="Arial" w:hAnsi="Arial"/>
                <w:sz w:val="16"/>
                <w:szCs w:val="16"/>
                <w:color w:val="auto"/>
              </w:rPr>
              <w:t>4,078</w:t>
            </w: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5,550</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9,628</w:t>
            </w:r>
          </w:p>
        </w:tc>
        <w:tc>
          <w:tcPr>
            <w:tcW w:w="0" w:type="dxa"/>
            <w:vAlign w:val="bottom"/>
          </w:tcPr>
          <w:p>
            <w:pPr>
              <w:spacing w:after="0"/>
              <w:rPr>
                <w:sz w:val="1"/>
                <w:szCs w:val="1"/>
                <w:color w:val="auto"/>
              </w:rPr>
            </w:pPr>
          </w:p>
        </w:tc>
      </w:tr>
      <w:tr>
        <w:trPr>
          <w:trHeight w:val="190"/>
        </w:trPr>
        <w:tc>
          <w:tcPr>
            <w:tcW w:w="5360" w:type="dxa"/>
            <w:vAlign w:val="bottom"/>
          </w:tcPr>
          <w:p>
            <w:pPr>
              <w:ind w:left="840"/>
              <w:spacing w:after="0"/>
              <w:rPr>
                <w:sz w:val="20"/>
                <w:szCs w:val="20"/>
                <w:color w:val="auto"/>
              </w:rPr>
            </w:pPr>
            <w:r>
              <w:rPr>
                <w:rFonts w:ascii="Arial" w:cs="Arial" w:eastAsia="Arial" w:hAnsi="Arial"/>
                <w:sz w:val="16"/>
                <w:szCs w:val="16"/>
                <w:color w:val="auto"/>
              </w:rPr>
              <w:t>CSM</w:t>
            </w: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123,703</w:t>
            </w: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123,703</w:t>
            </w:r>
          </w:p>
        </w:tc>
        <w:tc>
          <w:tcPr>
            <w:tcW w:w="0" w:type="dxa"/>
            <w:vAlign w:val="bottom"/>
          </w:tcPr>
          <w:p>
            <w:pPr>
              <w:spacing w:after="0"/>
              <w:rPr>
                <w:sz w:val="1"/>
                <w:szCs w:val="1"/>
                <w:color w:val="auto"/>
              </w:rPr>
            </w:pPr>
          </w:p>
        </w:tc>
      </w:tr>
      <w:tr>
        <w:trPr>
          <w:trHeight w:val="170"/>
        </w:trPr>
        <w:tc>
          <w:tcPr>
            <w:tcW w:w="5360" w:type="dxa"/>
            <w:vAlign w:val="bottom"/>
          </w:tcPr>
          <w:p>
            <w:pPr>
              <w:ind w:left="840"/>
              <w:spacing w:after="0" w:line="167" w:lineRule="exact"/>
              <w:rPr>
                <w:sz w:val="20"/>
                <w:szCs w:val="20"/>
                <w:color w:val="auto"/>
              </w:rPr>
            </w:pPr>
            <w:r>
              <w:rPr>
                <w:rFonts w:ascii="Arial" w:cs="Arial" w:eastAsia="Arial" w:hAnsi="Arial"/>
                <w:sz w:val="16"/>
                <w:szCs w:val="16"/>
                <w:b w:val="1"/>
                <w:bCs w:val="1"/>
                <w:color w:val="auto"/>
                <w:w w:val="99"/>
              </w:rPr>
              <w:t>Impact on provisions for contracts recognized in the period</w:t>
            </w: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31,136</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31,136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5360" w:type="dxa"/>
            <w:vAlign w:val="bottom"/>
          </w:tcPr>
          <w:p>
            <w:pPr>
              <w:spacing w:after="0"/>
              <w:rPr>
                <w:sz w:val="24"/>
                <w:szCs w:val="24"/>
                <w:color w:val="auto"/>
              </w:rPr>
            </w:pPr>
          </w:p>
        </w:tc>
        <w:tc>
          <w:tcPr>
            <w:tcW w:w="2780" w:type="dxa"/>
            <w:vAlign w:val="bottom"/>
            <w:gridSpan w:val="3"/>
          </w:tcPr>
          <w:p>
            <w:pPr>
              <w:ind w:left="1740"/>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2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6"/>
                <w:szCs w:val="16"/>
                <w:b w:val="1"/>
                <w:bCs w:val="1"/>
                <w:color w:val="auto"/>
              </w:rPr>
              <w:t>Onerous</w:t>
            </w:r>
          </w:p>
        </w:tc>
        <w:tc>
          <w:tcPr>
            <w:tcW w:w="1160" w:type="dxa"/>
            <w:vAlign w:val="bottom"/>
            <w:tcBorders>
              <w:top w:val="single" w:sz="8" w:color="auto"/>
            </w:tcBorders>
            <w:gridSpan w:val="2"/>
          </w:tcPr>
          <w:p>
            <w:pPr>
              <w:jc w:val="right"/>
              <w:ind w:right="180"/>
              <w:spacing w:after="0" w:line="150" w:lineRule="exact"/>
              <w:rPr>
                <w:sz w:val="20"/>
                <w:szCs w:val="20"/>
                <w:color w:val="auto"/>
              </w:rPr>
            </w:pPr>
            <w:r>
              <w:rPr>
                <w:rFonts w:ascii="Arial" w:cs="Arial" w:eastAsia="Arial" w:hAnsi="Arial"/>
                <w:sz w:val="16"/>
                <w:szCs w:val="16"/>
                <w:b w:val="1"/>
                <w:bCs w:val="1"/>
                <w:color w:val="auto"/>
                <w:w w:val="96"/>
              </w:rPr>
              <w:t>Non-onerous</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contracts</w:t>
            </w:r>
          </w:p>
        </w:tc>
        <w:tc>
          <w:tcPr>
            <w:tcW w:w="11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contracts</w:t>
            </w:r>
          </w:p>
        </w:tc>
        <w:tc>
          <w:tcPr>
            <w:tcW w:w="1780" w:type="dxa"/>
            <w:vAlign w:val="bottom"/>
            <w:gridSpan w:val="3"/>
          </w:tcPr>
          <w:p>
            <w:pPr>
              <w:jc w:val="right"/>
              <w:ind w:right="1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5360" w:type="dxa"/>
            <w:vAlign w:val="bottom"/>
            <w:vMerge w:val="restart"/>
          </w:tcPr>
          <w:p>
            <w:pPr>
              <w:ind w:left="840"/>
              <w:spacing w:after="0"/>
              <w:rPr>
                <w:sz w:val="20"/>
                <w:szCs w:val="20"/>
                <w:color w:val="auto"/>
              </w:rPr>
            </w:pPr>
            <w:r>
              <w:rPr>
                <w:rFonts w:ascii="Arial" w:cs="Arial" w:eastAsia="Arial" w:hAnsi="Arial"/>
                <w:sz w:val="16"/>
                <w:szCs w:val="16"/>
                <w:color w:val="auto"/>
              </w:rPr>
              <w:t>Estimates of the present value of future outflows:</w:t>
            </w: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95"/>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3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960"/>
              <w:spacing w:after="0" w:line="175" w:lineRule="exact"/>
              <w:rPr>
                <w:sz w:val="20"/>
                <w:szCs w:val="20"/>
                <w:color w:val="auto"/>
              </w:rPr>
            </w:pPr>
            <w:r>
              <w:rPr>
                <w:rFonts w:ascii="Arial" w:cs="Arial" w:eastAsia="Arial" w:hAnsi="Arial"/>
                <w:sz w:val="16"/>
                <w:szCs w:val="16"/>
                <w:color w:val="auto"/>
              </w:rPr>
              <w:t>Insurance Acquisition Cash Flows</w:t>
            </w:r>
          </w:p>
        </w:tc>
        <w:tc>
          <w:tcPr>
            <w:tcW w:w="2960" w:type="dxa"/>
            <w:vAlign w:val="bottom"/>
            <w:gridSpan w:val="4"/>
          </w:tcPr>
          <w:p>
            <w:pPr>
              <w:jc w:val="right"/>
              <w:ind w:right="180"/>
              <w:spacing w:after="0" w:line="175" w:lineRule="exact"/>
              <w:rPr>
                <w:sz w:val="20"/>
                <w:szCs w:val="20"/>
                <w:color w:val="auto"/>
              </w:rPr>
            </w:pPr>
            <w:r>
              <w:rPr>
                <w:rFonts w:ascii="Arial" w:cs="Arial" w:eastAsia="Arial" w:hAnsi="Arial"/>
                <w:sz w:val="16"/>
                <w:szCs w:val="16"/>
                <w:color w:val="auto"/>
              </w:rPr>
              <w:t>21,123</w:t>
            </w: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85,120</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106,243</w:t>
            </w:r>
          </w:p>
        </w:tc>
        <w:tc>
          <w:tcPr>
            <w:tcW w:w="0" w:type="dxa"/>
            <w:vAlign w:val="bottom"/>
          </w:tcPr>
          <w:p>
            <w:pPr>
              <w:spacing w:after="0"/>
              <w:rPr>
                <w:sz w:val="1"/>
                <w:szCs w:val="1"/>
                <w:color w:val="auto"/>
              </w:rPr>
            </w:pPr>
          </w:p>
        </w:tc>
      </w:tr>
      <w:tr>
        <w:trPr>
          <w:trHeight w:val="175"/>
        </w:trPr>
        <w:tc>
          <w:tcPr>
            <w:tcW w:w="5360" w:type="dxa"/>
            <w:vAlign w:val="bottom"/>
          </w:tcPr>
          <w:p>
            <w:pPr>
              <w:ind w:left="960"/>
              <w:spacing w:after="0" w:line="175" w:lineRule="exact"/>
              <w:rPr>
                <w:sz w:val="20"/>
                <w:szCs w:val="20"/>
                <w:color w:val="auto"/>
              </w:rPr>
            </w:pPr>
            <w:r>
              <w:rPr>
                <w:rFonts w:ascii="Arial" w:cs="Arial" w:eastAsia="Arial" w:hAnsi="Arial"/>
                <w:sz w:val="16"/>
                <w:szCs w:val="16"/>
                <w:color w:val="auto"/>
              </w:rPr>
              <w:t>Claims and other directly attributable expenses</w:t>
            </w:r>
          </w:p>
        </w:tc>
        <w:tc>
          <w:tcPr>
            <w:tcW w:w="278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135,905</w:t>
            </w:r>
          </w:p>
        </w:tc>
        <w:tc>
          <w:tcPr>
            <w:tcW w:w="18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658,515</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794,420</w:t>
            </w:r>
          </w:p>
        </w:tc>
        <w:tc>
          <w:tcPr>
            <w:tcW w:w="0" w:type="dxa"/>
            <w:vAlign w:val="bottom"/>
          </w:tcPr>
          <w:p>
            <w:pPr>
              <w:spacing w:after="0"/>
              <w:rPr>
                <w:sz w:val="1"/>
                <w:szCs w:val="1"/>
                <w:color w:val="auto"/>
              </w:rPr>
            </w:pPr>
          </w:p>
        </w:tc>
      </w:tr>
      <w:tr>
        <w:trPr>
          <w:trHeight w:val="175"/>
        </w:trPr>
        <w:tc>
          <w:tcPr>
            <w:tcW w:w="5360" w:type="dxa"/>
            <w:vAlign w:val="bottom"/>
          </w:tcPr>
          <w:p>
            <w:pPr>
              <w:ind w:left="840"/>
              <w:spacing w:after="0" w:line="175" w:lineRule="exact"/>
              <w:rPr>
                <w:sz w:val="20"/>
                <w:szCs w:val="20"/>
                <w:color w:val="auto"/>
              </w:rPr>
            </w:pPr>
            <w:r>
              <w:rPr>
                <w:rFonts w:ascii="Arial" w:cs="Arial" w:eastAsia="Arial" w:hAnsi="Arial"/>
                <w:sz w:val="16"/>
                <w:szCs w:val="16"/>
                <w:color w:val="auto"/>
              </w:rPr>
              <w:t>Estimates of the present value of future inflows</w:t>
            </w:r>
          </w:p>
        </w:tc>
        <w:tc>
          <w:tcPr>
            <w:tcW w:w="2960" w:type="dxa"/>
            <w:vAlign w:val="bottom"/>
            <w:gridSpan w:val="4"/>
          </w:tcPr>
          <w:p>
            <w:pPr>
              <w:jc w:val="right"/>
              <w:ind w:right="120"/>
              <w:spacing w:after="0" w:line="175" w:lineRule="exact"/>
              <w:rPr>
                <w:sz w:val="20"/>
                <w:szCs w:val="20"/>
                <w:color w:val="auto"/>
              </w:rPr>
            </w:pPr>
            <w:r>
              <w:rPr>
                <w:rFonts w:ascii="Arial" w:cs="Arial" w:eastAsia="Arial" w:hAnsi="Arial"/>
                <w:sz w:val="16"/>
                <w:szCs w:val="16"/>
                <w:color w:val="auto"/>
              </w:rPr>
              <w:t>(138,467)</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(856,323)</w:t>
            </w:r>
          </w:p>
        </w:tc>
        <w:tc>
          <w:tcPr>
            <w:tcW w:w="1780" w:type="dxa"/>
            <w:vAlign w:val="bottom"/>
            <w:gridSpan w:val="3"/>
          </w:tcPr>
          <w:p>
            <w:pPr>
              <w:jc w:val="right"/>
              <w:ind w:right="580"/>
              <w:spacing w:after="0" w:line="175" w:lineRule="exact"/>
              <w:rPr>
                <w:sz w:val="20"/>
                <w:szCs w:val="20"/>
                <w:color w:val="auto"/>
              </w:rPr>
            </w:pPr>
            <w:r>
              <w:rPr>
                <w:rFonts w:ascii="Arial" w:cs="Arial" w:eastAsia="Arial" w:hAnsi="Arial"/>
                <w:sz w:val="16"/>
                <w:szCs w:val="16"/>
                <w:color w:val="auto"/>
              </w:rPr>
              <w:t>(994,790)</w:t>
            </w:r>
          </w:p>
        </w:tc>
        <w:tc>
          <w:tcPr>
            <w:tcW w:w="0" w:type="dxa"/>
            <w:vAlign w:val="bottom"/>
          </w:tcPr>
          <w:p>
            <w:pPr>
              <w:spacing w:after="0"/>
              <w:rPr>
                <w:sz w:val="1"/>
                <w:szCs w:val="1"/>
                <w:color w:val="auto"/>
              </w:rPr>
            </w:pPr>
          </w:p>
        </w:tc>
      </w:tr>
      <w:tr>
        <w:trPr>
          <w:trHeight w:val="175"/>
        </w:trPr>
        <w:tc>
          <w:tcPr>
            <w:tcW w:w="5360" w:type="dxa"/>
            <w:vAlign w:val="bottom"/>
          </w:tcPr>
          <w:p>
            <w:pPr>
              <w:ind w:left="840"/>
              <w:spacing w:after="0" w:line="175" w:lineRule="exact"/>
              <w:rPr>
                <w:sz w:val="20"/>
                <w:szCs w:val="20"/>
                <w:color w:val="auto"/>
              </w:rPr>
            </w:pPr>
            <w:r>
              <w:rPr>
                <w:rFonts w:ascii="Arial" w:cs="Arial" w:eastAsia="Arial" w:hAnsi="Arial"/>
                <w:sz w:val="16"/>
                <w:szCs w:val="16"/>
                <w:color w:val="auto"/>
              </w:rPr>
              <w:t>Risk adjustment for non-financial risk</w:t>
            </w:r>
          </w:p>
        </w:tc>
        <w:tc>
          <w:tcPr>
            <w:tcW w:w="2960" w:type="dxa"/>
            <w:vAlign w:val="bottom"/>
            <w:gridSpan w:val="4"/>
          </w:tcPr>
          <w:p>
            <w:pPr>
              <w:jc w:val="right"/>
              <w:ind w:right="180"/>
              <w:spacing w:after="0" w:line="175" w:lineRule="exact"/>
              <w:rPr>
                <w:sz w:val="20"/>
                <w:szCs w:val="20"/>
                <w:color w:val="auto"/>
              </w:rPr>
            </w:pPr>
            <w:r>
              <w:rPr>
                <w:rFonts w:ascii="Arial" w:cs="Arial" w:eastAsia="Arial" w:hAnsi="Arial"/>
                <w:sz w:val="16"/>
                <w:szCs w:val="16"/>
                <w:color w:val="auto"/>
              </w:rPr>
              <w:t>1,913</w:t>
            </w: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6,225</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8,138</w:t>
            </w:r>
          </w:p>
        </w:tc>
        <w:tc>
          <w:tcPr>
            <w:tcW w:w="0" w:type="dxa"/>
            <w:vAlign w:val="bottom"/>
          </w:tcPr>
          <w:p>
            <w:pPr>
              <w:spacing w:after="0"/>
              <w:rPr>
                <w:sz w:val="1"/>
                <w:szCs w:val="1"/>
                <w:color w:val="auto"/>
              </w:rPr>
            </w:pPr>
          </w:p>
        </w:tc>
      </w:tr>
      <w:tr>
        <w:trPr>
          <w:trHeight w:val="190"/>
        </w:trPr>
        <w:tc>
          <w:tcPr>
            <w:tcW w:w="5360" w:type="dxa"/>
            <w:vAlign w:val="bottom"/>
          </w:tcPr>
          <w:p>
            <w:pPr>
              <w:ind w:left="840"/>
              <w:spacing w:after="0"/>
              <w:rPr>
                <w:sz w:val="20"/>
                <w:szCs w:val="20"/>
                <w:color w:val="auto"/>
              </w:rPr>
            </w:pPr>
            <w:r>
              <w:rPr>
                <w:rFonts w:ascii="Arial" w:cs="Arial" w:eastAsia="Arial" w:hAnsi="Arial"/>
                <w:sz w:val="16"/>
                <w:szCs w:val="16"/>
                <w:color w:val="auto"/>
              </w:rPr>
              <w:t>CSM</w:t>
            </w: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106,463</w:t>
            </w: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106,463</w:t>
            </w:r>
          </w:p>
        </w:tc>
        <w:tc>
          <w:tcPr>
            <w:tcW w:w="0" w:type="dxa"/>
            <w:vAlign w:val="bottom"/>
          </w:tcPr>
          <w:p>
            <w:pPr>
              <w:spacing w:after="0"/>
              <w:rPr>
                <w:sz w:val="1"/>
                <w:szCs w:val="1"/>
                <w:color w:val="auto"/>
              </w:rPr>
            </w:pPr>
          </w:p>
        </w:tc>
      </w:tr>
      <w:tr>
        <w:trPr>
          <w:trHeight w:val="170"/>
        </w:trPr>
        <w:tc>
          <w:tcPr>
            <w:tcW w:w="5360" w:type="dxa"/>
            <w:vAlign w:val="bottom"/>
          </w:tcPr>
          <w:p>
            <w:pPr>
              <w:ind w:left="840"/>
              <w:spacing w:after="0" w:line="167" w:lineRule="exact"/>
              <w:rPr>
                <w:sz w:val="20"/>
                <w:szCs w:val="20"/>
                <w:color w:val="auto"/>
              </w:rPr>
            </w:pPr>
            <w:r>
              <w:rPr>
                <w:rFonts w:ascii="Arial" w:cs="Arial" w:eastAsia="Arial" w:hAnsi="Arial"/>
                <w:sz w:val="16"/>
                <w:szCs w:val="16"/>
                <w:b w:val="1"/>
                <w:bCs w:val="1"/>
                <w:color w:val="auto"/>
                <w:w w:val="99"/>
              </w:rPr>
              <w:t>Impact on provisions for contracts recognized in the period</w:t>
            </w:r>
          </w:p>
        </w:tc>
        <w:tc>
          <w:tcPr>
            <w:tcW w:w="1760" w:type="dxa"/>
            <w:vAlign w:val="bottom"/>
            <w:gridSpan w:val="2"/>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20,474</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20,474</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5360" w:type="dxa"/>
            <w:vAlign w:val="bottom"/>
          </w:tcPr>
          <w:p>
            <w:pPr>
              <w:spacing w:after="0"/>
              <w:rPr>
                <w:sz w:val="24"/>
                <w:szCs w:val="24"/>
                <w:color w:val="auto"/>
              </w:rPr>
            </w:pPr>
          </w:p>
        </w:tc>
        <w:tc>
          <w:tcPr>
            <w:tcW w:w="2780" w:type="dxa"/>
            <w:vAlign w:val="bottom"/>
            <w:gridSpan w:val="3"/>
          </w:tcPr>
          <w:p>
            <w:pPr>
              <w:ind w:left="1740"/>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2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6"/>
                <w:szCs w:val="16"/>
                <w:b w:val="1"/>
                <w:bCs w:val="1"/>
                <w:color w:val="auto"/>
              </w:rPr>
              <w:t>Onerous</w:t>
            </w:r>
          </w:p>
        </w:tc>
        <w:tc>
          <w:tcPr>
            <w:tcW w:w="1160" w:type="dxa"/>
            <w:vAlign w:val="bottom"/>
            <w:tcBorders>
              <w:top w:val="single" w:sz="8" w:color="auto"/>
            </w:tcBorders>
            <w:gridSpan w:val="2"/>
          </w:tcPr>
          <w:p>
            <w:pPr>
              <w:jc w:val="right"/>
              <w:ind w:right="180"/>
              <w:spacing w:after="0" w:line="150" w:lineRule="exact"/>
              <w:rPr>
                <w:sz w:val="20"/>
                <w:szCs w:val="20"/>
                <w:color w:val="auto"/>
              </w:rPr>
            </w:pPr>
            <w:r>
              <w:rPr>
                <w:rFonts w:ascii="Arial" w:cs="Arial" w:eastAsia="Arial" w:hAnsi="Arial"/>
                <w:sz w:val="16"/>
                <w:szCs w:val="16"/>
                <w:b w:val="1"/>
                <w:bCs w:val="1"/>
                <w:color w:val="auto"/>
                <w:w w:val="96"/>
              </w:rPr>
              <w:t>Non-onerous</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contracts</w:t>
            </w:r>
          </w:p>
        </w:tc>
        <w:tc>
          <w:tcPr>
            <w:tcW w:w="11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contracts</w:t>
            </w:r>
          </w:p>
        </w:tc>
        <w:tc>
          <w:tcPr>
            <w:tcW w:w="1780" w:type="dxa"/>
            <w:vAlign w:val="bottom"/>
            <w:gridSpan w:val="3"/>
          </w:tcPr>
          <w:p>
            <w:pPr>
              <w:jc w:val="right"/>
              <w:ind w:right="1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5360" w:type="dxa"/>
            <w:vAlign w:val="bottom"/>
            <w:vMerge w:val="restart"/>
          </w:tcPr>
          <w:p>
            <w:pPr>
              <w:ind w:left="840"/>
              <w:spacing w:after="0"/>
              <w:rPr>
                <w:sz w:val="20"/>
                <w:szCs w:val="20"/>
                <w:color w:val="auto"/>
              </w:rPr>
            </w:pPr>
            <w:r>
              <w:rPr>
                <w:rFonts w:ascii="Arial" w:cs="Arial" w:eastAsia="Arial" w:hAnsi="Arial"/>
                <w:sz w:val="16"/>
                <w:szCs w:val="16"/>
                <w:color w:val="auto"/>
              </w:rPr>
              <w:t>Estimates of the present value of future outflows:</w:t>
            </w: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7"/>
                <w:szCs w:val="17"/>
                <w:color w:val="auto"/>
              </w:rPr>
            </w:pPr>
          </w:p>
        </w:tc>
        <w:tc>
          <w:tcPr>
            <w:tcW w:w="1040" w:type="dxa"/>
            <w:vAlign w:val="bottom"/>
            <w:tcBorders>
              <w:top w:val="single" w:sz="8" w:color="auto"/>
            </w:tcBorders>
          </w:tcPr>
          <w:p>
            <w:pPr>
              <w:jc w:val="center"/>
              <w:ind w:right="262"/>
              <w:spacing w:after="0"/>
              <w:rPr>
                <w:sz w:val="20"/>
                <w:szCs w:val="20"/>
                <w:color w:val="auto"/>
              </w:rPr>
            </w:pPr>
            <w:r>
              <w:rPr>
                <w:rFonts w:ascii="Arial" w:cs="Arial" w:eastAsia="Arial" w:hAnsi="Arial"/>
                <w:sz w:val="16"/>
                <w:szCs w:val="16"/>
                <w:b w:val="1"/>
                <w:bCs w:val="1"/>
                <w:color w:val="auto"/>
                <w:w w:val="95"/>
              </w:rPr>
              <w:t>S/(000)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3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960"/>
              <w:spacing w:after="0" w:line="175" w:lineRule="exact"/>
              <w:rPr>
                <w:sz w:val="20"/>
                <w:szCs w:val="20"/>
                <w:color w:val="auto"/>
              </w:rPr>
            </w:pPr>
            <w:r>
              <w:rPr>
                <w:rFonts w:ascii="Arial" w:cs="Arial" w:eastAsia="Arial" w:hAnsi="Arial"/>
                <w:sz w:val="16"/>
                <w:szCs w:val="16"/>
                <w:color w:val="auto"/>
              </w:rPr>
              <w:t>Insurance Acquisition Cash Flows</w:t>
            </w:r>
          </w:p>
        </w:tc>
        <w:tc>
          <w:tcPr>
            <w:tcW w:w="2960" w:type="dxa"/>
            <w:vAlign w:val="bottom"/>
            <w:gridSpan w:val="4"/>
          </w:tcPr>
          <w:p>
            <w:pPr>
              <w:jc w:val="right"/>
              <w:ind w:right="180"/>
              <w:spacing w:after="0" w:line="175" w:lineRule="exact"/>
              <w:rPr>
                <w:sz w:val="20"/>
                <w:szCs w:val="20"/>
                <w:color w:val="auto"/>
              </w:rPr>
            </w:pPr>
            <w:r>
              <w:rPr>
                <w:rFonts w:ascii="Arial" w:cs="Arial" w:eastAsia="Arial" w:hAnsi="Arial"/>
                <w:sz w:val="16"/>
                <w:szCs w:val="16"/>
                <w:color w:val="auto"/>
              </w:rPr>
              <w:t>14,022</w:t>
            </w: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72,277</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86,299</w:t>
            </w:r>
          </w:p>
        </w:tc>
        <w:tc>
          <w:tcPr>
            <w:tcW w:w="0" w:type="dxa"/>
            <w:vAlign w:val="bottom"/>
          </w:tcPr>
          <w:p>
            <w:pPr>
              <w:spacing w:after="0"/>
              <w:rPr>
                <w:sz w:val="1"/>
                <w:szCs w:val="1"/>
                <w:color w:val="auto"/>
              </w:rPr>
            </w:pPr>
          </w:p>
        </w:tc>
      </w:tr>
      <w:tr>
        <w:trPr>
          <w:trHeight w:val="175"/>
        </w:trPr>
        <w:tc>
          <w:tcPr>
            <w:tcW w:w="5360" w:type="dxa"/>
            <w:vAlign w:val="bottom"/>
          </w:tcPr>
          <w:p>
            <w:pPr>
              <w:ind w:left="960"/>
              <w:spacing w:after="0" w:line="175" w:lineRule="exact"/>
              <w:rPr>
                <w:sz w:val="20"/>
                <w:szCs w:val="20"/>
                <w:color w:val="auto"/>
              </w:rPr>
            </w:pPr>
            <w:r>
              <w:rPr>
                <w:rFonts w:ascii="Arial" w:cs="Arial" w:eastAsia="Arial" w:hAnsi="Arial"/>
                <w:sz w:val="16"/>
                <w:szCs w:val="16"/>
                <w:color w:val="auto"/>
              </w:rPr>
              <w:t>Claims and other directly attributable expenses</w:t>
            </w:r>
          </w:p>
        </w:tc>
        <w:tc>
          <w:tcPr>
            <w:tcW w:w="2780" w:type="dxa"/>
            <w:vAlign w:val="bottom"/>
            <w:gridSpan w:val="3"/>
          </w:tcPr>
          <w:p>
            <w:pPr>
              <w:jc w:val="right"/>
              <w:spacing w:after="0" w:line="175" w:lineRule="exact"/>
              <w:rPr>
                <w:sz w:val="20"/>
                <w:szCs w:val="20"/>
                <w:color w:val="auto"/>
              </w:rPr>
            </w:pPr>
            <w:r>
              <w:rPr>
                <w:rFonts w:ascii="Arial" w:cs="Arial" w:eastAsia="Arial" w:hAnsi="Arial"/>
                <w:sz w:val="16"/>
                <w:szCs w:val="16"/>
                <w:color w:val="auto"/>
              </w:rPr>
              <w:t>165,170</w:t>
            </w:r>
          </w:p>
        </w:tc>
        <w:tc>
          <w:tcPr>
            <w:tcW w:w="18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468,718</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633,888</w:t>
            </w:r>
          </w:p>
        </w:tc>
        <w:tc>
          <w:tcPr>
            <w:tcW w:w="0" w:type="dxa"/>
            <w:vAlign w:val="bottom"/>
          </w:tcPr>
          <w:p>
            <w:pPr>
              <w:spacing w:after="0"/>
              <w:rPr>
                <w:sz w:val="1"/>
                <w:szCs w:val="1"/>
                <w:color w:val="auto"/>
              </w:rPr>
            </w:pPr>
          </w:p>
        </w:tc>
      </w:tr>
      <w:tr>
        <w:trPr>
          <w:trHeight w:val="175"/>
        </w:trPr>
        <w:tc>
          <w:tcPr>
            <w:tcW w:w="5360" w:type="dxa"/>
            <w:vAlign w:val="bottom"/>
          </w:tcPr>
          <w:p>
            <w:pPr>
              <w:ind w:left="840"/>
              <w:spacing w:after="0" w:line="175" w:lineRule="exact"/>
              <w:rPr>
                <w:sz w:val="20"/>
                <w:szCs w:val="20"/>
                <w:color w:val="auto"/>
              </w:rPr>
            </w:pPr>
            <w:r>
              <w:rPr>
                <w:rFonts w:ascii="Arial" w:cs="Arial" w:eastAsia="Arial" w:hAnsi="Arial"/>
                <w:sz w:val="16"/>
                <w:szCs w:val="16"/>
                <w:color w:val="auto"/>
              </w:rPr>
              <w:t>Estimates of the present value of future inflows</w:t>
            </w:r>
          </w:p>
        </w:tc>
        <w:tc>
          <w:tcPr>
            <w:tcW w:w="2960" w:type="dxa"/>
            <w:vAlign w:val="bottom"/>
            <w:gridSpan w:val="4"/>
          </w:tcPr>
          <w:p>
            <w:pPr>
              <w:jc w:val="right"/>
              <w:ind w:right="120"/>
              <w:spacing w:after="0" w:line="175" w:lineRule="exact"/>
              <w:rPr>
                <w:sz w:val="20"/>
                <w:szCs w:val="20"/>
                <w:color w:val="auto"/>
              </w:rPr>
            </w:pPr>
            <w:r>
              <w:rPr>
                <w:rFonts w:ascii="Arial" w:cs="Arial" w:eastAsia="Arial" w:hAnsi="Arial"/>
                <w:sz w:val="16"/>
                <w:szCs w:val="16"/>
                <w:color w:val="auto"/>
              </w:rPr>
              <w:t>(167,263)</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(668,931)</w:t>
            </w:r>
          </w:p>
        </w:tc>
        <w:tc>
          <w:tcPr>
            <w:tcW w:w="1780" w:type="dxa"/>
            <w:vAlign w:val="bottom"/>
            <w:gridSpan w:val="3"/>
          </w:tcPr>
          <w:p>
            <w:pPr>
              <w:jc w:val="right"/>
              <w:ind w:right="580"/>
              <w:spacing w:after="0" w:line="175" w:lineRule="exact"/>
              <w:rPr>
                <w:sz w:val="20"/>
                <w:szCs w:val="20"/>
                <w:color w:val="auto"/>
              </w:rPr>
            </w:pPr>
            <w:r>
              <w:rPr>
                <w:rFonts w:ascii="Arial" w:cs="Arial" w:eastAsia="Arial" w:hAnsi="Arial"/>
                <w:sz w:val="16"/>
                <w:szCs w:val="16"/>
                <w:color w:val="auto"/>
              </w:rPr>
              <w:t>(836,194)</w:t>
            </w:r>
          </w:p>
        </w:tc>
        <w:tc>
          <w:tcPr>
            <w:tcW w:w="0" w:type="dxa"/>
            <w:vAlign w:val="bottom"/>
          </w:tcPr>
          <w:p>
            <w:pPr>
              <w:spacing w:after="0"/>
              <w:rPr>
                <w:sz w:val="1"/>
                <w:szCs w:val="1"/>
                <w:color w:val="auto"/>
              </w:rPr>
            </w:pPr>
          </w:p>
        </w:tc>
      </w:tr>
      <w:tr>
        <w:trPr>
          <w:trHeight w:val="175"/>
        </w:trPr>
        <w:tc>
          <w:tcPr>
            <w:tcW w:w="5360" w:type="dxa"/>
            <w:vAlign w:val="bottom"/>
          </w:tcPr>
          <w:p>
            <w:pPr>
              <w:ind w:left="840"/>
              <w:spacing w:after="0" w:line="175" w:lineRule="exact"/>
              <w:rPr>
                <w:sz w:val="20"/>
                <w:szCs w:val="20"/>
                <w:color w:val="auto"/>
              </w:rPr>
            </w:pPr>
            <w:r>
              <w:rPr>
                <w:rFonts w:ascii="Arial" w:cs="Arial" w:eastAsia="Arial" w:hAnsi="Arial"/>
                <w:sz w:val="16"/>
                <w:szCs w:val="16"/>
                <w:color w:val="auto"/>
              </w:rPr>
              <w:t>Risk adjustment for non-financial risk</w:t>
            </w:r>
          </w:p>
        </w:tc>
        <w:tc>
          <w:tcPr>
            <w:tcW w:w="2960" w:type="dxa"/>
            <w:vAlign w:val="bottom"/>
            <w:gridSpan w:val="4"/>
          </w:tcPr>
          <w:p>
            <w:pPr>
              <w:jc w:val="right"/>
              <w:ind w:right="180"/>
              <w:spacing w:after="0" w:line="175" w:lineRule="exact"/>
              <w:rPr>
                <w:sz w:val="20"/>
                <w:szCs w:val="20"/>
                <w:color w:val="auto"/>
              </w:rPr>
            </w:pPr>
            <w:r>
              <w:rPr>
                <w:rFonts w:ascii="Arial" w:cs="Arial" w:eastAsia="Arial" w:hAnsi="Arial"/>
                <w:sz w:val="16"/>
                <w:szCs w:val="16"/>
                <w:color w:val="auto"/>
              </w:rPr>
              <w:t>2,562</w:t>
            </w: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7,569</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10,131</w:t>
            </w:r>
          </w:p>
        </w:tc>
        <w:tc>
          <w:tcPr>
            <w:tcW w:w="0" w:type="dxa"/>
            <w:vAlign w:val="bottom"/>
          </w:tcPr>
          <w:p>
            <w:pPr>
              <w:spacing w:after="0"/>
              <w:rPr>
                <w:sz w:val="1"/>
                <w:szCs w:val="1"/>
                <w:color w:val="auto"/>
              </w:rPr>
            </w:pPr>
          </w:p>
        </w:tc>
      </w:tr>
      <w:tr>
        <w:trPr>
          <w:trHeight w:val="190"/>
        </w:trPr>
        <w:tc>
          <w:tcPr>
            <w:tcW w:w="5360" w:type="dxa"/>
            <w:vAlign w:val="bottom"/>
          </w:tcPr>
          <w:p>
            <w:pPr>
              <w:ind w:left="840"/>
              <w:spacing w:after="0"/>
              <w:rPr>
                <w:sz w:val="20"/>
                <w:szCs w:val="20"/>
                <w:color w:val="auto"/>
              </w:rPr>
            </w:pPr>
            <w:r>
              <w:rPr>
                <w:rFonts w:ascii="Arial" w:cs="Arial" w:eastAsia="Arial" w:hAnsi="Arial"/>
                <w:sz w:val="16"/>
                <w:szCs w:val="16"/>
                <w:color w:val="auto"/>
              </w:rPr>
              <w:t>CSM</w:t>
            </w: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120,367</w:t>
            </w: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120,367</w:t>
            </w:r>
          </w:p>
        </w:tc>
        <w:tc>
          <w:tcPr>
            <w:tcW w:w="0" w:type="dxa"/>
            <w:vAlign w:val="bottom"/>
          </w:tcPr>
          <w:p>
            <w:pPr>
              <w:spacing w:after="0"/>
              <w:rPr>
                <w:sz w:val="1"/>
                <w:szCs w:val="1"/>
                <w:color w:val="auto"/>
              </w:rPr>
            </w:pPr>
          </w:p>
        </w:tc>
      </w:tr>
      <w:tr>
        <w:trPr>
          <w:trHeight w:val="170"/>
        </w:trPr>
        <w:tc>
          <w:tcPr>
            <w:tcW w:w="5360" w:type="dxa"/>
            <w:vAlign w:val="bottom"/>
          </w:tcPr>
          <w:p>
            <w:pPr>
              <w:ind w:left="840"/>
              <w:spacing w:after="0" w:line="167" w:lineRule="exact"/>
              <w:rPr>
                <w:sz w:val="20"/>
                <w:szCs w:val="20"/>
                <w:color w:val="auto"/>
              </w:rPr>
            </w:pPr>
            <w:r>
              <w:rPr>
                <w:rFonts w:ascii="Arial" w:cs="Arial" w:eastAsia="Arial" w:hAnsi="Arial"/>
                <w:sz w:val="16"/>
                <w:szCs w:val="16"/>
                <w:b w:val="1"/>
                <w:bCs w:val="1"/>
                <w:color w:val="auto"/>
                <w:w w:val="99"/>
              </w:rPr>
              <w:t>Impact on provisions for contracts recognized in the period</w:t>
            </w:r>
          </w:p>
        </w:tc>
        <w:tc>
          <w:tcPr>
            <w:tcW w:w="1760" w:type="dxa"/>
            <w:vAlign w:val="bottom"/>
            <w:gridSpan w:val="2"/>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14,491</w:t>
            </w:r>
          </w:p>
        </w:tc>
        <w:tc>
          <w:tcPr>
            <w:tcW w:w="1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14,491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5360" w:type="dxa"/>
            <w:vAlign w:val="bottom"/>
          </w:tcPr>
          <w:p>
            <w:pPr>
              <w:spacing w:after="0"/>
              <w:rPr>
                <w:sz w:val="24"/>
                <w:szCs w:val="24"/>
                <w:color w:val="auto"/>
              </w:rPr>
            </w:pPr>
          </w:p>
        </w:tc>
        <w:tc>
          <w:tcPr>
            <w:tcW w:w="1740" w:type="dxa"/>
            <w:vAlign w:val="bottom"/>
          </w:tcPr>
          <w:p>
            <w:pPr>
              <w:jc w:val="right"/>
              <w:ind w:right="1263"/>
              <w:spacing w:after="0"/>
              <w:rPr>
                <w:sz w:val="20"/>
                <w:szCs w:val="20"/>
                <w:color w:val="auto"/>
              </w:rPr>
            </w:pPr>
            <w:r>
              <w:rPr>
                <w:rFonts w:ascii="Arial" w:cs="Arial" w:eastAsia="Arial" w:hAnsi="Arial"/>
                <w:sz w:val="12"/>
                <w:szCs w:val="12"/>
                <w:color w:val="auto"/>
              </w:rPr>
              <w:t>-109-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12" w:name="page113"/>
    <w:bookmarkEnd w:id="112"/>
    <w:p>
      <w:pPr>
        <w:ind w:left="560"/>
        <w:spacing w:after="0"/>
        <w:tabs>
          <w:tab w:leader="none" w:pos="8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Below we present the estimate of the release of CSM over the years considering reversals of the loss component:</w:t>
      </w:r>
    </w:p>
    <w:p>
      <w:pPr>
        <w:spacing w:after="0" w:line="165"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w w:val="95"/>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6"/>
                <w:szCs w:val="16"/>
                <w:color w:val="auto"/>
              </w:rPr>
            </w:pPr>
          </w:p>
        </w:tc>
      </w:tr>
      <w:tr>
        <w:trPr>
          <w:trHeight w:val="152"/>
        </w:trPr>
        <w:tc>
          <w:tcPr>
            <w:tcW w:w="3560" w:type="dxa"/>
            <w:vAlign w:val="bottom"/>
          </w:tcPr>
          <w:p>
            <w:pPr>
              <w:spacing w:after="0"/>
              <w:rPr>
                <w:sz w:val="13"/>
                <w:szCs w:val="13"/>
                <w:color w:val="auto"/>
              </w:rPr>
            </w:pPr>
          </w:p>
        </w:tc>
        <w:tc>
          <w:tcPr>
            <w:tcW w:w="1060" w:type="dxa"/>
            <w:vAlign w:val="bottom"/>
          </w:tcPr>
          <w:p>
            <w:pPr>
              <w:jc w:val="right"/>
              <w:ind w:right="382"/>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82"/>
              <w:spacing w:after="0" w:line="152"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3"/>
                <w:szCs w:val="13"/>
                <w:color w:val="auto"/>
              </w:rPr>
            </w:pPr>
          </w:p>
        </w:tc>
        <w:tc>
          <w:tcPr>
            <w:tcW w:w="1100" w:type="dxa"/>
            <w:vAlign w:val="bottom"/>
          </w:tcPr>
          <w:p>
            <w:pPr>
              <w:jc w:val="right"/>
              <w:ind w:right="422"/>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One year</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122,859</w:t>
            </w:r>
          </w:p>
        </w:tc>
        <w:tc>
          <w:tcPr>
            <w:tcW w:w="180" w:type="dxa"/>
            <w:vAlign w:val="bottom"/>
          </w:tcPr>
          <w:p>
            <w:pPr>
              <w:spacing w:after="0"/>
              <w:rPr>
                <w:sz w:val="15"/>
                <w:szCs w:val="15"/>
                <w:color w:val="auto"/>
              </w:rPr>
            </w:pPr>
          </w:p>
        </w:tc>
        <w:tc>
          <w:tcPr>
            <w:tcW w:w="12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113,378</w:t>
            </w:r>
          </w:p>
        </w:tc>
        <w:tc>
          <w:tcPr>
            <w:tcW w:w="11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115,614</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Two years</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125,636</w:t>
            </w:r>
          </w:p>
        </w:tc>
        <w:tc>
          <w:tcPr>
            <w:tcW w:w="180" w:type="dxa"/>
            <w:vAlign w:val="bottom"/>
          </w:tcPr>
          <w:p>
            <w:pPr>
              <w:spacing w:after="0"/>
              <w:rPr>
                <w:sz w:val="15"/>
                <w:szCs w:val="15"/>
                <w:color w:val="auto"/>
              </w:rPr>
            </w:pPr>
          </w:p>
        </w:tc>
        <w:tc>
          <w:tcPr>
            <w:tcW w:w="12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115,736</w:t>
            </w:r>
          </w:p>
        </w:tc>
        <w:tc>
          <w:tcPr>
            <w:tcW w:w="11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148,085</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Three years</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126,066</w:t>
            </w:r>
          </w:p>
        </w:tc>
        <w:tc>
          <w:tcPr>
            <w:tcW w:w="180" w:type="dxa"/>
            <w:vAlign w:val="bottom"/>
          </w:tcPr>
          <w:p>
            <w:pPr>
              <w:spacing w:after="0"/>
              <w:rPr>
                <w:sz w:val="15"/>
                <w:szCs w:val="15"/>
                <w:color w:val="auto"/>
              </w:rPr>
            </w:pPr>
          </w:p>
        </w:tc>
        <w:tc>
          <w:tcPr>
            <w:tcW w:w="12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116,736</w:t>
            </w:r>
          </w:p>
        </w:tc>
        <w:tc>
          <w:tcPr>
            <w:tcW w:w="11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164,542</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Four years</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124,387</w:t>
            </w:r>
          </w:p>
        </w:tc>
        <w:tc>
          <w:tcPr>
            <w:tcW w:w="180" w:type="dxa"/>
            <w:vAlign w:val="bottom"/>
          </w:tcPr>
          <w:p>
            <w:pPr>
              <w:spacing w:after="0"/>
              <w:rPr>
                <w:sz w:val="15"/>
                <w:szCs w:val="15"/>
                <w:color w:val="auto"/>
              </w:rPr>
            </w:pPr>
          </w:p>
        </w:tc>
        <w:tc>
          <w:tcPr>
            <w:tcW w:w="12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117,284</w:t>
            </w:r>
          </w:p>
        </w:tc>
        <w:tc>
          <w:tcPr>
            <w:tcW w:w="11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165,924</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Five years</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120,257</w:t>
            </w:r>
          </w:p>
        </w:tc>
        <w:tc>
          <w:tcPr>
            <w:tcW w:w="180" w:type="dxa"/>
            <w:vAlign w:val="bottom"/>
          </w:tcPr>
          <w:p>
            <w:pPr>
              <w:spacing w:after="0"/>
              <w:rPr>
                <w:sz w:val="15"/>
                <w:szCs w:val="15"/>
                <w:color w:val="auto"/>
              </w:rPr>
            </w:pPr>
          </w:p>
        </w:tc>
        <w:tc>
          <w:tcPr>
            <w:tcW w:w="12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114,531</w:t>
            </w:r>
          </w:p>
        </w:tc>
        <w:tc>
          <w:tcPr>
            <w:tcW w:w="11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152,654</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From 6 to 10 years</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517,669</w:t>
            </w:r>
          </w:p>
        </w:tc>
        <w:tc>
          <w:tcPr>
            <w:tcW w:w="180" w:type="dxa"/>
            <w:vAlign w:val="bottom"/>
          </w:tcPr>
          <w:p>
            <w:pPr>
              <w:spacing w:after="0"/>
              <w:rPr>
                <w:sz w:val="15"/>
                <w:szCs w:val="15"/>
                <w:color w:val="auto"/>
              </w:rPr>
            </w:pPr>
          </w:p>
        </w:tc>
        <w:tc>
          <w:tcPr>
            <w:tcW w:w="12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494,953</w:t>
            </w:r>
          </w:p>
        </w:tc>
        <w:tc>
          <w:tcPr>
            <w:tcW w:w="11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413,518</w:t>
            </w:r>
          </w:p>
        </w:tc>
      </w:tr>
      <w:tr>
        <w:trPr>
          <w:trHeight w:val="190"/>
        </w:trPr>
        <w:tc>
          <w:tcPr>
            <w:tcW w:w="3560" w:type="dxa"/>
            <w:vAlign w:val="bottom"/>
          </w:tcPr>
          <w:p>
            <w:pPr>
              <w:spacing w:after="0"/>
              <w:rPr>
                <w:sz w:val="20"/>
                <w:szCs w:val="20"/>
                <w:color w:val="auto"/>
              </w:rPr>
            </w:pPr>
            <w:r>
              <w:rPr>
                <w:rFonts w:ascii="Arial" w:cs="Arial" w:eastAsia="Arial" w:hAnsi="Arial"/>
                <w:sz w:val="16"/>
                <w:szCs w:val="16"/>
                <w:color w:val="auto"/>
              </w:rPr>
              <w:t>Older than 10 years</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1,074,187</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1,011,435</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217,278</w:t>
            </w:r>
          </w:p>
        </w:tc>
      </w:tr>
      <w:tr>
        <w:trPr>
          <w:trHeight w:val="170"/>
        </w:trPr>
        <w:tc>
          <w:tcPr>
            <w:tcW w:w="356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108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2,211,061</w:t>
            </w:r>
          </w:p>
        </w:tc>
        <w:tc>
          <w:tcPr>
            <w:tcW w:w="1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2,084,053</w:t>
            </w:r>
          </w:p>
        </w:tc>
        <w:tc>
          <w:tcPr>
            <w:tcW w:w="2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1,377,615</w:t>
            </w:r>
          </w:p>
        </w:tc>
        <w:tc>
          <w:tcPr>
            <w:tcW w:w="20" w:type="dxa"/>
            <w:vAlign w:val="bottom"/>
          </w:tcPr>
          <w:p>
            <w:pPr>
              <w:spacing w:after="0"/>
              <w:rPr>
                <w:sz w:val="14"/>
                <w:szCs w:val="14"/>
                <w:color w:val="auto"/>
              </w:rPr>
            </w:pPr>
          </w:p>
        </w:tc>
      </w:tr>
    </w:tbl>
    <w:p>
      <w:pPr>
        <w:spacing w:after="0" w:line="160" w:lineRule="exact"/>
        <w:rPr>
          <w:sz w:val="20"/>
          <w:szCs w:val="20"/>
          <w:color w:val="auto"/>
        </w:rPr>
      </w:pPr>
    </w:p>
    <w:p>
      <w:pPr>
        <w:ind w:left="560"/>
        <w:spacing w:after="0"/>
        <w:tabs>
          <w:tab w:leader="none" w:pos="82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4"/>
          <w:szCs w:val="14"/>
          <w:color w:val="auto"/>
        </w:rPr>
        <w:t>The composition of underlying assets related to contracts with direct participation features is detailed below:</w:t>
      </w:r>
    </w:p>
    <w:p>
      <w:pPr>
        <w:spacing w:after="0" w:line="164"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02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w w:val="89"/>
              </w:rPr>
              <w:t>2024</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w w:val="95"/>
              </w:rPr>
              <w:t>2023</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Pr>
          <w:p>
            <w:pPr>
              <w:spacing w:after="0"/>
              <w:rPr>
                <w:sz w:val="16"/>
                <w:szCs w:val="16"/>
                <w:color w:val="auto"/>
              </w:rPr>
            </w:pPr>
          </w:p>
        </w:tc>
      </w:tr>
      <w:tr>
        <w:trPr>
          <w:trHeight w:val="152"/>
        </w:trPr>
        <w:tc>
          <w:tcPr>
            <w:tcW w:w="4680" w:type="dxa"/>
            <w:vAlign w:val="bottom"/>
          </w:tcPr>
          <w:p>
            <w:pPr>
              <w:spacing w:after="0"/>
              <w:rPr>
                <w:sz w:val="13"/>
                <w:szCs w:val="13"/>
                <w:color w:val="auto"/>
              </w:rPr>
            </w:pPr>
          </w:p>
        </w:tc>
        <w:tc>
          <w:tcPr>
            <w:tcW w:w="1020" w:type="dxa"/>
            <w:vAlign w:val="bottom"/>
          </w:tcPr>
          <w:p>
            <w:pPr>
              <w:jc w:val="right"/>
              <w:ind w:right="342"/>
              <w:spacing w:after="0" w:line="152" w:lineRule="exact"/>
              <w:rPr>
                <w:sz w:val="20"/>
                <w:szCs w:val="20"/>
                <w:color w:val="auto"/>
              </w:rPr>
            </w:pPr>
            <w:r>
              <w:rPr>
                <w:rFonts w:ascii="Arial" w:cs="Arial" w:eastAsia="Arial" w:hAnsi="Arial"/>
                <w:sz w:val="16"/>
                <w:szCs w:val="16"/>
                <w:b w:val="1"/>
                <w:bCs w:val="1"/>
                <w:color w:val="auto"/>
              </w:rPr>
              <w:t>S/(000)</w:t>
            </w:r>
          </w:p>
        </w:tc>
        <w:tc>
          <w:tcPr>
            <w:tcW w:w="180" w:type="dxa"/>
            <w:vAlign w:val="bottom"/>
          </w:tcPr>
          <w:p>
            <w:pPr>
              <w:spacing w:after="0"/>
              <w:rPr>
                <w:sz w:val="13"/>
                <w:szCs w:val="13"/>
                <w:color w:val="auto"/>
              </w:rPr>
            </w:pPr>
          </w:p>
        </w:tc>
        <w:tc>
          <w:tcPr>
            <w:tcW w:w="1060" w:type="dxa"/>
            <w:vAlign w:val="bottom"/>
          </w:tcPr>
          <w:p>
            <w:pPr>
              <w:jc w:val="right"/>
              <w:ind w:right="362"/>
              <w:spacing w:after="0" w:line="152" w:lineRule="exact"/>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3"/>
                <w:szCs w:val="13"/>
                <w:color w:val="auto"/>
              </w:rPr>
            </w:pPr>
          </w:p>
        </w:tc>
        <w:tc>
          <w:tcPr>
            <w:tcW w:w="1060" w:type="dxa"/>
            <w:vAlign w:val="bottom"/>
          </w:tcPr>
          <w:p>
            <w:pPr>
              <w:jc w:val="right"/>
              <w:ind w:right="362"/>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4680" w:type="dxa"/>
            <w:vAlign w:val="bottom"/>
          </w:tcPr>
          <w:p>
            <w:pPr>
              <w:spacing w:after="0" w:line="175" w:lineRule="exact"/>
              <w:rPr>
                <w:sz w:val="20"/>
                <w:szCs w:val="20"/>
                <w:color w:val="auto"/>
              </w:rPr>
            </w:pPr>
            <w:r>
              <w:rPr>
                <w:rFonts w:ascii="Arial" w:cs="Arial" w:eastAsia="Arial" w:hAnsi="Arial"/>
                <w:sz w:val="16"/>
                <w:szCs w:val="16"/>
                <w:color w:val="auto"/>
              </w:rPr>
              <w:t>IL Controlled</w:t>
            </w:r>
          </w:p>
        </w:tc>
        <w:tc>
          <w:tcPr>
            <w:tcW w:w="120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76,946</w:t>
            </w:r>
          </w:p>
        </w:tc>
        <w:tc>
          <w:tcPr>
            <w:tcW w:w="12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91,502</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84,570</w:t>
            </w:r>
          </w:p>
        </w:tc>
      </w:tr>
      <w:tr>
        <w:trPr>
          <w:trHeight w:val="175"/>
        </w:trPr>
        <w:tc>
          <w:tcPr>
            <w:tcW w:w="4680" w:type="dxa"/>
            <w:vAlign w:val="bottom"/>
          </w:tcPr>
          <w:p>
            <w:pPr>
              <w:spacing w:after="0" w:line="175" w:lineRule="exact"/>
              <w:rPr>
                <w:sz w:val="20"/>
                <w:szCs w:val="20"/>
                <w:color w:val="auto"/>
              </w:rPr>
            </w:pPr>
            <w:r>
              <w:rPr>
                <w:rFonts w:ascii="Arial" w:cs="Arial" w:eastAsia="Arial" w:hAnsi="Arial"/>
                <w:sz w:val="16"/>
                <w:szCs w:val="16"/>
                <w:color w:val="auto"/>
              </w:rPr>
              <w:t>IL Controlled Soles</w:t>
            </w:r>
          </w:p>
        </w:tc>
        <w:tc>
          <w:tcPr>
            <w:tcW w:w="120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3,992</w:t>
            </w:r>
          </w:p>
        </w:tc>
        <w:tc>
          <w:tcPr>
            <w:tcW w:w="12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1,433</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187,088</w:t>
            </w:r>
          </w:p>
        </w:tc>
      </w:tr>
      <w:tr>
        <w:trPr>
          <w:trHeight w:val="175"/>
        </w:trPr>
        <w:tc>
          <w:tcPr>
            <w:tcW w:w="4680" w:type="dxa"/>
            <w:vAlign w:val="bottom"/>
          </w:tcPr>
          <w:p>
            <w:pPr>
              <w:spacing w:after="0" w:line="175" w:lineRule="exact"/>
              <w:rPr>
                <w:sz w:val="20"/>
                <w:szCs w:val="20"/>
                <w:color w:val="auto"/>
              </w:rPr>
            </w:pPr>
            <w:r>
              <w:rPr>
                <w:rFonts w:ascii="Arial" w:cs="Arial" w:eastAsia="Arial" w:hAnsi="Arial"/>
                <w:sz w:val="16"/>
                <w:szCs w:val="16"/>
                <w:color w:val="auto"/>
              </w:rPr>
              <w:t>IL Balanced</w:t>
            </w:r>
          </w:p>
        </w:tc>
        <w:tc>
          <w:tcPr>
            <w:tcW w:w="120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193,410</w:t>
            </w:r>
          </w:p>
        </w:tc>
        <w:tc>
          <w:tcPr>
            <w:tcW w:w="12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186,879</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72,059</w:t>
            </w:r>
          </w:p>
        </w:tc>
      </w:tr>
      <w:tr>
        <w:trPr>
          <w:trHeight w:val="175"/>
        </w:trPr>
        <w:tc>
          <w:tcPr>
            <w:tcW w:w="4680" w:type="dxa"/>
            <w:vAlign w:val="bottom"/>
          </w:tcPr>
          <w:p>
            <w:pPr>
              <w:spacing w:after="0" w:line="175" w:lineRule="exact"/>
              <w:rPr>
                <w:sz w:val="20"/>
                <w:szCs w:val="20"/>
                <w:color w:val="auto"/>
              </w:rPr>
            </w:pPr>
            <w:r>
              <w:rPr>
                <w:rFonts w:ascii="Arial" w:cs="Arial" w:eastAsia="Arial" w:hAnsi="Arial"/>
                <w:sz w:val="16"/>
                <w:szCs w:val="16"/>
                <w:color w:val="auto"/>
              </w:rPr>
              <w:t>IL Balanced II</w:t>
            </w:r>
          </w:p>
        </w:tc>
        <w:tc>
          <w:tcPr>
            <w:tcW w:w="120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93,044</w:t>
            </w:r>
          </w:p>
        </w:tc>
        <w:tc>
          <w:tcPr>
            <w:tcW w:w="12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79,671</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370,484</w:t>
            </w:r>
          </w:p>
        </w:tc>
      </w:tr>
      <w:tr>
        <w:trPr>
          <w:trHeight w:val="175"/>
        </w:trPr>
        <w:tc>
          <w:tcPr>
            <w:tcW w:w="4680" w:type="dxa"/>
            <w:vAlign w:val="bottom"/>
          </w:tcPr>
          <w:p>
            <w:pPr>
              <w:spacing w:after="0" w:line="175" w:lineRule="exact"/>
              <w:rPr>
                <w:sz w:val="20"/>
                <w:szCs w:val="20"/>
                <w:color w:val="auto"/>
              </w:rPr>
            </w:pPr>
            <w:r>
              <w:rPr>
                <w:rFonts w:ascii="Arial" w:cs="Arial" w:eastAsia="Arial" w:hAnsi="Arial"/>
                <w:sz w:val="16"/>
                <w:szCs w:val="16"/>
                <w:color w:val="auto"/>
              </w:rPr>
              <w:t>IL Global Balanced</w:t>
            </w:r>
          </w:p>
        </w:tc>
        <w:tc>
          <w:tcPr>
            <w:tcW w:w="120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13,648</w:t>
            </w:r>
          </w:p>
        </w:tc>
        <w:tc>
          <w:tcPr>
            <w:tcW w:w="12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1,073</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75,301</w:t>
            </w:r>
          </w:p>
        </w:tc>
      </w:tr>
      <w:tr>
        <w:trPr>
          <w:trHeight w:val="175"/>
        </w:trPr>
        <w:tc>
          <w:tcPr>
            <w:tcW w:w="4680" w:type="dxa"/>
            <w:vAlign w:val="bottom"/>
          </w:tcPr>
          <w:p>
            <w:pPr>
              <w:spacing w:after="0" w:line="175" w:lineRule="exact"/>
              <w:rPr>
                <w:sz w:val="20"/>
                <w:szCs w:val="20"/>
                <w:color w:val="auto"/>
              </w:rPr>
            </w:pPr>
            <w:r>
              <w:rPr>
                <w:rFonts w:ascii="Arial" w:cs="Arial" w:eastAsia="Arial" w:hAnsi="Arial"/>
                <w:sz w:val="16"/>
                <w:szCs w:val="16"/>
                <w:color w:val="auto"/>
              </w:rPr>
              <w:t>IL Capitalized</w:t>
            </w:r>
          </w:p>
        </w:tc>
        <w:tc>
          <w:tcPr>
            <w:tcW w:w="120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425,552</w:t>
            </w:r>
          </w:p>
        </w:tc>
        <w:tc>
          <w:tcPr>
            <w:tcW w:w="12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382,326</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328</w:t>
            </w:r>
          </w:p>
        </w:tc>
      </w:tr>
      <w:tr>
        <w:trPr>
          <w:trHeight w:val="175"/>
        </w:trPr>
        <w:tc>
          <w:tcPr>
            <w:tcW w:w="4680" w:type="dxa"/>
            <w:vAlign w:val="bottom"/>
          </w:tcPr>
          <w:p>
            <w:pPr>
              <w:spacing w:after="0" w:line="175" w:lineRule="exact"/>
              <w:rPr>
                <w:sz w:val="20"/>
                <w:szCs w:val="20"/>
                <w:color w:val="auto"/>
              </w:rPr>
            </w:pPr>
            <w:r>
              <w:rPr>
                <w:rFonts w:ascii="Arial" w:cs="Arial" w:eastAsia="Arial" w:hAnsi="Arial"/>
                <w:sz w:val="16"/>
                <w:szCs w:val="16"/>
                <w:color w:val="auto"/>
              </w:rPr>
              <w:t>IL Capitalized II</w:t>
            </w:r>
          </w:p>
        </w:tc>
        <w:tc>
          <w:tcPr>
            <w:tcW w:w="120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122,413</w:t>
            </w:r>
          </w:p>
        </w:tc>
        <w:tc>
          <w:tcPr>
            <w:tcW w:w="12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87,527</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190</w:t>
            </w:r>
          </w:p>
        </w:tc>
      </w:tr>
      <w:tr>
        <w:trPr>
          <w:trHeight w:val="175"/>
        </w:trPr>
        <w:tc>
          <w:tcPr>
            <w:tcW w:w="4680" w:type="dxa"/>
            <w:vAlign w:val="bottom"/>
          </w:tcPr>
          <w:p>
            <w:pPr>
              <w:spacing w:after="0" w:line="175" w:lineRule="exact"/>
              <w:rPr>
                <w:sz w:val="20"/>
                <w:szCs w:val="20"/>
                <w:color w:val="auto"/>
              </w:rPr>
            </w:pPr>
            <w:r>
              <w:rPr>
                <w:rFonts w:ascii="Arial" w:cs="Arial" w:eastAsia="Arial" w:hAnsi="Arial"/>
                <w:sz w:val="16"/>
                <w:szCs w:val="16"/>
                <w:color w:val="auto"/>
              </w:rPr>
              <w:t>IL Global Growth</w:t>
            </w:r>
          </w:p>
        </w:tc>
        <w:tc>
          <w:tcPr>
            <w:tcW w:w="120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18,636</w:t>
            </w:r>
          </w:p>
        </w:tc>
        <w:tc>
          <w:tcPr>
            <w:tcW w:w="128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804</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198</w:t>
            </w:r>
          </w:p>
        </w:tc>
      </w:tr>
      <w:tr>
        <w:trPr>
          <w:trHeight w:val="205"/>
        </w:trPr>
        <w:tc>
          <w:tcPr>
            <w:tcW w:w="4680" w:type="dxa"/>
            <w:vAlign w:val="bottom"/>
          </w:tcPr>
          <w:p>
            <w:pPr>
              <w:spacing w:after="0"/>
              <w:rPr>
                <w:sz w:val="20"/>
                <w:szCs w:val="20"/>
                <w:color w:val="auto"/>
              </w:rPr>
            </w:pPr>
            <w:r>
              <w:rPr>
                <w:rFonts w:ascii="Arial" w:cs="Arial" w:eastAsia="Arial" w:hAnsi="Arial"/>
                <w:sz w:val="16"/>
                <w:szCs w:val="16"/>
                <w:color w:val="auto"/>
              </w:rPr>
              <w:t>IL Sustainable Capitalization</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259</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bl>
    <w:p>
      <w:pPr>
        <w:spacing w:after="0" w:line="145" w:lineRule="exact"/>
        <w:rPr>
          <w:sz w:val="20"/>
          <w:szCs w:val="20"/>
          <w:color w:val="auto"/>
        </w:rPr>
      </w:pPr>
    </w:p>
    <w:p>
      <w:pPr>
        <w:ind w:left="840" w:right="160" w:hanging="286"/>
        <w:spacing w:after="0" w:line="255" w:lineRule="auto"/>
        <w:tabs>
          <w:tab w:leader="none" w:pos="8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impact on the current period of the transition approaches adopted to establishing CSMs for insurance contracts portfolios is disclosed in the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58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602"/>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16"/>
                <w:szCs w:val="16"/>
                <w:color w:val="auto"/>
              </w:rPr>
            </w:pPr>
          </w:p>
        </w:tc>
        <w:tc>
          <w:tcPr>
            <w:tcW w:w="1140" w:type="dxa"/>
            <w:vAlign w:val="bottom"/>
            <w:gridSpan w:val="2"/>
          </w:tcPr>
          <w:p>
            <w:pPr>
              <w:jc w:val="right"/>
              <w:ind w:right="642"/>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16"/>
                <w:szCs w:val="16"/>
                <w:color w:val="auto"/>
              </w:rPr>
            </w:pPr>
          </w:p>
        </w:tc>
      </w:tr>
      <w:tr>
        <w:trPr>
          <w:trHeight w:val="152"/>
        </w:trPr>
        <w:tc>
          <w:tcPr>
            <w:tcW w:w="6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Borders>
              <w:top w:val="single" w:sz="8" w:color="auto"/>
            </w:tcBorders>
          </w:tcPr>
          <w:p>
            <w:pPr>
              <w:jc w:val="right"/>
              <w:ind w:right="362"/>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top w:val="single" w:sz="8" w:color="auto"/>
            </w:tcBorders>
          </w:tcPr>
          <w:p>
            <w:pPr>
              <w:jc w:val="right"/>
              <w:ind w:right="362"/>
              <w:spacing w:after="0" w:line="152" w:lineRule="exact"/>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ind w:right="382"/>
              <w:spacing w:after="0" w:line="152" w:lineRule="exact"/>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3"/>
                <w:szCs w:val="13"/>
                <w:color w:val="auto"/>
              </w:rPr>
            </w:pPr>
          </w:p>
        </w:tc>
      </w:tr>
      <w:tr>
        <w:trPr>
          <w:trHeight w:val="175"/>
        </w:trPr>
        <w:tc>
          <w:tcPr>
            <w:tcW w:w="6560" w:type="dxa"/>
            <w:vAlign w:val="bottom"/>
          </w:tcPr>
          <w:p>
            <w:pPr>
              <w:ind w:left="840"/>
              <w:spacing w:after="0" w:line="175" w:lineRule="exact"/>
              <w:rPr>
                <w:sz w:val="20"/>
                <w:szCs w:val="20"/>
                <w:color w:val="auto"/>
              </w:rPr>
            </w:pPr>
            <w:r>
              <w:rPr>
                <w:rFonts w:ascii="Arial" w:cs="Arial" w:eastAsia="Arial" w:hAnsi="Arial"/>
                <w:sz w:val="16"/>
                <w:szCs w:val="16"/>
                <w:color w:val="auto"/>
              </w:rPr>
              <w:t>CSM at the beginning of the period</w:t>
            </w:r>
          </w:p>
        </w:tc>
        <w:tc>
          <w:tcPr>
            <w:tcW w:w="15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887,586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992,526</w:t>
            </w:r>
          </w:p>
        </w:tc>
        <w:tc>
          <w:tcPr>
            <w:tcW w:w="178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1,292,358</w:t>
            </w:r>
          </w:p>
        </w:tc>
      </w:tr>
      <w:tr>
        <w:trPr>
          <w:trHeight w:val="190"/>
        </w:trPr>
        <w:tc>
          <w:tcPr>
            <w:tcW w:w="6560" w:type="dxa"/>
            <w:vAlign w:val="bottom"/>
          </w:tcPr>
          <w:p>
            <w:pPr>
              <w:ind w:left="840"/>
              <w:spacing w:after="0"/>
              <w:rPr>
                <w:sz w:val="20"/>
                <w:szCs w:val="20"/>
                <w:color w:val="auto"/>
              </w:rPr>
            </w:pPr>
            <w:r>
              <w:rPr>
                <w:rFonts w:ascii="Arial" w:cs="Arial" w:eastAsia="Arial" w:hAnsi="Arial"/>
                <w:sz w:val="16"/>
                <w:szCs w:val="16"/>
                <w:color w:val="auto"/>
              </w:rPr>
              <w:t>Changes in estimates adjusting the CSM</w:t>
            </w:r>
          </w:p>
        </w:tc>
        <w:tc>
          <w:tcPr>
            <w:tcW w:w="1760" w:type="dxa"/>
            <w:vAlign w:val="bottom"/>
            <w:gridSpan w:val="4"/>
          </w:tcPr>
          <w:p>
            <w:pPr>
              <w:jc w:val="right"/>
              <w:ind w:right="120"/>
              <w:spacing w:after="0"/>
              <w:rPr>
                <w:sz w:val="20"/>
                <w:szCs w:val="20"/>
                <w:color w:val="auto"/>
              </w:rPr>
            </w:pPr>
            <w:r>
              <w:rPr>
                <w:rFonts w:ascii="Arial" w:cs="Arial" w:eastAsia="Arial" w:hAnsi="Arial"/>
                <w:sz w:val="16"/>
                <w:szCs w:val="16"/>
                <w:color w:val="auto"/>
              </w:rPr>
              <w:t>(33,955)</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(11,445)</w:t>
            </w:r>
          </w:p>
        </w:tc>
        <w:tc>
          <w:tcPr>
            <w:tcW w:w="1780" w:type="dxa"/>
            <w:vAlign w:val="bottom"/>
            <w:gridSpan w:val="3"/>
          </w:tcPr>
          <w:p>
            <w:pPr>
              <w:jc w:val="right"/>
              <w:ind w:right="580"/>
              <w:spacing w:after="0"/>
              <w:rPr>
                <w:sz w:val="20"/>
                <w:szCs w:val="20"/>
                <w:color w:val="auto"/>
              </w:rPr>
            </w:pPr>
            <w:r>
              <w:rPr>
                <w:rFonts w:ascii="Arial" w:cs="Arial" w:eastAsia="Arial" w:hAnsi="Arial"/>
                <w:sz w:val="16"/>
                <w:szCs w:val="16"/>
                <w:color w:val="auto"/>
              </w:rPr>
              <w:t>(182,240)</w:t>
            </w:r>
          </w:p>
        </w:tc>
      </w:tr>
      <w:tr>
        <w:trPr>
          <w:trHeight w:val="152"/>
        </w:trPr>
        <w:tc>
          <w:tcPr>
            <w:tcW w:w="6560" w:type="dxa"/>
            <w:vAlign w:val="bottom"/>
          </w:tcPr>
          <w:p>
            <w:pPr>
              <w:ind w:left="840"/>
              <w:spacing w:after="0" w:line="152" w:lineRule="exact"/>
              <w:rPr>
                <w:sz w:val="20"/>
                <w:szCs w:val="20"/>
                <w:color w:val="auto"/>
              </w:rPr>
            </w:pPr>
            <w:r>
              <w:rPr>
                <w:rFonts w:ascii="Arial" w:cs="Arial" w:eastAsia="Arial" w:hAnsi="Arial"/>
                <w:sz w:val="16"/>
                <w:szCs w:val="16"/>
                <w:color w:val="auto"/>
              </w:rPr>
              <w:t>Changes related to future service</w:t>
            </w:r>
          </w:p>
        </w:tc>
        <w:tc>
          <w:tcPr>
            <w:tcW w:w="540" w:type="dxa"/>
            <w:vAlign w:val="bottom"/>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(33,955)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(11,445)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(182,240)</w:t>
            </w:r>
          </w:p>
        </w:tc>
        <w:tc>
          <w:tcPr>
            <w:tcW w:w="640" w:type="dxa"/>
            <w:vAlign w:val="bottom"/>
          </w:tcPr>
          <w:p>
            <w:pPr>
              <w:spacing w:after="0"/>
              <w:rPr>
                <w:sz w:val="13"/>
                <w:szCs w:val="13"/>
                <w:color w:val="auto"/>
              </w:rPr>
            </w:pPr>
          </w:p>
        </w:tc>
      </w:tr>
      <w:tr>
        <w:trPr>
          <w:trHeight w:val="175"/>
        </w:trPr>
        <w:tc>
          <w:tcPr>
            <w:tcW w:w="6560" w:type="dxa"/>
            <w:vAlign w:val="bottom"/>
          </w:tcPr>
          <w:p>
            <w:pPr>
              <w:ind w:left="840"/>
              <w:spacing w:after="0" w:line="175" w:lineRule="exact"/>
              <w:rPr>
                <w:sz w:val="20"/>
                <w:szCs w:val="20"/>
                <w:color w:val="auto"/>
              </w:rPr>
            </w:pPr>
            <w:r>
              <w:rPr>
                <w:rFonts w:ascii="Arial" w:cs="Arial" w:eastAsia="Arial" w:hAnsi="Arial"/>
                <w:sz w:val="16"/>
                <w:szCs w:val="16"/>
                <w:color w:val="auto"/>
              </w:rPr>
              <w:t>CSM recognized in consolidated statement of income for services rendered</w:t>
            </w:r>
          </w:p>
        </w:tc>
        <w:tc>
          <w:tcPr>
            <w:tcW w:w="1760" w:type="dxa"/>
            <w:vAlign w:val="bottom"/>
            <w:gridSpan w:val="4"/>
          </w:tcPr>
          <w:p>
            <w:pPr>
              <w:jc w:val="right"/>
              <w:ind w:right="120"/>
              <w:spacing w:after="0" w:line="175" w:lineRule="exact"/>
              <w:rPr>
                <w:sz w:val="20"/>
                <w:szCs w:val="20"/>
                <w:color w:val="auto"/>
              </w:rPr>
            </w:pPr>
            <w:r>
              <w:rPr>
                <w:rFonts w:ascii="Arial" w:cs="Arial" w:eastAsia="Arial" w:hAnsi="Arial"/>
                <w:sz w:val="16"/>
                <w:szCs w:val="16"/>
                <w:color w:val="auto"/>
              </w:rPr>
              <w:t>(91,995)</w:t>
            </w:r>
          </w:p>
        </w:tc>
        <w:tc>
          <w:tcPr>
            <w:tcW w:w="11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(102,878)</w:t>
            </w:r>
          </w:p>
        </w:tc>
        <w:tc>
          <w:tcPr>
            <w:tcW w:w="1780" w:type="dxa"/>
            <w:vAlign w:val="bottom"/>
            <w:gridSpan w:val="3"/>
          </w:tcPr>
          <w:p>
            <w:pPr>
              <w:jc w:val="right"/>
              <w:ind w:right="580"/>
              <w:spacing w:after="0" w:line="175" w:lineRule="exact"/>
              <w:rPr>
                <w:sz w:val="20"/>
                <w:szCs w:val="20"/>
                <w:color w:val="auto"/>
              </w:rPr>
            </w:pPr>
            <w:r>
              <w:rPr>
                <w:rFonts w:ascii="Arial" w:cs="Arial" w:eastAsia="Arial" w:hAnsi="Arial"/>
                <w:sz w:val="16"/>
                <w:szCs w:val="16"/>
                <w:color w:val="auto"/>
              </w:rPr>
              <w:t>(117,518)</w:t>
            </w:r>
          </w:p>
        </w:tc>
      </w:tr>
      <w:tr>
        <w:trPr>
          <w:trHeight w:val="190"/>
        </w:trPr>
        <w:tc>
          <w:tcPr>
            <w:tcW w:w="6560" w:type="dxa"/>
            <w:vAlign w:val="bottom"/>
          </w:tcPr>
          <w:p>
            <w:pPr>
              <w:ind w:left="980"/>
              <w:spacing w:after="0"/>
              <w:rPr>
                <w:sz w:val="20"/>
                <w:szCs w:val="20"/>
                <w:color w:val="auto"/>
              </w:rPr>
            </w:pPr>
            <w:r>
              <w:rPr>
                <w:rFonts w:ascii="Arial" w:cs="Arial" w:eastAsia="Arial" w:hAnsi="Arial"/>
                <w:sz w:val="16"/>
                <w:szCs w:val="16"/>
                <w:color w:val="auto"/>
              </w:rPr>
              <w:t>Interest expense on insurance contracts issued (interest on CSM)</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23,975</w:t>
            </w:r>
          </w:p>
        </w:tc>
        <w:tc>
          <w:tcPr>
            <w:tcW w:w="1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28,279</w:t>
            </w:r>
          </w:p>
        </w:tc>
        <w:tc>
          <w:tcPr>
            <w:tcW w:w="1780" w:type="dxa"/>
            <w:vAlign w:val="bottom"/>
            <w:gridSpan w:val="3"/>
          </w:tcPr>
          <w:p>
            <w:pPr>
              <w:jc w:val="right"/>
              <w:ind w:right="640"/>
              <w:spacing w:after="0"/>
              <w:rPr>
                <w:sz w:val="20"/>
                <w:szCs w:val="20"/>
                <w:color w:val="auto"/>
              </w:rPr>
            </w:pPr>
            <w:r>
              <w:rPr>
                <w:rFonts w:ascii="Arial" w:cs="Arial" w:eastAsia="Arial" w:hAnsi="Arial"/>
                <w:sz w:val="16"/>
                <w:szCs w:val="16"/>
                <w:color w:val="auto"/>
              </w:rPr>
              <w:t>38,896</w:t>
            </w:r>
          </w:p>
        </w:tc>
      </w:tr>
      <w:tr>
        <w:trPr>
          <w:trHeight w:val="152"/>
        </w:trPr>
        <w:tc>
          <w:tcPr>
            <w:tcW w:w="6560" w:type="dxa"/>
            <w:vAlign w:val="bottom"/>
          </w:tcPr>
          <w:p>
            <w:pPr>
              <w:ind w:left="840"/>
              <w:spacing w:after="0" w:line="152" w:lineRule="exact"/>
              <w:rPr>
                <w:sz w:val="20"/>
                <w:szCs w:val="20"/>
                <w:color w:val="auto"/>
              </w:rPr>
            </w:pPr>
            <w:r>
              <w:rPr>
                <w:rFonts w:ascii="Arial" w:cs="Arial" w:eastAsia="Arial" w:hAnsi="Arial"/>
                <w:sz w:val="16"/>
                <w:szCs w:val="16"/>
                <w:color w:val="auto"/>
              </w:rPr>
              <w:t>Changes related to the current service</w:t>
            </w:r>
          </w:p>
        </w:tc>
        <w:tc>
          <w:tcPr>
            <w:tcW w:w="54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20"/>
              <w:spacing w:after="0" w:line="152" w:lineRule="exact"/>
              <w:rPr>
                <w:sz w:val="20"/>
                <w:szCs w:val="20"/>
                <w:color w:val="auto"/>
              </w:rPr>
            </w:pPr>
            <w:r>
              <w:rPr>
                <w:rFonts w:ascii="Arial" w:cs="Arial" w:eastAsia="Arial" w:hAnsi="Arial"/>
                <w:sz w:val="16"/>
                <w:szCs w:val="16"/>
                <w:color w:val="auto"/>
              </w:rPr>
              <w:t>(68,020)</w:t>
            </w:r>
          </w:p>
        </w:tc>
        <w:tc>
          <w:tcPr>
            <w:tcW w:w="160" w:type="dxa"/>
            <w:vAlign w:val="bottom"/>
          </w:tcPr>
          <w:p>
            <w:pPr>
              <w:spacing w:after="0"/>
              <w:rPr>
                <w:sz w:val="13"/>
                <w:szCs w:val="13"/>
                <w:color w:val="auto"/>
              </w:rPr>
            </w:pPr>
          </w:p>
        </w:tc>
        <w:tc>
          <w:tcPr>
            <w:tcW w:w="10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(74,599)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(78,622)</w:t>
            </w:r>
          </w:p>
        </w:tc>
        <w:tc>
          <w:tcPr>
            <w:tcW w:w="640" w:type="dxa"/>
            <w:vAlign w:val="bottom"/>
          </w:tcPr>
          <w:p>
            <w:pPr>
              <w:spacing w:after="0"/>
              <w:rPr>
                <w:sz w:val="13"/>
                <w:szCs w:val="13"/>
                <w:color w:val="auto"/>
              </w:rPr>
            </w:pPr>
          </w:p>
        </w:tc>
      </w:tr>
      <w:tr>
        <w:trPr>
          <w:trHeight w:val="190"/>
        </w:trPr>
        <w:tc>
          <w:tcPr>
            <w:tcW w:w="6560" w:type="dxa"/>
            <w:vAlign w:val="bottom"/>
          </w:tcPr>
          <w:p>
            <w:pPr>
              <w:ind w:left="840"/>
              <w:spacing w:after="0"/>
              <w:rPr>
                <w:sz w:val="20"/>
                <w:szCs w:val="20"/>
                <w:color w:val="auto"/>
              </w:rPr>
            </w:pPr>
            <w:r>
              <w:rPr>
                <w:rFonts w:ascii="Arial" w:cs="Arial" w:eastAsia="Arial" w:hAnsi="Arial"/>
                <w:sz w:val="16"/>
                <w:szCs w:val="16"/>
                <w:color w:val="auto"/>
              </w:rPr>
              <w:t>Other changes</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9,324</w:t>
            </w:r>
          </w:p>
        </w:tc>
        <w:tc>
          <w:tcPr>
            <w:tcW w:w="16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(18,896)</w:t>
            </w:r>
          </w:p>
        </w:tc>
        <w:tc>
          <w:tcPr>
            <w:tcW w:w="1780" w:type="dxa"/>
            <w:vAlign w:val="bottom"/>
            <w:gridSpan w:val="3"/>
          </w:tcPr>
          <w:p>
            <w:pPr>
              <w:jc w:val="right"/>
              <w:ind w:right="580"/>
              <w:spacing w:after="0"/>
              <w:rPr>
                <w:sz w:val="20"/>
                <w:szCs w:val="20"/>
                <w:color w:val="auto"/>
              </w:rPr>
            </w:pPr>
            <w:r>
              <w:rPr>
                <w:rFonts w:ascii="Arial" w:cs="Arial" w:eastAsia="Arial" w:hAnsi="Arial"/>
                <w:sz w:val="16"/>
                <w:szCs w:val="16"/>
                <w:color w:val="auto"/>
              </w:rPr>
              <w:t>(38,970)</w:t>
            </w:r>
          </w:p>
        </w:tc>
      </w:tr>
      <w:tr>
        <w:trPr>
          <w:trHeight w:val="170"/>
        </w:trPr>
        <w:tc>
          <w:tcPr>
            <w:tcW w:w="6560" w:type="dxa"/>
            <w:vAlign w:val="bottom"/>
          </w:tcPr>
          <w:p>
            <w:pPr>
              <w:ind w:left="840"/>
              <w:spacing w:after="0" w:line="167" w:lineRule="exact"/>
              <w:rPr>
                <w:sz w:val="20"/>
                <w:szCs w:val="20"/>
                <w:color w:val="auto"/>
              </w:rPr>
            </w:pPr>
            <w:r>
              <w:rPr>
                <w:rFonts w:ascii="Arial" w:cs="Arial" w:eastAsia="Arial" w:hAnsi="Arial"/>
                <w:sz w:val="16"/>
                <w:szCs w:val="16"/>
                <w:b w:val="1"/>
                <w:bCs w:val="1"/>
                <w:color w:val="auto"/>
              </w:rPr>
              <w:t>CSM at the end of the period</w:t>
            </w:r>
          </w:p>
        </w:tc>
        <w:tc>
          <w:tcPr>
            <w:tcW w:w="5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794,935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887,586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992,526</w:t>
            </w:r>
          </w:p>
        </w:tc>
        <w:tc>
          <w:tcPr>
            <w:tcW w:w="640" w:type="dxa"/>
            <w:vAlign w:val="bottom"/>
          </w:tcPr>
          <w:p>
            <w:pPr>
              <w:spacing w:after="0"/>
              <w:rPr>
                <w:sz w:val="14"/>
                <w:szCs w:val="14"/>
                <w:color w:val="auto"/>
              </w:rPr>
            </w:pPr>
          </w:p>
        </w:tc>
      </w:tr>
      <w:tr>
        <w:trPr>
          <w:trHeight w:val="472"/>
        </w:trPr>
        <w:tc>
          <w:tcPr>
            <w:tcW w:w="6560" w:type="dxa"/>
            <w:vAlign w:val="bottom"/>
          </w:tcPr>
          <w:p>
            <w:pPr>
              <w:ind w:left="5480"/>
              <w:spacing w:after="0"/>
              <w:rPr>
                <w:sz w:val="20"/>
                <w:szCs w:val="20"/>
                <w:color w:val="auto"/>
              </w:rPr>
            </w:pPr>
            <w:r>
              <w:rPr>
                <w:rFonts w:ascii="Arial" w:cs="Arial" w:eastAsia="Arial" w:hAnsi="Arial"/>
                <w:sz w:val="12"/>
                <w:szCs w:val="12"/>
                <w:color w:val="auto"/>
              </w:rPr>
              <w:t>-110-</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
        </w:trPr>
        <w:tc>
          <w:tcPr>
            <w:tcW w:w="6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113" w:name="page114"/>
    <w:bookmarkEnd w:id="113"/>
    <w:p>
      <w:pPr>
        <w:ind w:left="567" w:right="7720" w:hanging="567"/>
        <w:spacing w:after="0" w:line="589" w:lineRule="auto"/>
        <w:tabs>
          <w:tab w:leader="none" w:pos="567" w:val="left"/>
        </w:tabs>
        <w:numPr>
          <w:ilvl w:val="0"/>
          <w:numId w:val="13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SALARIES AND EMPLOYEES BENEFITS </w:t>
      </w:r>
      <w:r>
        <w:rPr>
          <w:rFonts w:ascii="Arial" w:cs="Arial" w:eastAsia="Arial" w:hAnsi="Arial"/>
          <w:sz w:val="14"/>
          <w:szCs w:val="14"/>
          <w:color w:val="auto"/>
        </w:rPr>
        <w:t>This item consists of the following:</w:t>
      </w:r>
    </w:p>
    <w:p>
      <w:pPr>
        <w:spacing w:after="0" w:line="84" w:lineRule="exact"/>
        <w:rPr>
          <w:sz w:val="20"/>
          <w:szCs w:val="20"/>
          <w:color w:val="auto"/>
        </w:rPr>
      </w:pPr>
    </w:p>
    <w:tbl>
      <w:tblPr>
        <w:tblLayout w:type="fixed"/>
        <w:tblInd w:w="7" w:type="dxa"/>
        <w:tblCellMar>
          <w:top w:w="0" w:type="dxa"/>
          <w:left w:w="0" w:type="dxa"/>
          <w:bottom w:w="0" w:type="dxa"/>
          <w:right w:w="0" w:type="dxa"/>
        </w:tblCellMar>
      </w:tblPr>
      <w:tr>
        <w:trPr>
          <w:trHeight w:val="192"/>
        </w:trPr>
        <w:tc>
          <w:tcPr>
            <w:tcW w:w="3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62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6"/>
                <w:szCs w:val="16"/>
                <w:color w:val="auto"/>
              </w:rPr>
            </w:pPr>
          </w:p>
        </w:tc>
        <w:tc>
          <w:tcPr>
            <w:tcW w:w="1200" w:type="dxa"/>
            <w:vAlign w:val="bottom"/>
            <w:gridSpan w:val="2"/>
          </w:tcPr>
          <w:p>
            <w:pPr>
              <w:jc w:val="right"/>
              <w:ind w:right="682"/>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16"/>
                <w:szCs w:val="16"/>
                <w:color w:val="auto"/>
              </w:rPr>
            </w:pPr>
          </w:p>
        </w:tc>
      </w:tr>
      <w:tr>
        <w:trPr>
          <w:trHeight w:val="206"/>
        </w:trPr>
        <w:tc>
          <w:tcPr>
            <w:tcW w:w="3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6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r>
      <w:tr>
        <w:trPr>
          <w:trHeight w:val="296"/>
        </w:trPr>
        <w:tc>
          <w:tcPr>
            <w:tcW w:w="360" w:type="dxa"/>
            <w:vAlign w:val="bottom"/>
          </w:tcPr>
          <w:p>
            <w:pPr>
              <w:spacing w:after="0"/>
              <w:rPr>
                <w:sz w:val="24"/>
                <w:szCs w:val="24"/>
                <w:color w:val="auto"/>
              </w:rPr>
            </w:pPr>
          </w:p>
        </w:tc>
        <w:tc>
          <w:tcPr>
            <w:tcW w:w="4080" w:type="dxa"/>
            <w:vAlign w:val="bottom"/>
          </w:tcPr>
          <w:p>
            <w:pPr>
              <w:ind w:left="200"/>
              <w:spacing w:after="0"/>
              <w:rPr>
                <w:sz w:val="20"/>
                <w:szCs w:val="20"/>
                <w:color w:val="auto"/>
              </w:rPr>
            </w:pPr>
            <w:r>
              <w:rPr>
                <w:rFonts w:ascii="Arial" w:cs="Arial" w:eastAsia="Arial" w:hAnsi="Arial"/>
                <w:sz w:val="16"/>
                <w:szCs w:val="16"/>
                <w:color w:val="auto"/>
              </w:rPr>
              <w:t>Salaries</w:t>
            </w:r>
          </w:p>
        </w:tc>
        <w:tc>
          <w:tcPr>
            <w:tcW w:w="3820" w:type="dxa"/>
            <w:vAlign w:val="bottom"/>
            <w:gridSpan w:val="3"/>
          </w:tcPr>
          <w:p>
            <w:pPr>
              <w:jc w:val="right"/>
              <w:ind w:right="200"/>
              <w:spacing w:after="0"/>
              <w:rPr>
                <w:sz w:val="20"/>
                <w:szCs w:val="20"/>
                <w:color w:val="auto"/>
              </w:rPr>
            </w:pPr>
            <w:r>
              <w:rPr>
                <w:rFonts w:ascii="Arial" w:cs="Arial" w:eastAsia="Arial" w:hAnsi="Arial"/>
                <w:sz w:val="16"/>
                <w:szCs w:val="16"/>
                <w:color w:val="auto"/>
              </w:rPr>
              <w:t>2,624,359</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2,430,121</w:t>
            </w:r>
          </w:p>
        </w:tc>
        <w:tc>
          <w:tcPr>
            <w:tcW w:w="1840" w:type="dxa"/>
            <w:vAlign w:val="bottom"/>
            <w:gridSpan w:val="3"/>
          </w:tcPr>
          <w:p>
            <w:pPr>
              <w:jc w:val="right"/>
              <w:ind w:right="640"/>
              <w:spacing w:after="0"/>
              <w:rPr>
                <w:sz w:val="20"/>
                <w:szCs w:val="20"/>
                <w:color w:val="auto"/>
              </w:rPr>
            </w:pPr>
            <w:r>
              <w:rPr>
                <w:rFonts w:ascii="Arial" w:cs="Arial" w:eastAsia="Arial" w:hAnsi="Arial"/>
                <w:sz w:val="16"/>
                <w:szCs w:val="16"/>
                <w:color w:val="auto"/>
              </w:rPr>
              <w:t>2,176,165</w:t>
            </w: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Vacations, medical assistance and others</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446,715</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433,441</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357,879</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Additional participation</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349,829</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276,177</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271,995</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Bonuses</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342,380</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320,084</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301,097</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Workers profit sharing</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335,164</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286,895</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311,459</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Social security</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275,083</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254,770</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234,867</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Severance indemnities</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198,058</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180,637</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167,020</w:t>
            </w:r>
          </w:p>
        </w:tc>
        <w:tc>
          <w:tcPr>
            <w:tcW w:w="640" w:type="dxa"/>
            <w:vAlign w:val="bottom"/>
          </w:tcPr>
          <w:p>
            <w:pPr>
              <w:spacing w:after="0"/>
              <w:rPr>
                <w:sz w:val="15"/>
                <w:szCs w:val="15"/>
                <w:color w:val="auto"/>
              </w:rPr>
            </w:pPr>
          </w:p>
        </w:tc>
      </w:tr>
      <w:tr>
        <w:trPr>
          <w:trHeight w:val="190"/>
        </w:trPr>
        <w:tc>
          <w:tcPr>
            <w:tcW w:w="360" w:type="dxa"/>
            <w:vAlign w:val="bottom"/>
          </w:tcPr>
          <w:p>
            <w:pPr>
              <w:spacing w:after="0"/>
              <w:rPr>
                <w:sz w:val="16"/>
                <w:szCs w:val="16"/>
                <w:color w:val="auto"/>
              </w:rPr>
            </w:pPr>
          </w:p>
        </w:tc>
        <w:tc>
          <w:tcPr>
            <w:tcW w:w="4080" w:type="dxa"/>
            <w:vAlign w:val="bottom"/>
          </w:tcPr>
          <w:p>
            <w:pPr>
              <w:ind w:left="200"/>
              <w:spacing w:after="0"/>
              <w:rPr>
                <w:sz w:val="20"/>
                <w:szCs w:val="20"/>
                <w:color w:val="auto"/>
              </w:rPr>
            </w:pPr>
            <w:r>
              <w:rPr>
                <w:rFonts w:ascii="Arial" w:cs="Arial" w:eastAsia="Arial" w:hAnsi="Arial"/>
                <w:sz w:val="16"/>
                <w:szCs w:val="16"/>
                <w:color w:val="auto"/>
              </w:rPr>
              <w:t>Share-based payment plans</w:t>
            </w:r>
          </w:p>
        </w:tc>
        <w:tc>
          <w:tcPr>
            <w:tcW w:w="3620" w:type="dxa"/>
            <w:vAlign w:val="bottom"/>
            <w:gridSpan w:val="2"/>
          </w:tcPr>
          <w:p>
            <w:pPr>
              <w:jc w:val="right"/>
              <w:spacing w:after="0"/>
              <w:rPr>
                <w:sz w:val="20"/>
                <w:szCs w:val="20"/>
                <w:color w:val="auto"/>
              </w:rPr>
            </w:pPr>
            <w:r>
              <w:rPr>
                <w:rFonts w:ascii="Arial" w:cs="Arial" w:eastAsia="Arial" w:hAnsi="Arial"/>
                <w:sz w:val="16"/>
                <w:szCs w:val="16"/>
                <w:color w:val="auto"/>
              </w:rPr>
              <w:t>104,848</w:t>
            </w:r>
          </w:p>
        </w:tc>
        <w:tc>
          <w:tcPr>
            <w:tcW w:w="2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83,328</w:t>
            </w:r>
          </w:p>
        </w:tc>
        <w:tc>
          <w:tcPr>
            <w:tcW w:w="1840" w:type="dxa"/>
            <w:vAlign w:val="bottom"/>
            <w:gridSpan w:val="3"/>
          </w:tcPr>
          <w:p>
            <w:pPr>
              <w:jc w:val="right"/>
              <w:ind w:right="640"/>
              <w:spacing w:after="0"/>
              <w:rPr>
                <w:sz w:val="20"/>
                <w:szCs w:val="20"/>
                <w:color w:val="auto"/>
              </w:rPr>
            </w:pPr>
            <w:r>
              <w:rPr>
                <w:rFonts w:ascii="Arial" w:cs="Arial" w:eastAsia="Arial" w:hAnsi="Arial"/>
                <w:sz w:val="16"/>
                <w:szCs w:val="16"/>
                <w:color w:val="auto"/>
              </w:rPr>
              <w:t>81,679</w:t>
            </w:r>
          </w:p>
        </w:tc>
      </w:tr>
      <w:tr>
        <w:trPr>
          <w:trHeight w:val="170"/>
        </w:trPr>
        <w:tc>
          <w:tcPr>
            <w:tcW w:w="360" w:type="dxa"/>
            <w:vAlign w:val="bottom"/>
          </w:tcPr>
          <w:p>
            <w:pPr>
              <w:spacing w:after="0"/>
              <w:rPr>
                <w:sz w:val="14"/>
                <w:szCs w:val="14"/>
                <w:color w:val="auto"/>
              </w:rPr>
            </w:pPr>
          </w:p>
        </w:tc>
        <w:tc>
          <w:tcPr>
            <w:tcW w:w="4080" w:type="dxa"/>
            <w:vAlign w:val="bottom"/>
          </w:tcPr>
          <w:p>
            <w:pPr>
              <w:ind w:left="200"/>
              <w:spacing w:after="0" w:line="167" w:lineRule="exact"/>
              <w:rPr>
                <w:sz w:val="20"/>
                <w:szCs w:val="20"/>
                <w:color w:val="auto"/>
              </w:rPr>
            </w:pPr>
            <w:r>
              <w:rPr>
                <w:rFonts w:ascii="Arial" w:cs="Arial" w:eastAsia="Arial" w:hAnsi="Arial"/>
                <w:sz w:val="16"/>
                <w:szCs w:val="16"/>
                <w:b w:val="1"/>
                <w:bCs w:val="1"/>
                <w:color w:val="auto"/>
              </w:rPr>
              <w:t>Total</w:t>
            </w:r>
          </w:p>
        </w:tc>
        <w:tc>
          <w:tcPr>
            <w:tcW w:w="25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4,676,436</w:t>
            </w:r>
          </w:p>
        </w:tc>
        <w:tc>
          <w:tcPr>
            <w:tcW w:w="2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4,265,453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3,902,161</w:t>
            </w:r>
          </w:p>
        </w:tc>
        <w:tc>
          <w:tcPr>
            <w:tcW w:w="640" w:type="dxa"/>
            <w:vAlign w:val="bottom"/>
          </w:tcPr>
          <w:p>
            <w:pPr>
              <w:spacing w:after="0"/>
              <w:rPr>
                <w:sz w:val="14"/>
                <w:szCs w:val="14"/>
                <w:color w:val="auto"/>
              </w:rPr>
            </w:pPr>
          </w:p>
        </w:tc>
      </w:tr>
      <w:tr>
        <w:trPr>
          <w:trHeight w:val="373"/>
        </w:trPr>
        <w:tc>
          <w:tcPr>
            <w:tcW w:w="360" w:type="dxa"/>
            <w:vAlign w:val="bottom"/>
          </w:tcPr>
          <w:p>
            <w:pPr>
              <w:jc w:val="right"/>
              <w:ind w:right="122"/>
              <w:spacing w:after="0"/>
              <w:rPr>
                <w:sz w:val="20"/>
                <w:szCs w:val="20"/>
                <w:color w:val="auto"/>
              </w:rPr>
            </w:pPr>
            <w:r>
              <w:rPr>
                <w:rFonts w:ascii="Arial" w:cs="Arial" w:eastAsia="Arial" w:hAnsi="Arial"/>
                <w:sz w:val="16"/>
                <w:szCs w:val="16"/>
                <w:b w:val="1"/>
                <w:bCs w:val="1"/>
                <w:color w:val="auto"/>
                <w:w w:val="78"/>
              </w:rPr>
              <w:t>24</w:t>
            </w:r>
          </w:p>
        </w:tc>
        <w:tc>
          <w:tcPr>
            <w:tcW w:w="4080" w:type="dxa"/>
            <w:vAlign w:val="bottom"/>
          </w:tcPr>
          <w:p>
            <w:pPr>
              <w:ind w:left="200"/>
              <w:spacing w:after="0"/>
              <w:rPr>
                <w:sz w:val="20"/>
                <w:szCs w:val="20"/>
                <w:color w:val="auto"/>
              </w:rPr>
            </w:pPr>
            <w:r>
              <w:rPr>
                <w:rFonts w:ascii="Arial" w:cs="Arial" w:eastAsia="Arial" w:hAnsi="Arial"/>
                <w:sz w:val="16"/>
                <w:szCs w:val="16"/>
                <w:b w:val="1"/>
                <w:bCs w:val="1"/>
                <w:color w:val="auto"/>
              </w:rPr>
              <w:t>ADMINISTRATIVE EXPENSES</w:t>
            </w:r>
          </w:p>
        </w:tc>
        <w:tc>
          <w:tcPr>
            <w:tcW w:w="2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2"/>
        </w:trPr>
        <w:tc>
          <w:tcPr>
            <w:tcW w:w="360" w:type="dxa"/>
            <w:vAlign w:val="bottom"/>
          </w:tcPr>
          <w:p>
            <w:pPr>
              <w:spacing w:after="0"/>
              <w:rPr>
                <w:sz w:val="24"/>
                <w:szCs w:val="24"/>
                <w:color w:val="auto"/>
              </w:rPr>
            </w:pPr>
          </w:p>
        </w:tc>
        <w:tc>
          <w:tcPr>
            <w:tcW w:w="4080" w:type="dxa"/>
            <w:vAlign w:val="bottom"/>
          </w:tcPr>
          <w:p>
            <w:pPr>
              <w:ind w:left="200"/>
              <w:spacing w:after="0"/>
              <w:rPr>
                <w:sz w:val="20"/>
                <w:szCs w:val="20"/>
                <w:color w:val="auto"/>
              </w:rPr>
            </w:pPr>
            <w:r>
              <w:rPr>
                <w:rFonts w:ascii="Arial" w:cs="Arial" w:eastAsia="Arial" w:hAnsi="Arial"/>
                <w:sz w:val="16"/>
                <w:szCs w:val="16"/>
                <w:color w:val="auto"/>
              </w:rPr>
              <w:t>This item consists of the following:</w:t>
            </w:r>
          </w:p>
        </w:tc>
        <w:tc>
          <w:tcPr>
            <w:tcW w:w="2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5"/>
        </w:trPr>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62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24"/>
                <w:szCs w:val="24"/>
                <w:color w:val="auto"/>
              </w:rPr>
            </w:pPr>
          </w:p>
        </w:tc>
        <w:tc>
          <w:tcPr>
            <w:tcW w:w="1200" w:type="dxa"/>
            <w:vAlign w:val="bottom"/>
            <w:gridSpan w:val="2"/>
          </w:tcPr>
          <w:p>
            <w:pPr>
              <w:jc w:val="right"/>
              <w:ind w:right="682"/>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24"/>
                <w:szCs w:val="24"/>
                <w:color w:val="auto"/>
              </w:rPr>
            </w:pPr>
          </w:p>
        </w:tc>
      </w:tr>
      <w:tr>
        <w:trPr>
          <w:trHeight w:val="206"/>
        </w:trPr>
        <w:tc>
          <w:tcPr>
            <w:tcW w:w="3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6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r>
      <w:tr>
        <w:trPr>
          <w:trHeight w:val="296"/>
        </w:trPr>
        <w:tc>
          <w:tcPr>
            <w:tcW w:w="360" w:type="dxa"/>
            <w:vAlign w:val="bottom"/>
          </w:tcPr>
          <w:p>
            <w:pPr>
              <w:spacing w:after="0"/>
              <w:rPr>
                <w:sz w:val="24"/>
                <w:szCs w:val="24"/>
                <w:color w:val="auto"/>
              </w:rPr>
            </w:pPr>
          </w:p>
        </w:tc>
        <w:tc>
          <w:tcPr>
            <w:tcW w:w="4080" w:type="dxa"/>
            <w:vAlign w:val="bottom"/>
          </w:tcPr>
          <w:p>
            <w:pPr>
              <w:ind w:left="200"/>
              <w:spacing w:after="0"/>
              <w:rPr>
                <w:sz w:val="20"/>
                <w:szCs w:val="20"/>
                <w:color w:val="auto"/>
              </w:rPr>
            </w:pPr>
            <w:r>
              <w:rPr>
                <w:rFonts w:ascii="Arial" w:cs="Arial" w:eastAsia="Arial" w:hAnsi="Arial"/>
                <w:sz w:val="16"/>
                <w:szCs w:val="16"/>
                <w:color w:val="auto"/>
              </w:rPr>
              <w:t>Systems expenses</w:t>
            </w:r>
          </w:p>
        </w:tc>
        <w:tc>
          <w:tcPr>
            <w:tcW w:w="3820" w:type="dxa"/>
            <w:vAlign w:val="bottom"/>
            <w:gridSpan w:val="3"/>
          </w:tcPr>
          <w:p>
            <w:pPr>
              <w:jc w:val="right"/>
              <w:ind w:right="200"/>
              <w:spacing w:after="0"/>
              <w:rPr>
                <w:sz w:val="20"/>
                <w:szCs w:val="20"/>
                <w:color w:val="auto"/>
              </w:rPr>
            </w:pPr>
            <w:r>
              <w:rPr>
                <w:rFonts w:ascii="Arial" w:cs="Arial" w:eastAsia="Arial" w:hAnsi="Arial"/>
                <w:sz w:val="16"/>
                <w:szCs w:val="16"/>
                <w:color w:val="auto"/>
              </w:rPr>
              <w:t>1,251,424</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1,080,001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908,339</w:t>
            </w:r>
          </w:p>
        </w:tc>
        <w:tc>
          <w:tcPr>
            <w:tcW w:w="640" w:type="dxa"/>
            <w:vAlign w:val="bottom"/>
          </w:tcPr>
          <w:p>
            <w:pPr>
              <w:spacing w:after="0"/>
              <w:rPr>
                <w:sz w:val="24"/>
                <w:szCs w:val="24"/>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Publicity</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770,965</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720,718</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652,587</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Consulting and professional fees</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407,508</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336,715</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333,325</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Taxes and contributions</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382,711</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264,326</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280,171</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Transport and communications</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244,255</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226,860</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225,491</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Repair and maintenance</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154,533</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157,127</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136,105</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Lease</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124,781</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108,357</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91,680</w:t>
            </w: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Comissions by agents</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118,156</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115,120</w:t>
            </w:r>
          </w:p>
        </w:tc>
        <w:tc>
          <w:tcPr>
            <w:tcW w:w="1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106,356</w:t>
            </w:r>
          </w:p>
        </w:tc>
        <w:tc>
          <w:tcPr>
            <w:tcW w:w="640" w:type="dxa"/>
            <w:vAlign w:val="bottom"/>
          </w:tcPr>
          <w:p>
            <w:pPr>
              <w:spacing w:after="0"/>
              <w:rPr>
                <w:sz w:val="15"/>
                <w:szCs w:val="15"/>
                <w:color w:val="auto"/>
              </w:rPr>
            </w:pP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Outsourcing</w:t>
            </w:r>
          </w:p>
        </w:tc>
        <w:tc>
          <w:tcPr>
            <w:tcW w:w="36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107,274</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144,534</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113,211</w:t>
            </w: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Sundry supplies</w:t>
            </w:r>
          </w:p>
        </w:tc>
        <w:tc>
          <w:tcPr>
            <w:tcW w:w="38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91,769</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118,510</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87,844</w:t>
            </w: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Subscriptions and quotes</w:t>
            </w:r>
          </w:p>
        </w:tc>
        <w:tc>
          <w:tcPr>
            <w:tcW w:w="38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74,002</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61,945</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55,914</w:t>
            </w: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Security and protection</w:t>
            </w:r>
          </w:p>
        </w:tc>
        <w:tc>
          <w:tcPr>
            <w:tcW w:w="38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65,970</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64,432</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64,480</w:t>
            </w: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Insurance</w:t>
            </w:r>
          </w:p>
        </w:tc>
        <w:tc>
          <w:tcPr>
            <w:tcW w:w="38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55,150</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56,324</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62,994</w:t>
            </w: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Electricity and water</w:t>
            </w:r>
          </w:p>
        </w:tc>
        <w:tc>
          <w:tcPr>
            <w:tcW w:w="38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52,260</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56,359</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50,566</w:t>
            </w: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Electronic processing</w:t>
            </w:r>
          </w:p>
        </w:tc>
        <w:tc>
          <w:tcPr>
            <w:tcW w:w="38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29,466</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39,764</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35,896</w:t>
            </w:r>
          </w:p>
        </w:tc>
      </w:tr>
      <w:tr>
        <w:trPr>
          <w:trHeight w:val="175"/>
        </w:trPr>
        <w:tc>
          <w:tcPr>
            <w:tcW w:w="360" w:type="dxa"/>
            <w:vAlign w:val="bottom"/>
          </w:tcPr>
          <w:p>
            <w:pPr>
              <w:spacing w:after="0"/>
              <w:rPr>
                <w:sz w:val="15"/>
                <w:szCs w:val="15"/>
                <w:color w:val="auto"/>
              </w:rPr>
            </w:pPr>
          </w:p>
        </w:tc>
        <w:tc>
          <w:tcPr>
            <w:tcW w:w="4080" w:type="dxa"/>
            <w:vAlign w:val="bottom"/>
          </w:tcPr>
          <w:p>
            <w:pPr>
              <w:ind w:left="200"/>
              <w:spacing w:after="0" w:line="175" w:lineRule="exact"/>
              <w:rPr>
                <w:sz w:val="20"/>
                <w:szCs w:val="20"/>
                <w:color w:val="auto"/>
              </w:rPr>
            </w:pPr>
            <w:r>
              <w:rPr>
                <w:rFonts w:ascii="Arial" w:cs="Arial" w:eastAsia="Arial" w:hAnsi="Arial"/>
                <w:sz w:val="16"/>
                <w:szCs w:val="16"/>
                <w:color w:val="auto"/>
              </w:rPr>
              <w:t>Cleaning</w:t>
            </w:r>
          </w:p>
        </w:tc>
        <w:tc>
          <w:tcPr>
            <w:tcW w:w="38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25,549</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22,677</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20,435</w:t>
            </w:r>
          </w:p>
        </w:tc>
      </w:tr>
      <w:tr>
        <w:trPr>
          <w:trHeight w:val="190"/>
        </w:trPr>
        <w:tc>
          <w:tcPr>
            <w:tcW w:w="360" w:type="dxa"/>
            <w:vAlign w:val="bottom"/>
          </w:tcPr>
          <w:p>
            <w:pPr>
              <w:spacing w:after="0"/>
              <w:rPr>
                <w:sz w:val="16"/>
                <w:szCs w:val="16"/>
                <w:color w:val="auto"/>
              </w:rPr>
            </w:pPr>
          </w:p>
        </w:tc>
        <w:tc>
          <w:tcPr>
            <w:tcW w:w="4080" w:type="dxa"/>
            <w:vAlign w:val="bottom"/>
          </w:tcPr>
          <w:p>
            <w:pPr>
              <w:ind w:left="200"/>
              <w:spacing w:after="0"/>
              <w:rPr>
                <w:sz w:val="20"/>
                <w:szCs w:val="20"/>
                <w:color w:val="auto"/>
              </w:rPr>
            </w:pPr>
            <w:r>
              <w:rPr>
                <w:rFonts w:ascii="Arial" w:cs="Arial" w:eastAsia="Arial" w:hAnsi="Arial"/>
                <w:sz w:val="16"/>
                <w:szCs w:val="16"/>
                <w:color w:val="auto"/>
              </w:rPr>
              <w:t>Others</w:t>
            </w:r>
          </w:p>
        </w:tc>
        <w:tc>
          <w:tcPr>
            <w:tcW w:w="3620" w:type="dxa"/>
            <w:vAlign w:val="bottom"/>
            <w:gridSpan w:val="2"/>
          </w:tcPr>
          <w:p>
            <w:pPr>
              <w:jc w:val="right"/>
              <w:spacing w:after="0"/>
              <w:rPr>
                <w:sz w:val="20"/>
                <w:szCs w:val="20"/>
                <w:color w:val="auto"/>
              </w:rPr>
            </w:pPr>
            <w:r>
              <w:rPr>
                <w:rFonts w:ascii="Arial" w:cs="Arial" w:eastAsia="Arial" w:hAnsi="Arial"/>
                <w:sz w:val="16"/>
                <w:szCs w:val="16"/>
                <w:color w:val="auto"/>
              </w:rPr>
              <w:t>228,002</w:t>
            </w:r>
          </w:p>
        </w:tc>
        <w:tc>
          <w:tcPr>
            <w:tcW w:w="2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229,434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188,671</w:t>
            </w:r>
          </w:p>
        </w:tc>
        <w:tc>
          <w:tcPr>
            <w:tcW w:w="640" w:type="dxa"/>
            <w:vAlign w:val="bottom"/>
          </w:tcPr>
          <w:p>
            <w:pPr>
              <w:spacing w:after="0"/>
              <w:rPr>
                <w:sz w:val="16"/>
                <w:szCs w:val="16"/>
                <w:color w:val="auto"/>
              </w:rPr>
            </w:pPr>
          </w:p>
        </w:tc>
      </w:tr>
      <w:tr>
        <w:trPr>
          <w:trHeight w:val="170"/>
        </w:trPr>
        <w:tc>
          <w:tcPr>
            <w:tcW w:w="360" w:type="dxa"/>
            <w:vAlign w:val="bottom"/>
          </w:tcPr>
          <w:p>
            <w:pPr>
              <w:spacing w:after="0"/>
              <w:rPr>
                <w:sz w:val="14"/>
                <w:szCs w:val="14"/>
                <w:color w:val="auto"/>
              </w:rPr>
            </w:pPr>
          </w:p>
        </w:tc>
        <w:tc>
          <w:tcPr>
            <w:tcW w:w="4080" w:type="dxa"/>
            <w:vAlign w:val="bottom"/>
          </w:tcPr>
          <w:p>
            <w:pPr>
              <w:ind w:left="200"/>
              <w:spacing w:after="0" w:line="167" w:lineRule="exact"/>
              <w:rPr>
                <w:sz w:val="20"/>
                <w:szCs w:val="20"/>
                <w:color w:val="auto"/>
              </w:rPr>
            </w:pPr>
            <w:r>
              <w:rPr>
                <w:rFonts w:ascii="Arial" w:cs="Arial" w:eastAsia="Arial" w:hAnsi="Arial"/>
                <w:sz w:val="16"/>
                <w:szCs w:val="16"/>
                <w:b w:val="1"/>
                <w:bCs w:val="1"/>
                <w:color w:val="auto"/>
              </w:rPr>
              <w:t>Total</w:t>
            </w:r>
          </w:p>
        </w:tc>
        <w:tc>
          <w:tcPr>
            <w:tcW w:w="25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4,183,775</w:t>
            </w:r>
          </w:p>
        </w:tc>
        <w:tc>
          <w:tcPr>
            <w:tcW w:w="2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3,803,203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3,414,065</w:t>
            </w:r>
          </w:p>
        </w:tc>
        <w:tc>
          <w:tcPr>
            <w:tcW w:w="640" w:type="dxa"/>
            <w:vAlign w:val="bottom"/>
          </w:tcPr>
          <w:p>
            <w:pPr>
              <w:spacing w:after="0"/>
              <w:rPr>
                <w:sz w:val="14"/>
                <w:szCs w:val="14"/>
                <w:color w:val="auto"/>
              </w:rPr>
            </w:pPr>
          </w:p>
        </w:tc>
      </w:tr>
      <w:tr>
        <w:trPr>
          <w:trHeight w:val="472"/>
        </w:trPr>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60" w:type="dxa"/>
            <w:vAlign w:val="bottom"/>
          </w:tcPr>
          <w:p>
            <w:pPr>
              <w:jc w:val="right"/>
              <w:ind w:right="1163"/>
              <w:spacing w:after="0"/>
              <w:rPr>
                <w:sz w:val="20"/>
                <w:szCs w:val="20"/>
                <w:color w:val="auto"/>
              </w:rPr>
            </w:pPr>
            <w:r>
              <w:rPr>
                <w:rFonts w:ascii="Arial" w:cs="Arial" w:eastAsia="Arial" w:hAnsi="Arial"/>
                <w:sz w:val="12"/>
                <w:szCs w:val="12"/>
                <w:color w:val="auto"/>
              </w:rPr>
              <w:t>-111-</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
        </w:trPr>
        <w:tc>
          <w:tcPr>
            <w:tcW w:w="3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67"/>
          </w:cols>
          <w:pgMar w:left="313" w:top="124" w:right="31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0" w:type="dxa"/>
            <w:vAlign w:val="bottom"/>
          </w:tcPr>
          <w:p>
            <w:pPr>
              <w:jc w:val="right"/>
              <w:ind w:right="122"/>
              <w:spacing w:after="0"/>
              <w:rPr>
                <w:sz w:val="20"/>
                <w:szCs w:val="20"/>
                <w:color w:val="auto"/>
              </w:rPr>
            </w:pPr>
            <w:r>
              <w:rPr>
                <w:rFonts w:ascii="Arial" w:cs="Arial" w:eastAsia="Arial" w:hAnsi="Arial"/>
                <w:sz w:val="16"/>
                <w:szCs w:val="16"/>
                <w:b w:val="1"/>
                <w:bCs w:val="1"/>
                <w:color w:val="auto"/>
                <w:w w:val="78"/>
              </w:rPr>
              <w:t>25</w:t>
            </w:r>
          </w:p>
        </w:tc>
        <w:tc>
          <w:tcPr>
            <w:tcW w:w="4780" w:type="dxa"/>
            <w:vAlign w:val="bottom"/>
          </w:tcPr>
          <w:p>
            <w:pPr>
              <w:ind w:left="200"/>
              <w:spacing w:after="0"/>
              <w:rPr>
                <w:sz w:val="20"/>
                <w:szCs w:val="20"/>
                <w:color w:val="auto"/>
              </w:rPr>
            </w:pPr>
            <w:r>
              <w:rPr>
                <w:rFonts w:ascii="Arial" w:cs="Arial" w:eastAsia="Arial" w:hAnsi="Arial"/>
                <w:sz w:val="16"/>
                <w:szCs w:val="16"/>
                <w:b w:val="1"/>
                <w:bCs w:val="1"/>
                <w:color w:val="auto"/>
              </w:rPr>
              <w:t>OTHER INCOME AND EXPENSES</w:t>
            </w:r>
          </w:p>
        </w:tc>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16"/>
                <w:szCs w:val="16"/>
                <w:color w:val="auto"/>
              </w:rPr>
              <w:t>This item consists of the following:</w:t>
            </w: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92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24"/>
                <w:szCs w:val="24"/>
                <w:color w:val="auto"/>
              </w:rPr>
            </w:pPr>
          </w:p>
        </w:tc>
        <w:tc>
          <w:tcPr>
            <w:tcW w:w="1200" w:type="dxa"/>
            <w:vAlign w:val="bottom"/>
            <w:gridSpan w:val="2"/>
          </w:tcPr>
          <w:p>
            <w:pPr>
              <w:jc w:val="right"/>
              <w:ind w:right="682"/>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47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Other income</w:t>
            </w:r>
          </w:p>
        </w:tc>
        <w:tc>
          <w:tcPr>
            <w:tcW w:w="1860" w:type="dxa"/>
            <w:vAlign w:val="bottom"/>
          </w:tcPr>
          <w:p>
            <w:pPr>
              <w:spacing w:after="0"/>
              <w:rPr>
                <w:sz w:val="17"/>
                <w:szCs w:val="17"/>
                <w:color w:val="auto"/>
              </w:rPr>
            </w:pPr>
          </w:p>
        </w:tc>
        <w:tc>
          <w:tcPr>
            <w:tcW w:w="106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478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Reversal of provisions</w:t>
            </w:r>
          </w:p>
        </w:tc>
        <w:tc>
          <w:tcPr>
            <w:tcW w:w="2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151,121</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56,841</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66,531</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Net income from the sale of property, furniture and equipment</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68,037</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1,654</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14,979</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Rental income</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53,077</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46,836</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44,257</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Net income from the sale of investment property</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21,771</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740" w:type="dxa"/>
            <w:vAlign w:val="bottom"/>
            <w:gridSpan w:val="2"/>
          </w:tcPr>
          <w:p>
            <w:pPr>
              <w:jc w:val="right"/>
              <w:ind w:right="64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Net result from sale of loan portfolio</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21,295</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83,515</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18,712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Recovery of other accounts receivable and</w:t>
            </w:r>
          </w:p>
        </w:tc>
        <w:tc>
          <w:tcPr>
            <w:tcW w:w="1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other assets</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3,489</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1,862</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780" w:type="dxa"/>
            <w:vAlign w:val="bottom"/>
          </w:tcPr>
          <w:p>
            <w:pPr>
              <w:ind w:left="200"/>
              <w:spacing w:after="0"/>
              <w:rPr>
                <w:sz w:val="20"/>
                <w:szCs w:val="20"/>
                <w:color w:val="auto"/>
              </w:rPr>
            </w:pPr>
            <w:r>
              <w:rPr>
                <w:rFonts w:ascii="Arial" w:cs="Arial" w:eastAsia="Arial" w:hAnsi="Arial"/>
                <w:sz w:val="16"/>
                <w:szCs w:val="16"/>
                <w:color w:val="auto"/>
              </w:rPr>
              <w:t>Others</w:t>
            </w:r>
          </w:p>
        </w:tc>
        <w:tc>
          <w:tcPr>
            <w:tcW w:w="2920" w:type="dxa"/>
            <w:vAlign w:val="bottom"/>
            <w:gridSpan w:val="2"/>
          </w:tcPr>
          <w:p>
            <w:pPr>
              <w:jc w:val="right"/>
              <w:spacing w:after="0"/>
              <w:rPr>
                <w:sz w:val="20"/>
                <w:szCs w:val="20"/>
                <w:color w:val="auto"/>
              </w:rPr>
            </w:pPr>
            <w:r>
              <w:rPr>
                <w:rFonts w:ascii="Arial" w:cs="Arial" w:eastAsia="Arial" w:hAnsi="Arial"/>
                <w:sz w:val="16"/>
                <w:szCs w:val="16"/>
                <w:color w:val="auto"/>
              </w:rPr>
              <w:t>195,989</w:t>
            </w:r>
          </w:p>
        </w:tc>
        <w:tc>
          <w:tcPr>
            <w:tcW w:w="2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249,945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122,268</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4780" w:type="dxa"/>
            <w:vAlign w:val="bottom"/>
          </w:tcPr>
          <w:p>
            <w:pPr>
              <w:ind w:left="200"/>
              <w:spacing w:after="0" w:line="167" w:lineRule="exact"/>
              <w:rPr>
                <w:sz w:val="20"/>
                <w:szCs w:val="20"/>
                <w:color w:val="auto"/>
              </w:rPr>
            </w:pPr>
            <w:r>
              <w:rPr>
                <w:rFonts w:ascii="Arial" w:cs="Arial" w:eastAsia="Arial" w:hAnsi="Arial"/>
                <w:sz w:val="16"/>
                <w:szCs w:val="16"/>
                <w:b w:val="1"/>
                <w:bCs w:val="1"/>
                <w:color w:val="auto"/>
              </w:rPr>
              <w:t>Total other income</w:t>
            </w:r>
          </w:p>
        </w:tc>
        <w:tc>
          <w:tcPr>
            <w:tcW w:w="18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514,779</w:t>
            </w:r>
          </w:p>
        </w:tc>
        <w:tc>
          <w:tcPr>
            <w:tcW w:w="2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440,653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268,046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92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4"/>
                <w:szCs w:val="24"/>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24"/>
                <w:szCs w:val="24"/>
                <w:color w:val="auto"/>
              </w:rPr>
            </w:pPr>
          </w:p>
        </w:tc>
        <w:tc>
          <w:tcPr>
            <w:tcW w:w="1200" w:type="dxa"/>
            <w:vAlign w:val="bottom"/>
            <w:gridSpan w:val="2"/>
          </w:tcPr>
          <w:p>
            <w:pPr>
              <w:jc w:val="right"/>
              <w:ind w:right="682"/>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47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Other expenses</w:t>
            </w:r>
          </w:p>
        </w:tc>
        <w:tc>
          <w:tcPr>
            <w:tcW w:w="1860" w:type="dxa"/>
            <w:vAlign w:val="bottom"/>
          </w:tcPr>
          <w:p>
            <w:pPr>
              <w:spacing w:after="0"/>
              <w:rPr>
                <w:sz w:val="17"/>
                <w:szCs w:val="17"/>
                <w:color w:val="auto"/>
              </w:rPr>
            </w:pPr>
          </w:p>
        </w:tc>
        <w:tc>
          <w:tcPr>
            <w:tcW w:w="1060" w:type="dxa"/>
            <w:vAlign w:val="bottom"/>
            <w:tcBorders>
              <w:top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S/(000)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4780" w:type="dxa"/>
            <w:vAlign w:val="bottom"/>
            <w:vMerge w:val="continue"/>
          </w:tcPr>
          <w:p>
            <w:pPr>
              <w:spacing w:after="0"/>
              <w:rPr>
                <w:sz w:val="10"/>
                <w:szCs w:val="10"/>
                <w:color w:val="auto"/>
              </w:rPr>
            </w:pPr>
          </w:p>
        </w:tc>
        <w:tc>
          <w:tcPr>
            <w:tcW w:w="18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Provision for sundry risks</w:t>
            </w:r>
          </w:p>
        </w:tc>
        <w:tc>
          <w:tcPr>
            <w:tcW w:w="2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315,214</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95,873</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43,846</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Derecognition of intangibles due to</w:t>
            </w:r>
          </w:p>
        </w:tc>
        <w:tc>
          <w:tcPr>
            <w:tcW w:w="1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withdrawals and dismissed projects</w:t>
            </w:r>
          </w:p>
        </w:tc>
        <w:tc>
          <w:tcPr>
            <w:tcW w:w="2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131,142</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96,978</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25,140</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Losses due to operational risk</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67,030</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66,302</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74,512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Association in participation</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28,269</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53,097</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40,955</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Expenses on improvements in building for rent</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26,060</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17,445</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18,962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Donations</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23,518</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23,354</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16,362</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Provision for other accounts receivable</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12,261</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11,975</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18,736</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4780" w:type="dxa"/>
            <w:vAlign w:val="bottom"/>
          </w:tcPr>
          <w:p>
            <w:pPr>
              <w:ind w:left="200"/>
              <w:spacing w:after="0" w:line="175" w:lineRule="exact"/>
              <w:rPr>
                <w:sz w:val="20"/>
                <w:szCs w:val="20"/>
                <w:color w:val="auto"/>
              </w:rPr>
            </w:pPr>
            <w:r>
              <w:rPr>
                <w:rFonts w:ascii="Arial" w:cs="Arial" w:eastAsia="Arial" w:hAnsi="Arial"/>
                <w:sz w:val="16"/>
                <w:szCs w:val="16"/>
                <w:color w:val="auto"/>
              </w:rPr>
              <w:t>Administrative and tax penalties</w:t>
            </w:r>
          </w:p>
        </w:tc>
        <w:tc>
          <w:tcPr>
            <w:tcW w:w="312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7,148</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28,882</w:t>
            </w:r>
          </w:p>
        </w:tc>
        <w:tc>
          <w:tcPr>
            <w:tcW w:w="1840" w:type="dxa"/>
            <w:vAlign w:val="bottom"/>
            <w:gridSpan w:val="3"/>
          </w:tcPr>
          <w:p>
            <w:pPr>
              <w:jc w:val="right"/>
              <w:ind w:right="640"/>
              <w:spacing w:after="0" w:line="175" w:lineRule="exact"/>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780" w:type="dxa"/>
            <w:vAlign w:val="bottom"/>
          </w:tcPr>
          <w:p>
            <w:pPr>
              <w:ind w:left="200"/>
              <w:spacing w:after="0"/>
              <w:rPr>
                <w:sz w:val="20"/>
                <w:szCs w:val="20"/>
                <w:color w:val="auto"/>
              </w:rPr>
            </w:pPr>
            <w:r>
              <w:rPr>
                <w:rFonts w:ascii="Arial" w:cs="Arial" w:eastAsia="Arial" w:hAnsi="Arial"/>
                <w:sz w:val="16"/>
                <w:szCs w:val="16"/>
                <w:color w:val="auto"/>
              </w:rPr>
              <w:t>Others</w:t>
            </w:r>
          </w:p>
        </w:tc>
        <w:tc>
          <w:tcPr>
            <w:tcW w:w="2920" w:type="dxa"/>
            <w:vAlign w:val="bottom"/>
            <w:gridSpan w:val="2"/>
          </w:tcPr>
          <w:p>
            <w:pPr>
              <w:jc w:val="right"/>
              <w:spacing w:after="0"/>
              <w:rPr>
                <w:sz w:val="20"/>
                <w:szCs w:val="20"/>
                <w:color w:val="auto"/>
              </w:rPr>
            </w:pPr>
            <w:r>
              <w:rPr>
                <w:rFonts w:ascii="Arial" w:cs="Arial" w:eastAsia="Arial" w:hAnsi="Arial"/>
                <w:sz w:val="16"/>
                <w:szCs w:val="16"/>
                <w:color w:val="auto"/>
              </w:rPr>
              <w:t>162,627</w:t>
            </w:r>
          </w:p>
        </w:tc>
        <w:tc>
          <w:tcPr>
            <w:tcW w:w="2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140,695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124,159</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4780" w:type="dxa"/>
            <w:vAlign w:val="bottom"/>
          </w:tcPr>
          <w:p>
            <w:pPr>
              <w:ind w:left="200"/>
              <w:spacing w:after="0" w:line="167" w:lineRule="exact"/>
              <w:rPr>
                <w:sz w:val="20"/>
                <w:szCs w:val="20"/>
                <w:color w:val="auto"/>
              </w:rPr>
            </w:pPr>
            <w:r>
              <w:rPr>
                <w:rFonts w:ascii="Arial" w:cs="Arial" w:eastAsia="Arial" w:hAnsi="Arial"/>
                <w:sz w:val="16"/>
                <w:szCs w:val="16"/>
                <w:b w:val="1"/>
                <w:bCs w:val="1"/>
                <w:color w:val="auto"/>
              </w:rPr>
              <w:t>Total other expenses</w:t>
            </w:r>
          </w:p>
        </w:tc>
        <w:tc>
          <w:tcPr>
            <w:tcW w:w="18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773,269</w:t>
            </w:r>
          </w:p>
        </w:tc>
        <w:tc>
          <w:tcPr>
            <w:tcW w:w="2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534,601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364,298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60" w:type="dxa"/>
            <w:vAlign w:val="bottom"/>
          </w:tcPr>
          <w:p>
            <w:pPr>
              <w:jc w:val="right"/>
              <w:ind w:right="1163"/>
              <w:spacing w:after="0"/>
              <w:rPr>
                <w:sz w:val="20"/>
                <w:szCs w:val="20"/>
                <w:color w:val="auto"/>
              </w:rPr>
            </w:pPr>
            <w:r>
              <w:rPr>
                <w:rFonts w:ascii="Arial" w:cs="Arial" w:eastAsia="Arial" w:hAnsi="Arial"/>
                <w:sz w:val="12"/>
                <w:szCs w:val="12"/>
                <w:color w:val="auto"/>
              </w:rPr>
              <w:t>-112-</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15" w:name="page116"/>
    <w:bookmarkEnd w:id="115"/>
    <w:p>
      <w:pPr>
        <w:ind w:left="567" w:hanging="567"/>
        <w:spacing w:after="0"/>
        <w:tabs>
          <w:tab w:leader="none" w:pos="567"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EARNING PER SHARE</w:t>
      </w:r>
    </w:p>
    <w:p>
      <w:pPr>
        <w:spacing w:after="0" w:line="167" w:lineRule="exact"/>
        <w:rPr>
          <w:rFonts w:ascii="Arial" w:cs="Arial" w:eastAsia="Arial" w:hAnsi="Arial"/>
          <w:sz w:val="16"/>
          <w:szCs w:val="16"/>
          <w:b w:val="1"/>
          <w:bCs w:val="1"/>
          <w:color w:val="auto"/>
        </w:rPr>
      </w:pPr>
    </w:p>
    <w:p>
      <w:pPr>
        <w:ind w:left="567"/>
        <w:spacing w:after="0"/>
        <w:rPr>
          <w:rFonts w:ascii="Arial" w:cs="Arial" w:eastAsia="Arial" w:hAnsi="Arial"/>
          <w:sz w:val="16"/>
          <w:szCs w:val="16"/>
          <w:b w:val="1"/>
          <w:bCs w:val="1"/>
          <w:color w:val="auto"/>
        </w:rPr>
      </w:pPr>
      <w:r>
        <w:rPr>
          <w:rFonts w:ascii="Arial" w:cs="Arial" w:eastAsia="Arial" w:hAnsi="Arial"/>
          <w:sz w:val="16"/>
          <w:szCs w:val="16"/>
          <w:color w:val="auto"/>
        </w:rPr>
        <w:t>The net earnings per ordinary share were determined based on the net income attributable to equity holders of the Group as follows:</w:t>
      </w: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3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060" w:type="dxa"/>
            <w:vAlign w:val="bottom"/>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6"/>
                <w:szCs w:val="16"/>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16"/>
                <w:szCs w:val="16"/>
                <w:color w:val="auto"/>
              </w:rPr>
            </w:pPr>
          </w:p>
        </w:tc>
      </w:tr>
      <w:tr>
        <w:trPr>
          <w:trHeight w:val="325"/>
        </w:trPr>
        <w:tc>
          <w:tcPr>
            <w:tcW w:w="4680" w:type="dxa"/>
            <w:vAlign w:val="bottom"/>
          </w:tcPr>
          <w:p>
            <w:pPr>
              <w:ind w:left="560"/>
              <w:spacing w:after="0"/>
              <w:rPr>
                <w:sz w:val="20"/>
                <w:szCs w:val="20"/>
                <w:color w:val="auto"/>
              </w:rPr>
            </w:pPr>
            <w:r>
              <w:rPr>
                <w:rFonts w:ascii="Arial" w:cs="Arial" w:eastAsia="Arial" w:hAnsi="Arial"/>
                <w:sz w:val="16"/>
                <w:szCs w:val="16"/>
                <w:b w:val="1"/>
                <w:bCs w:val="1"/>
                <w:color w:val="auto"/>
              </w:rPr>
              <w:t>Net income attributable to equity holders of</w:t>
            </w:r>
          </w:p>
        </w:tc>
        <w:tc>
          <w:tcPr>
            <w:tcW w:w="23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192"/>
        </w:trPr>
        <w:tc>
          <w:tcPr>
            <w:tcW w:w="4680" w:type="dxa"/>
            <w:vAlign w:val="bottom"/>
          </w:tcPr>
          <w:p>
            <w:pPr>
              <w:ind w:left="560"/>
              <w:spacing w:after="0"/>
              <w:rPr>
                <w:sz w:val="20"/>
                <w:szCs w:val="20"/>
                <w:color w:val="auto"/>
              </w:rPr>
            </w:pPr>
            <w:r>
              <w:rPr>
                <w:rFonts w:ascii="Arial" w:cs="Arial" w:eastAsia="Arial" w:hAnsi="Arial"/>
                <w:sz w:val="16"/>
                <w:szCs w:val="16"/>
                <w:b w:val="1"/>
                <w:bCs w:val="1"/>
                <w:color w:val="auto"/>
              </w:rPr>
              <w:t>Credicorp (in thousands of soles)</w:t>
            </w:r>
          </w:p>
        </w:tc>
        <w:tc>
          <w:tcPr>
            <w:tcW w:w="3580" w:type="dxa"/>
            <w:vAlign w:val="bottom"/>
            <w:gridSpan w:val="3"/>
          </w:tcPr>
          <w:p>
            <w:pPr>
              <w:jc w:val="right"/>
              <w:ind w:right="200"/>
              <w:spacing w:after="0"/>
              <w:rPr>
                <w:sz w:val="20"/>
                <w:szCs w:val="20"/>
                <w:color w:val="auto"/>
              </w:rPr>
            </w:pPr>
            <w:r>
              <w:rPr>
                <w:rFonts w:ascii="Arial" w:cs="Arial" w:eastAsia="Arial" w:hAnsi="Arial"/>
                <w:sz w:val="16"/>
                <w:szCs w:val="16"/>
                <w:color w:val="auto"/>
              </w:rPr>
              <w:t>5,501,254</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4,865,540</w:t>
            </w:r>
          </w:p>
        </w:tc>
        <w:tc>
          <w:tcPr>
            <w:tcW w:w="1820" w:type="dxa"/>
            <w:vAlign w:val="bottom"/>
            <w:gridSpan w:val="3"/>
          </w:tcPr>
          <w:p>
            <w:pPr>
              <w:jc w:val="right"/>
              <w:ind w:right="640"/>
              <w:spacing w:after="0"/>
              <w:rPr>
                <w:sz w:val="20"/>
                <w:szCs w:val="20"/>
                <w:color w:val="auto"/>
              </w:rPr>
            </w:pPr>
            <w:r>
              <w:rPr>
                <w:rFonts w:ascii="Arial" w:cs="Arial" w:eastAsia="Arial" w:hAnsi="Arial"/>
                <w:sz w:val="16"/>
                <w:szCs w:val="16"/>
                <w:color w:val="auto"/>
              </w:rPr>
              <w:t>4,647,818</w:t>
            </w:r>
          </w:p>
        </w:tc>
      </w:tr>
      <w:tr>
        <w:trPr>
          <w:trHeight w:val="327"/>
        </w:trPr>
        <w:tc>
          <w:tcPr>
            <w:tcW w:w="4680" w:type="dxa"/>
            <w:vAlign w:val="bottom"/>
          </w:tcPr>
          <w:p>
            <w:pPr>
              <w:ind w:left="560"/>
              <w:spacing w:after="0"/>
              <w:rPr>
                <w:sz w:val="20"/>
                <w:szCs w:val="20"/>
                <w:color w:val="auto"/>
              </w:rPr>
            </w:pPr>
            <w:r>
              <w:rPr>
                <w:rFonts w:ascii="Arial" w:cs="Arial" w:eastAsia="Arial" w:hAnsi="Arial"/>
                <w:sz w:val="16"/>
                <w:szCs w:val="16"/>
                <w:color w:val="auto"/>
              </w:rPr>
              <w:t>Number of stock</w:t>
            </w:r>
          </w:p>
        </w:tc>
        <w:tc>
          <w:tcPr>
            <w:tcW w:w="23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4680" w:type="dxa"/>
            <w:vAlign w:val="bottom"/>
          </w:tcPr>
          <w:p>
            <w:pPr>
              <w:ind w:left="560"/>
              <w:spacing w:after="0" w:line="175" w:lineRule="exact"/>
              <w:rPr>
                <w:sz w:val="20"/>
                <w:szCs w:val="20"/>
                <w:color w:val="auto"/>
              </w:rPr>
            </w:pPr>
            <w:r>
              <w:rPr>
                <w:rFonts w:ascii="Arial" w:cs="Arial" w:eastAsia="Arial" w:hAnsi="Arial"/>
                <w:sz w:val="16"/>
                <w:szCs w:val="16"/>
                <w:color w:val="auto"/>
              </w:rPr>
              <w:t>Ordinary stock, Note 16(a)</w:t>
            </w:r>
          </w:p>
        </w:tc>
        <w:tc>
          <w:tcPr>
            <w:tcW w:w="33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94,382,317</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line="175" w:lineRule="exact"/>
              <w:rPr>
                <w:sz w:val="20"/>
                <w:szCs w:val="20"/>
                <w:color w:val="auto"/>
              </w:rPr>
            </w:pPr>
            <w:r>
              <w:rPr>
                <w:rFonts w:ascii="Arial" w:cs="Arial" w:eastAsia="Arial" w:hAnsi="Arial"/>
                <w:sz w:val="16"/>
                <w:szCs w:val="16"/>
                <w:color w:val="auto"/>
              </w:rPr>
              <w:t>94,382,317</w:t>
            </w:r>
          </w:p>
        </w:tc>
        <w:tc>
          <w:tcPr>
            <w:tcW w:w="11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94,382,317</w:t>
            </w:r>
          </w:p>
        </w:tc>
        <w:tc>
          <w:tcPr>
            <w:tcW w:w="640" w:type="dxa"/>
            <w:vAlign w:val="bottom"/>
          </w:tcPr>
          <w:p>
            <w:pPr>
              <w:spacing w:after="0"/>
              <w:rPr>
                <w:sz w:val="15"/>
                <w:szCs w:val="15"/>
                <w:color w:val="auto"/>
              </w:rPr>
            </w:pPr>
          </w:p>
        </w:tc>
      </w:tr>
      <w:tr>
        <w:trPr>
          <w:trHeight w:val="175"/>
        </w:trPr>
        <w:tc>
          <w:tcPr>
            <w:tcW w:w="4680" w:type="dxa"/>
            <w:vAlign w:val="bottom"/>
          </w:tcPr>
          <w:p>
            <w:pPr>
              <w:ind w:left="560"/>
              <w:spacing w:after="0" w:line="175" w:lineRule="exact"/>
              <w:rPr>
                <w:sz w:val="20"/>
                <w:szCs w:val="20"/>
                <w:color w:val="auto"/>
              </w:rPr>
            </w:pPr>
            <w:r>
              <w:rPr>
                <w:rFonts w:ascii="Arial" w:cs="Arial" w:eastAsia="Arial" w:hAnsi="Arial"/>
                <w:sz w:val="16"/>
                <w:szCs w:val="16"/>
                <w:color w:val="auto"/>
              </w:rPr>
              <w:t>Less – opening balance of treasury stock</w:t>
            </w:r>
          </w:p>
        </w:tc>
        <w:tc>
          <w:tcPr>
            <w:tcW w:w="35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(14,886,096)</w:t>
            </w:r>
          </w:p>
        </w:tc>
        <w:tc>
          <w:tcPr>
            <w:tcW w:w="11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(14,849,223)</w:t>
            </w:r>
          </w:p>
        </w:tc>
        <w:tc>
          <w:tcPr>
            <w:tcW w:w="1820" w:type="dxa"/>
            <w:vAlign w:val="bottom"/>
            <w:gridSpan w:val="3"/>
          </w:tcPr>
          <w:p>
            <w:pPr>
              <w:jc w:val="right"/>
              <w:ind w:right="600"/>
              <w:spacing w:after="0" w:line="175" w:lineRule="exact"/>
              <w:rPr>
                <w:sz w:val="20"/>
                <w:szCs w:val="20"/>
                <w:color w:val="auto"/>
              </w:rPr>
            </w:pPr>
            <w:r>
              <w:rPr>
                <w:rFonts w:ascii="Arial" w:cs="Arial" w:eastAsia="Arial" w:hAnsi="Arial"/>
                <w:sz w:val="16"/>
                <w:szCs w:val="16"/>
                <w:color w:val="auto"/>
              </w:rPr>
              <w:t>(14,850,369)</w:t>
            </w:r>
          </w:p>
        </w:tc>
      </w:tr>
      <w:tr>
        <w:trPr>
          <w:trHeight w:val="190"/>
        </w:trPr>
        <w:tc>
          <w:tcPr>
            <w:tcW w:w="4680" w:type="dxa"/>
            <w:vAlign w:val="bottom"/>
          </w:tcPr>
          <w:p>
            <w:pPr>
              <w:ind w:left="560"/>
              <w:spacing w:after="0"/>
              <w:rPr>
                <w:sz w:val="20"/>
                <w:szCs w:val="20"/>
                <w:color w:val="auto"/>
              </w:rPr>
            </w:pPr>
            <w:r>
              <w:rPr>
                <w:rFonts w:ascii="Arial" w:cs="Arial" w:eastAsia="Arial" w:hAnsi="Arial"/>
                <w:sz w:val="16"/>
                <w:szCs w:val="16"/>
                <w:color w:val="auto"/>
              </w:rPr>
              <w:t>Sale (acquisition) of treasury stock, net</w:t>
            </w:r>
          </w:p>
        </w:tc>
        <w:tc>
          <w:tcPr>
            <w:tcW w:w="3580" w:type="dxa"/>
            <w:vAlign w:val="bottom"/>
            <w:gridSpan w:val="3"/>
          </w:tcPr>
          <w:p>
            <w:pPr>
              <w:jc w:val="right"/>
              <w:ind w:right="140"/>
              <w:spacing w:after="0"/>
              <w:rPr>
                <w:sz w:val="20"/>
                <w:szCs w:val="20"/>
                <w:color w:val="auto"/>
              </w:rPr>
            </w:pPr>
            <w:r>
              <w:rPr>
                <w:rFonts w:ascii="Arial" w:cs="Arial" w:eastAsia="Arial" w:hAnsi="Arial"/>
                <w:sz w:val="16"/>
                <w:szCs w:val="16"/>
                <w:color w:val="auto"/>
              </w:rPr>
              <w:t>(46,444)</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(55,283)</w:t>
            </w:r>
          </w:p>
        </w:tc>
        <w:tc>
          <w:tcPr>
            <w:tcW w:w="1820" w:type="dxa"/>
            <w:vAlign w:val="bottom"/>
            <w:gridSpan w:val="3"/>
          </w:tcPr>
          <w:p>
            <w:pPr>
              <w:jc w:val="right"/>
              <w:ind w:right="600"/>
              <w:spacing w:after="0"/>
              <w:rPr>
                <w:sz w:val="20"/>
                <w:szCs w:val="20"/>
                <w:color w:val="auto"/>
              </w:rPr>
            </w:pPr>
            <w:r>
              <w:rPr>
                <w:rFonts w:ascii="Arial" w:cs="Arial" w:eastAsia="Arial" w:hAnsi="Arial"/>
                <w:sz w:val="16"/>
                <w:szCs w:val="16"/>
                <w:color w:val="auto"/>
              </w:rPr>
              <w:t>(3,615)</w:t>
            </w:r>
          </w:p>
        </w:tc>
      </w:tr>
      <w:tr>
        <w:trPr>
          <w:trHeight w:val="150"/>
        </w:trPr>
        <w:tc>
          <w:tcPr>
            <w:tcW w:w="4680" w:type="dxa"/>
            <w:vAlign w:val="bottom"/>
          </w:tcPr>
          <w:p>
            <w:pPr>
              <w:ind w:left="560"/>
              <w:spacing w:after="0" w:line="150" w:lineRule="exact"/>
              <w:rPr>
                <w:sz w:val="20"/>
                <w:szCs w:val="20"/>
                <w:color w:val="auto"/>
              </w:rPr>
            </w:pPr>
            <w:r>
              <w:rPr>
                <w:rFonts w:ascii="Arial" w:cs="Arial" w:eastAsia="Arial" w:hAnsi="Arial"/>
                <w:sz w:val="16"/>
                <w:szCs w:val="16"/>
                <w:b w:val="1"/>
                <w:bCs w:val="1"/>
                <w:color w:val="auto"/>
              </w:rPr>
              <w:t>Weighted average number of ordinary shares</w:t>
            </w:r>
          </w:p>
        </w:tc>
        <w:tc>
          <w:tcPr>
            <w:tcW w:w="23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r>
      <w:tr>
        <w:trPr>
          <w:trHeight w:val="177"/>
        </w:trPr>
        <w:tc>
          <w:tcPr>
            <w:tcW w:w="4680" w:type="dxa"/>
            <w:vAlign w:val="bottom"/>
          </w:tcPr>
          <w:p>
            <w:pPr>
              <w:ind w:left="560"/>
              <w:spacing w:after="0" w:line="177" w:lineRule="exact"/>
              <w:rPr>
                <w:sz w:val="20"/>
                <w:szCs w:val="20"/>
                <w:color w:val="auto"/>
              </w:rPr>
            </w:pPr>
            <w:r>
              <w:rPr>
                <w:rFonts w:ascii="Arial" w:cs="Arial" w:eastAsia="Arial" w:hAnsi="Arial"/>
                <w:sz w:val="16"/>
                <w:szCs w:val="16"/>
                <w:b w:val="1"/>
                <w:bCs w:val="1"/>
                <w:color w:val="auto"/>
              </w:rPr>
              <w:t>for basic earnings</w:t>
            </w:r>
          </w:p>
        </w:tc>
        <w:tc>
          <w:tcPr>
            <w:tcW w:w="338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79,449,777</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line="177" w:lineRule="exact"/>
              <w:rPr>
                <w:sz w:val="20"/>
                <w:szCs w:val="20"/>
                <w:color w:val="auto"/>
              </w:rPr>
            </w:pPr>
            <w:r>
              <w:rPr>
                <w:rFonts w:ascii="Arial" w:cs="Arial" w:eastAsia="Arial" w:hAnsi="Arial"/>
                <w:sz w:val="16"/>
                <w:szCs w:val="16"/>
                <w:color w:val="auto"/>
              </w:rPr>
              <w:t>79,477,811</w:t>
            </w:r>
          </w:p>
        </w:tc>
        <w:tc>
          <w:tcPr>
            <w:tcW w:w="118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79,528,333</w:t>
            </w:r>
          </w:p>
        </w:tc>
        <w:tc>
          <w:tcPr>
            <w:tcW w:w="640" w:type="dxa"/>
            <w:vAlign w:val="bottom"/>
          </w:tcPr>
          <w:p>
            <w:pPr>
              <w:spacing w:after="0"/>
              <w:rPr>
                <w:sz w:val="15"/>
                <w:szCs w:val="15"/>
                <w:color w:val="auto"/>
              </w:rPr>
            </w:pPr>
          </w:p>
        </w:tc>
      </w:tr>
      <w:tr>
        <w:trPr>
          <w:trHeight w:val="190"/>
        </w:trPr>
        <w:tc>
          <w:tcPr>
            <w:tcW w:w="4680" w:type="dxa"/>
            <w:vAlign w:val="bottom"/>
          </w:tcPr>
          <w:p>
            <w:pPr>
              <w:ind w:left="560"/>
              <w:spacing w:after="0"/>
              <w:rPr>
                <w:sz w:val="20"/>
                <w:szCs w:val="20"/>
                <w:color w:val="auto"/>
              </w:rPr>
            </w:pPr>
            <w:r>
              <w:rPr>
                <w:rFonts w:ascii="Arial" w:cs="Arial" w:eastAsia="Arial" w:hAnsi="Arial"/>
                <w:sz w:val="16"/>
                <w:szCs w:val="16"/>
                <w:color w:val="auto"/>
              </w:rPr>
              <w:t>Plus - dilution effect - stock awards</w:t>
            </w:r>
          </w:p>
        </w:tc>
        <w:tc>
          <w:tcPr>
            <w:tcW w:w="3380" w:type="dxa"/>
            <w:vAlign w:val="bottom"/>
            <w:gridSpan w:val="2"/>
          </w:tcPr>
          <w:p>
            <w:pPr>
              <w:jc w:val="right"/>
              <w:spacing w:after="0"/>
              <w:rPr>
                <w:sz w:val="20"/>
                <w:szCs w:val="20"/>
                <w:color w:val="auto"/>
              </w:rPr>
            </w:pPr>
            <w:r>
              <w:rPr>
                <w:rFonts w:ascii="Arial" w:cs="Arial" w:eastAsia="Arial" w:hAnsi="Arial"/>
                <w:sz w:val="16"/>
                <w:szCs w:val="16"/>
                <w:color w:val="auto"/>
              </w:rPr>
              <w:t>169,307</w:t>
            </w: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177,709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168,462</w:t>
            </w:r>
          </w:p>
        </w:tc>
        <w:tc>
          <w:tcPr>
            <w:tcW w:w="640" w:type="dxa"/>
            <w:vAlign w:val="bottom"/>
          </w:tcPr>
          <w:p>
            <w:pPr>
              <w:spacing w:after="0"/>
              <w:rPr>
                <w:sz w:val="16"/>
                <w:szCs w:val="16"/>
                <w:color w:val="auto"/>
              </w:rPr>
            </w:pPr>
          </w:p>
        </w:tc>
      </w:tr>
      <w:tr>
        <w:trPr>
          <w:trHeight w:val="152"/>
        </w:trPr>
        <w:tc>
          <w:tcPr>
            <w:tcW w:w="4680" w:type="dxa"/>
            <w:vAlign w:val="bottom"/>
          </w:tcPr>
          <w:p>
            <w:pPr>
              <w:ind w:left="560"/>
              <w:spacing w:after="0" w:line="152" w:lineRule="exact"/>
              <w:rPr>
                <w:sz w:val="20"/>
                <w:szCs w:val="20"/>
                <w:color w:val="auto"/>
              </w:rPr>
            </w:pPr>
            <w:r>
              <w:rPr>
                <w:rFonts w:ascii="Arial" w:cs="Arial" w:eastAsia="Arial" w:hAnsi="Arial"/>
                <w:sz w:val="16"/>
                <w:szCs w:val="16"/>
                <w:color w:val="auto"/>
              </w:rPr>
              <w:t>Weighted average number of ordinary shares</w:t>
            </w:r>
          </w:p>
        </w:tc>
        <w:tc>
          <w:tcPr>
            <w:tcW w:w="23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r>
      <w:tr>
        <w:trPr>
          <w:trHeight w:val="205"/>
        </w:trPr>
        <w:tc>
          <w:tcPr>
            <w:tcW w:w="4680" w:type="dxa"/>
            <w:vAlign w:val="bottom"/>
          </w:tcPr>
          <w:p>
            <w:pPr>
              <w:ind w:left="560"/>
              <w:spacing w:after="0"/>
              <w:rPr>
                <w:sz w:val="20"/>
                <w:szCs w:val="20"/>
                <w:color w:val="auto"/>
              </w:rPr>
            </w:pPr>
            <w:r>
              <w:rPr>
                <w:rFonts w:ascii="Arial" w:cs="Arial" w:eastAsia="Arial" w:hAnsi="Arial"/>
                <w:sz w:val="16"/>
                <w:szCs w:val="16"/>
                <w:color w:val="auto"/>
              </w:rPr>
              <w:t>adjusted for the effect of dilution</w:t>
            </w:r>
          </w:p>
        </w:tc>
        <w:tc>
          <w:tcPr>
            <w:tcW w:w="3380" w:type="dxa"/>
            <w:vAlign w:val="bottom"/>
            <w:gridSpan w:val="2"/>
          </w:tcPr>
          <w:p>
            <w:pPr>
              <w:jc w:val="right"/>
              <w:spacing w:after="0"/>
              <w:rPr>
                <w:sz w:val="20"/>
                <w:szCs w:val="20"/>
                <w:color w:val="auto"/>
              </w:rPr>
            </w:pPr>
            <w:r>
              <w:rPr>
                <w:rFonts w:ascii="Arial" w:cs="Arial" w:eastAsia="Arial" w:hAnsi="Arial"/>
                <w:sz w:val="16"/>
                <w:szCs w:val="16"/>
                <w:color w:val="auto"/>
              </w:rPr>
              <w:t>79,619,084</w:t>
            </w:r>
          </w:p>
        </w:tc>
        <w:tc>
          <w:tcPr>
            <w:tcW w:w="2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79,655,520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79,696,795</w:t>
            </w:r>
          </w:p>
        </w:tc>
        <w:tc>
          <w:tcPr>
            <w:tcW w:w="640" w:type="dxa"/>
            <w:vAlign w:val="bottom"/>
          </w:tcPr>
          <w:p>
            <w:pPr>
              <w:spacing w:after="0"/>
              <w:rPr>
                <w:sz w:val="17"/>
                <w:szCs w:val="17"/>
                <w:color w:val="auto"/>
              </w:rPr>
            </w:pPr>
          </w:p>
        </w:tc>
      </w:tr>
      <w:tr>
        <w:trPr>
          <w:trHeight w:val="320"/>
        </w:trPr>
        <w:tc>
          <w:tcPr>
            <w:tcW w:w="4680" w:type="dxa"/>
            <w:vAlign w:val="bottom"/>
          </w:tcPr>
          <w:p>
            <w:pPr>
              <w:ind w:left="560"/>
              <w:spacing w:after="0"/>
              <w:rPr>
                <w:sz w:val="20"/>
                <w:szCs w:val="20"/>
                <w:color w:val="auto"/>
              </w:rPr>
            </w:pPr>
            <w:r>
              <w:rPr>
                <w:rFonts w:ascii="Arial" w:cs="Arial" w:eastAsia="Arial" w:hAnsi="Arial"/>
                <w:sz w:val="16"/>
                <w:szCs w:val="16"/>
                <w:color w:val="auto"/>
              </w:rPr>
              <w:t>Basic earnings per share (in soles)</w:t>
            </w:r>
          </w:p>
        </w:tc>
        <w:tc>
          <w:tcPr>
            <w:tcW w:w="3580" w:type="dxa"/>
            <w:vAlign w:val="bottom"/>
            <w:gridSpan w:val="3"/>
          </w:tcPr>
          <w:p>
            <w:pPr>
              <w:jc w:val="right"/>
              <w:ind w:right="200"/>
              <w:spacing w:after="0"/>
              <w:rPr>
                <w:sz w:val="20"/>
                <w:szCs w:val="20"/>
                <w:color w:val="auto"/>
              </w:rPr>
            </w:pPr>
            <w:r>
              <w:rPr>
                <w:rFonts w:ascii="Arial" w:cs="Arial" w:eastAsia="Arial" w:hAnsi="Arial"/>
                <w:sz w:val="16"/>
                <w:szCs w:val="16"/>
                <w:color w:val="auto"/>
              </w:rPr>
              <w:t>69.24</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61.22</w:t>
            </w:r>
          </w:p>
        </w:tc>
        <w:tc>
          <w:tcPr>
            <w:tcW w:w="1820" w:type="dxa"/>
            <w:vAlign w:val="bottom"/>
            <w:gridSpan w:val="3"/>
          </w:tcPr>
          <w:p>
            <w:pPr>
              <w:jc w:val="right"/>
              <w:ind w:right="640"/>
              <w:spacing w:after="0"/>
              <w:rPr>
                <w:sz w:val="20"/>
                <w:szCs w:val="20"/>
                <w:color w:val="auto"/>
              </w:rPr>
            </w:pPr>
            <w:r>
              <w:rPr>
                <w:rFonts w:ascii="Arial" w:cs="Arial" w:eastAsia="Arial" w:hAnsi="Arial"/>
                <w:sz w:val="16"/>
                <w:szCs w:val="16"/>
                <w:color w:val="auto"/>
              </w:rPr>
              <w:t>58.44</w:t>
            </w:r>
          </w:p>
        </w:tc>
      </w:tr>
      <w:tr>
        <w:trPr>
          <w:trHeight w:val="205"/>
        </w:trPr>
        <w:tc>
          <w:tcPr>
            <w:tcW w:w="4680" w:type="dxa"/>
            <w:vAlign w:val="bottom"/>
          </w:tcPr>
          <w:p>
            <w:pPr>
              <w:ind w:left="560"/>
              <w:spacing w:after="0"/>
              <w:rPr>
                <w:sz w:val="20"/>
                <w:szCs w:val="20"/>
                <w:color w:val="auto"/>
              </w:rPr>
            </w:pPr>
            <w:r>
              <w:rPr>
                <w:rFonts w:ascii="Arial" w:cs="Arial" w:eastAsia="Arial" w:hAnsi="Arial"/>
                <w:sz w:val="16"/>
                <w:szCs w:val="16"/>
                <w:color w:val="auto"/>
              </w:rPr>
              <w:t>Diluted earnings per share (in soles)</w:t>
            </w:r>
          </w:p>
        </w:tc>
        <w:tc>
          <w:tcPr>
            <w:tcW w:w="3580" w:type="dxa"/>
            <w:vAlign w:val="bottom"/>
            <w:gridSpan w:val="3"/>
          </w:tcPr>
          <w:p>
            <w:pPr>
              <w:jc w:val="right"/>
              <w:ind w:right="200"/>
              <w:spacing w:after="0"/>
              <w:rPr>
                <w:sz w:val="20"/>
                <w:szCs w:val="20"/>
                <w:color w:val="auto"/>
              </w:rPr>
            </w:pPr>
            <w:r>
              <w:rPr>
                <w:rFonts w:ascii="Arial" w:cs="Arial" w:eastAsia="Arial" w:hAnsi="Arial"/>
                <w:sz w:val="16"/>
                <w:szCs w:val="16"/>
                <w:color w:val="auto"/>
              </w:rPr>
              <w:t>69.09</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61.08</w:t>
            </w:r>
          </w:p>
        </w:tc>
        <w:tc>
          <w:tcPr>
            <w:tcW w:w="1820" w:type="dxa"/>
            <w:vAlign w:val="bottom"/>
            <w:gridSpan w:val="3"/>
          </w:tcPr>
          <w:p>
            <w:pPr>
              <w:jc w:val="right"/>
              <w:ind w:right="640"/>
              <w:spacing w:after="0"/>
              <w:rPr>
                <w:sz w:val="20"/>
                <w:szCs w:val="20"/>
                <w:color w:val="auto"/>
              </w:rPr>
            </w:pPr>
            <w:r>
              <w:rPr>
                <w:rFonts w:ascii="Arial" w:cs="Arial" w:eastAsia="Arial" w:hAnsi="Arial"/>
                <w:sz w:val="16"/>
                <w:szCs w:val="16"/>
                <w:color w:val="auto"/>
              </w:rPr>
              <w:t>58.32</w:t>
            </w:r>
          </w:p>
        </w:tc>
      </w:tr>
      <w:tr>
        <w:trPr>
          <w:trHeight w:val="457"/>
        </w:trPr>
        <w:tc>
          <w:tcPr>
            <w:tcW w:w="4680" w:type="dxa"/>
            <w:vAlign w:val="bottom"/>
          </w:tcPr>
          <w:p>
            <w:pPr>
              <w:spacing w:after="0"/>
              <w:rPr>
                <w:sz w:val="24"/>
                <w:szCs w:val="24"/>
                <w:color w:val="auto"/>
              </w:rPr>
            </w:pPr>
          </w:p>
        </w:tc>
        <w:tc>
          <w:tcPr>
            <w:tcW w:w="2320" w:type="dxa"/>
            <w:vAlign w:val="bottom"/>
          </w:tcPr>
          <w:p>
            <w:pPr>
              <w:jc w:val="right"/>
              <w:ind w:right="1164"/>
              <w:spacing w:after="0"/>
              <w:rPr>
                <w:sz w:val="20"/>
                <w:szCs w:val="20"/>
                <w:color w:val="auto"/>
              </w:rPr>
            </w:pPr>
            <w:r>
              <w:rPr>
                <w:rFonts w:ascii="Arial" w:cs="Arial" w:eastAsia="Arial" w:hAnsi="Arial"/>
                <w:sz w:val="12"/>
                <w:szCs w:val="12"/>
                <w:color w:val="auto"/>
              </w:rPr>
              <w:t>-113-</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
        </w:trPr>
        <w:tc>
          <w:tcPr>
            <w:tcW w:w="46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67"/>
          </w:cols>
          <w:pgMar w:left="313" w:top="124" w:right="319" w:bottom="1440" w:gutter="0" w:footer="0" w:header="0"/>
        </w:sectPr>
      </w:pPr>
    </w:p>
    <w:bookmarkStart w:id="116" w:name="page117"/>
    <w:bookmarkEnd w:id="116"/>
    <w:p>
      <w:pPr>
        <w:ind w:left="567" w:hanging="567"/>
        <w:spacing w:after="0"/>
        <w:tabs>
          <w:tab w:leader="none" w:pos="567"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SEGMENTS</w:t>
      </w:r>
    </w:p>
    <w:p>
      <w:pPr>
        <w:spacing w:after="0" w:line="167" w:lineRule="exact"/>
        <w:rPr>
          <w:rFonts w:ascii="Arial" w:cs="Arial" w:eastAsia="Arial" w:hAnsi="Arial"/>
          <w:sz w:val="16"/>
          <w:szCs w:val="16"/>
          <w:b w:val="1"/>
          <w:bCs w:val="1"/>
          <w:color w:val="auto"/>
        </w:rPr>
      </w:pPr>
    </w:p>
    <w:p>
      <w:pPr>
        <w:ind w:left="567" w:right="240"/>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Credicorp Board of Directors organized the Group’s subsidiaries according to the types of financial services provided and the sectors on which they are focused; with the objective of optimizing the management thereof. Next, we present the Group´s business lines:</w:t>
      </w:r>
    </w:p>
    <w:p>
      <w:pPr>
        <w:spacing w:after="0" w:line="134" w:lineRule="exact"/>
        <w:rPr>
          <w:rFonts w:ascii="Arial" w:cs="Arial" w:eastAsia="Arial" w:hAnsi="Arial"/>
          <w:sz w:val="16"/>
          <w:szCs w:val="16"/>
          <w:b w:val="1"/>
          <w:bCs w:val="1"/>
          <w:color w:val="auto"/>
        </w:rPr>
      </w:pPr>
    </w:p>
    <w:p>
      <w:pPr>
        <w:ind w:left="847" w:hanging="286"/>
        <w:spacing w:after="0"/>
        <w:tabs>
          <w:tab w:leader="none" w:pos="84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Universal Banking -</w:t>
      </w:r>
    </w:p>
    <w:p>
      <w:pPr>
        <w:spacing w:after="0" w:line="166" w:lineRule="exact"/>
        <w:rPr>
          <w:rFonts w:ascii="Arial" w:cs="Arial" w:eastAsia="Arial" w:hAnsi="Arial"/>
          <w:sz w:val="16"/>
          <w:szCs w:val="16"/>
          <w:color w:val="auto"/>
        </w:rPr>
      </w:pPr>
    </w:p>
    <w:p>
      <w:pPr>
        <w:ind w:left="847" w:right="20"/>
        <w:spacing w:after="0" w:line="238" w:lineRule="auto"/>
        <w:rPr>
          <w:rFonts w:ascii="Arial" w:cs="Arial" w:eastAsia="Arial" w:hAnsi="Arial"/>
          <w:sz w:val="16"/>
          <w:szCs w:val="16"/>
          <w:color w:val="auto"/>
        </w:rPr>
      </w:pPr>
      <w:r>
        <w:rPr>
          <w:rFonts w:ascii="Arial" w:cs="Arial" w:eastAsia="Arial" w:hAnsi="Arial"/>
          <w:sz w:val="16"/>
          <w:szCs w:val="16"/>
          <w:color w:val="auto"/>
        </w:rPr>
        <w:t>Includes the operations related to the granting of various credits and financial instruments to individuals and legal entities, from the segments of wholesale and retail banking, such as the obtaining of funds from the public through deposits and current accounts, obtaining of funding by means of initial public offerings and direct indebtedness with other financial institutions. This business line incorporates the results and balances of the Banco de Crédito del Perú (BCP) and Banco de Crédito de Bolivia (BCB).</w:t>
      </w:r>
    </w:p>
    <w:p>
      <w:pPr>
        <w:spacing w:after="0" w:line="145" w:lineRule="exact"/>
        <w:rPr>
          <w:rFonts w:ascii="Arial" w:cs="Arial" w:eastAsia="Arial" w:hAnsi="Arial"/>
          <w:sz w:val="16"/>
          <w:szCs w:val="16"/>
          <w:color w:val="auto"/>
        </w:rPr>
      </w:pPr>
    </w:p>
    <w:p>
      <w:pPr>
        <w:ind w:left="847" w:hanging="286"/>
        <w:spacing w:after="0"/>
        <w:tabs>
          <w:tab w:leader="none" w:pos="84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Insurance and Pensions -</w:t>
      </w:r>
    </w:p>
    <w:p>
      <w:pPr>
        <w:spacing w:after="0" w:line="166" w:lineRule="exact"/>
        <w:rPr>
          <w:rFonts w:ascii="Arial" w:cs="Arial" w:eastAsia="Arial" w:hAnsi="Arial"/>
          <w:sz w:val="16"/>
          <w:szCs w:val="16"/>
          <w:color w:val="auto"/>
        </w:rPr>
      </w:pPr>
    </w:p>
    <w:p>
      <w:pPr>
        <w:ind w:left="1127" w:right="280" w:hanging="286"/>
        <w:spacing w:after="0" w:line="326" w:lineRule="auto"/>
        <w:tabs>
          <w:tab w:leader="none" w:pos="1127" w:val="left"/>
        </w:tabs>
        <w:numPr>
          <w:ilvl w:val="2"/>
          <w:numId w:val="137"/>
        </w:numPr>
        <w:rPr>
          <w:rFonts w:ascii="Arial" w:cs="Arial" w:eastAsia="Arial" w:hAnsi="Arial"/>
          <w:sz w:val="14"/>
          <w:szCs w:val="14"/>
          <w:color w:val="auto"/>
        </w:rPr>
      </w:pPr>
      <w:r>
        <w:rPr>
          <w:rFonts w:ascii="Arial" w:cs="Arial" w:eastAsia="Arial" w:hAnsi="Arial"/>
          <w:sz w:val="14"/>
          <w:szCs w:val="14"/>
          <w:color w:val="auto"/>
        </w:rPr>
        <w:t>Insurance: includes, mainly, the issue of insurance policies to cover losses in commercial property, transport, marine vessels, automobiles, life, health and pensions, operations carried out through Pacífico Compañía de Seguros y Reaseguros S.A. and subsidiaries.</w:t>
      </w:r>
    </w:p>
    <w:p>
      <w:pPr>
        <w:spacing w:after="0" w:line="87" w:lineRule="exact"/>
        <w:rPr>
          <w:rFonts w:ascii="Arial" w:cs="Arial" w:eastAsia="Arial" w:hAnsi="Arial"/>
          <w:sz w:val="14"/>
          <w:szCs w:val="14"/>
          <w:color w:val="auto"/>
        </w:rPr>
      </w:pPr>
    </w:p>
    <w:p>
      <w:pPr>
        <w:ind w:left="1127" w:hanging="286"/>
        <w:spacing w:after="0"/>
        <w:tabs>
          <w:tab w:leader="none" w:pos="1127" w:val="left"/>
        </w:tabs>
        <w:numPr>
          <w:ilvl w:val="2"/>
          <w:numId w:val="137"/>
        </w:numPr>
        <w:rPr>
          <w:rFonts w:ascii="Arial" w:cs="Arial" w:eastAsia="Arial" w:hAnsi="Arial"/>
          <w:sz w:val="16"/>
          <w:szCs w:val="16"/>
          <w:color w:val="auto"/>
        </w:rPr>
      </w:pPr>
      <w:r>
        <w:rPr>
          <w:rFonts w:ascii="Arial" w:cs="Arial" w:eastAsia="Arial" w:hAnsi="Arial"/>
          <w:sz w:val="16"/>
          <w:szCs w:val="16"/>
          <w:color w:val="auto"/>
        </w:rPr>
        <w:t>Pensions: provides Management Service of private pension funds to the affiliates, operation carried out from Prima AFP.</w:t>
      </w:r>
    </w:p>
    <w:p>
      <w:pPr>
        <w:spacing w:after="0" w:line="166" w:lineRule="exact"/>
        <w:rPr>
          <w:rFonts w:ascii="Arial" w:cs="Arial" w:eastAsia="Arial" w:hAnsi="Arial"/>
          <w:sz w:val="16"/>
          <w:szCs w:val="16"/>
          <w:color w:val="auto"/>
        </w:rPr>
      </w:pPr>
    </w:p>
    <w:p>
      <w:pPr>
        <w:ind w:left="847" w:hanging="286"/>
        <w:spacing w:after="0"/>
        <w:tabs>
          <w:tab w:leader="none" w:pos="84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Microfinance -</w:t>
      </w:r>
    </w:p>
    <w:p>
      <w:pPr>
        <w:spacing w:after="0" w:line="166" w:lineRule="exact"/>
        <w:rPr>
          <w:rFonts w:ascii="Arial" w:cs="Arial" w:eastAsia="Arial" w:hAnsi="Arial"/>
          <w:sz w:val="16"/>
          <w:szCs w:val="16"/>
          <w:color w:val="auto"/>
        </w:rPr>
      </w:pPr>
    </w:p>
    <w:p>
      <w:pPr>
        <w:ind w:left="847"/>
        <w:spacing w:after="0" w:line="255" w:lineRule="auto"/>
        <w:rPr>
          <w:rFonts w:ascii="Arial" w:cs="Arial" w:eastAsia="Arial" w:hAnsi="Arial"/>
          <w:sz w:val="16"/>
          <w:szCs w:val="16"/>
          <w:color w:val="auto"/>
        </w:rPr>
      </w:pPr>
      <w:r>
        <w:rPr>
          <w:rFonts w:ascii="Arial" w:cs="Arial" w:eastAsia="Arial" w:hAnsi="Arial"/>
          <w:sz w:val="16"/>
          <w:szCs w:val="16"/>
          <w:color w:val="auto"/>
        </w:rPr>
        <w:t>Includes the management of loans, credits, deposits and checking accounts of the small and microenterprises, which are carried out through MiBanco, Banco de la Microempresa S.A. and MiBanco – Banco de la Microempresa de Colombia S.A.</w:t>
      </w:r>
    </w:p>
    <w:p>
      <w:pPr>
        <w:spacing w:after="0" w:line="134" w:lineRule="exact"/>
        <w:rPr>
          <w:rFonts w:ascii="Arial" w:cs="Arial" w:eastAsia="Arial" w:hAnsi="Arial"/>
          <w:sz w:val="16"/>
          <w:szCs w:val="16"/>
          <w:color w:val="auto"/>
        </w:rPr>
      </w:pPr>
    </w:p>
    <w:p>
      <w:pPr>
        <w:ind w:left="847" w:hanging="286"/>
        <w:spacing w:after="0"/>
        <w:tabs>
          <w:tab w:leader="none" w:pos="84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Investment Management and Advisory -</w:t>
      </w:r>
    </w:p>
    <w:p>
      <w:pPr>
        <w:spacing w:after="0" w:line="166" w:lineRule="exact"/>
        <w:rPr>
          <w:rFonts w:ascii="Arial" w:cs="Arial" w:eastAsia="Arial" w:hAnsi="Arial"/>
          <w:sz w:val="16"/>
          <w:szCs w:val="16"/>
          <w:color w:val="auto"/>
        </w:rPr>
      </w:pPr>
    </w:p>
    <w:p>
      <w:pPr>
        <w:ind w:left="847" w:right="80"/>
        <w:spacing w:after="0" w:line="238" w:lineRule="auto"/>
        <w:rPr>
          <w:rFonts w:ascii="Arial" w:cs="Arial" w:eastAsia="Arial" w:hAnsi="Arial"/>
          <w:sz w:val="16"/>
          <w:szCs w:val="16"/>
          <w:color w:val="auto"/>
        </w:rPr>
      </w:pPr>
      <w:r>
        <w:rPr>
          <w:rFonts w:ascii="Arial" w:cs="Arial" w:eastAsia="Arial" w:hAnsi="Arial"/>
          <w:sz w:val="16"/>
          <w:szCs w:val="16"/>
          <w:color w:val="auto"/>
        </w:rPr>
        <w:t>Comprising brokerage service and investment management services offered to a broad and diverse client, which includes corporations, institutional investors, governments and foundations; also, comprising the structuring and placement of issues in the primary market, as well as the execution and negotiation of transactions in the secondary market. Additionally, it structures securitization processes for corporate customers and manages mutual funds.</w:t>
      </w:r>
    </w:p>
    <w:p>
      <w:pPr>
        <w:spacing w:after="0" w:line="145" w:lineRule="exact"/>
        <w:rPr>
          <w:rFonts w:ascii="Arial" w:cs="Arial" w:eastAsia="Arial" w:hAnsi="Arial"/>
          <w:sz w:val="16"/>
          <w:szCs w:val="16"/>
          <w:color w:val="auto"/>
        </w:rPr>
      </w:pPr>
    </w:p>
    <w:p>
      <w:pPr>
        <w:ind w:left="847" w:right="3460"/>
        <w:spacing w:after="0" w:line="521" w:lineRule="auto"/>
        <w:rPr>
          <w:rFonts w:ascii="Arial" w:cs="Arial" w:eastAsia="Arial" w:hAnsi="Arial"/>
          <w:sz w:val="16"/>
          <w:szCs w:val="16"/>
          <w:color w:val="auto"/>
        </w:rPr>
      </w:pPr>
      <w:r>
        <w:rPr>
          <w:rFonts w:ascii="Arial" w:cs="Arial" w:eastAsia="Arial" w:hAnsi="Arial"/>
          <w:sz w:val="14"/>
          <w:szCs w:val="14"/>
          <w:color w:val="auto"/>
        </w:rPr>
        <w:t>All these services are provided through Credicorp Capital Ltd. and subsidiaries and ASB Bank Corp. The objective of being able to manage through these business lines corresponds to the following:</w:t>
      </w:r>
    </w:p>
    <w:p>
      <w:pPr>
        <w:spacing w:after="0" w:line="1" w:lineRule="exact"/>
        <w:rPr>
          <w:rFonts w:ascii="Arial" w:cs="Arial" w:eastAsia="Arial" w:hAnsi="Arial"/>
          <w:sz w:val="16"/>
          <w:szCs w:val="16"/>
          <w:color w:val="auto"/>
        </w:rPr>
      </w:pPr>
    </w:p>
    <w:p>
      <w:pPr>
        <w:ind w:left="1127" w:hanging="286"/>
        <w:spacing w:after="0"/>
        <w:tabs>
          <w:tab w:leader="none" w:pos="1127" w:val="left"/>
        </w:tabs>
        <w:numPr>
          <w:ilvl w:val="2"/>
          <w:numId w:val="137"/>
        </w:numPr>
        <w:rPr>
          <w:rFonts w:ascii="Arial" w:cs="Arial" w:eastAsia="Arial" w:hAnsi="Arial"/>
          <w:sz w:val="16"/>
          <w:szCs w:val="16"/>
          <w:color w:val="auto"/>
        </w:rPr>
      </w:pPr>
      <w:r>
        <w:rPr>
          <w:rFonts w:ascii="Arial" w:cs="Arial" w:eastAsia="Arial" w:hAnsi="Arial"/>
          <w:sz w:val="16"/>
          <w:szCs w:val="16"/>
          <w:color w:val="auto"/>
        </w:rPr>
        <w:t>Promote the joint action of our businesses in order to take advantage of the synergies which result from the diversification of our portfolio.</w:t>
      </w:r>
    </w:p>
    <w:p>
      <w:pPr>
        <w:spacing w:after="0" w:line="166" w:lineRule="exact"/>
        <w:rPr>
          <w:rFonts w:ascii="Arial" w:cs="Arial" w:eastAsia="Arial" w:hAnsi="Arial"/>
          <w:sz w:val="16"/>
          <w:szCs w:val="16"/>
          <w:color w:val="auto"/>
        </w:rPr>
      </w:pPr>
    </w:p>
    <w:p>
      <w:pPr>
        <w:jc w:val="both"/>
        <w:ind w:left="1127" w:right="520" w:hanging="286"/>
        <w:spacing w:after="0" w:line="241" w:lineRule="auto"/>
        <w:tabs>
          <w:tab w:leader="none" w:pos="1127" w:val="left"/>
        </w:tabs>
        <w:numPr>
          <w:ilvl w:val="2"/>
          <w:numId w:val="137"/>
        </w:numPr>
        <w:rPr>
          <w:rFonts w:ascii="Arial" w:cs="Arial" w:eastAsia="Arial" w:hAnsi="Arial"/>
          <w:sz w:val="16"/>
          <w:szCs w:val="16"/>
          <w:color w:val="auto"/>
        </w:rPr>
      </w:pPr>
      <w:r>
        <w:rPr>
          <w:rFonts w:ascii="Arial" w:cs="Arial" w:eastAsia="Arial" w:hAnsi="Arial"/>
          <w:sz w:val="16"/>
          <w:szCs w:val="16"/>
          <w:color w:val="auto"/>
        </w:rPr>
        <w:t>Strengthening our leadership in the financial sector through our growth in new businesses, and the establishment of an investment banking platform available not only to the corporate world, but also to the retail segment, especially to the Small and Medium Enterprise (SME) and Consumer sectors.</w:t>
      </w:r>
    </w:p>
    <w:p>
      <w:pPr>
        <w:spacing w:after="0" w:line="145" w:lineRule="exact"/>
        <w:rPr>
          <w:rFonts w:ascii="Arial" w:cs="Arial" w:eastAsia="Arial" w:hAnsi="Arial"/>
          <w:sz w:val="16"/>
          <w:szCs w:val="16"/>
          <w:color w:val="auto"/>
        </w:rPr>
      </w:pPr>
    </w:p>
    <w:p>
      <w:pPr>
        <w:ind w:left="1127" w:hanging="286"/>
        <w:spacing w:after="0"/>
        <w:tabs>
          <w:tab w:leader="none" w:pos="1127" w:val="left"/>
        </w:tabs>
        <w:numPr>
          <w:ilvl w:val="2"/>
          <w:numId w:val="137"/>
        </w:numPr>
        <w:rPr>
          <w:rFonts w:ascii="Arial" w:cs="Arial" w:eastAsia="Arial" w:hAnsi="Arial"/>
          <w:sz w:val="16"/>
          <w:szCs w:val="16"/>
          <w:color w:val="auto"/>
        </w:rPr>
      </w:pPr>
      <w:r>
        <w:rPr>
          <w:rFonts w:ascii="Arial" w:cs="Arial" w:eastAsia="Arial" w:hAnsi="Arial"/>
          <w:sz w:val="16"/>
          <w:szCs w:val="16"/>
          <w:color w:val="auto"/>
        </w:rPr>
        <w:t>Improve the ongoing search to adapt our business models, processes and procedures into line with best practices worldwide.</w:t>
      </w:r>
    </w:p>
    <w:p>
      <w:pPr>
        <w:spacing w:after="0" w:line="313" w:lineRule="exact"/>
        <w:rPr>
          <w:sz w:val="20"/>
          <w:szCs w:val="20"/>
          <w:color w:val="auto"/>
        </w:rPr>
      </w:pPr>
    </w:p>
    <w:p>
      <w:pPr>
        <w:jc w:val="center"/>
        <w:ind w:right="-86"/>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87"/>
          </w:cols>
          <w:pgMar w:left="313" w:top="124" w:right="399" w:bottom="1440" w:gutter="0" w:footer="0" w:header="0"/>
        </w:sectPr>
      </w:pPr>
    </w:p>
    <w:bookmarkStart w:id="117" w:name="page118"/>
    <w:bookmarkEnd w:id="117"/>
    <w:p>
      <w:pPr>
        <w:ind w:right="80"/>
        <w:spacing w:after="0" w:line="238" w:lineRule="auto"/>
        <w:rPr>
          <w:sz w:val="20"/>
          <w:szCs w:val="20"/>
          <w:color w:val="auto"/>
        </w:rPr>
      </w:pPr>
      <w:r>
        <w:rPr>
          <w:rFonts w:ascii="Arial" w:cs="Arial" w:eastAsia="Arial" w:hAnsi="Arial"/>
          <w:sz w:val="16"/>
          <w:szCs w:val="16"/>
          <w:color w:val="auto"/>
        </w:rPr>
        <w:t>The operating results of the Group’s new business lines are monitored separately by the Board of Directors and Senior Management on a monthly basis, in order to make decisions regarding the allocation of resources and the evaluation of the performance of each one of the segments. The Chief Operating Decision Maker (CODM) of Credicorp is the Chief Executive Officer (CEO). The performance of the segments is evaluated based on net profit and is measured consistently with the net profit presented in the consolidated statement of income.</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Financial information by segment is prepared subject to the necessary and on a uniform basis, with coherent grouping according to the type of activity and customer.</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None of the income derives from transactions carried out with a single customer or counterparty which is equal to or greater than 10.0 percent or more of the total income of the Group as of December 31, 2024, 2023 and 2022.</w:t>
      </w:r>
    </w:p>
    <w:p>
      <w:pPr>
        <w:spacing w:after="0" w:line="281"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36195</wp:posOffset>
            </wp:positionV>
            <wp:extent cx="715073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20"/>
          </w:cols>
          <w:pgMar w:left="1160" w:top="124" w:right="419" w:bottom="1440" w:gutter="0" w:footer="0" w:header="0"/>
        </w:sectPr>
      </w:pPr>
    </w:p>
    <w:bookmarkStart w:id="118" w:name="page119"/>
    <w:bookmarkEnd w:id="118"/>
    <w:p>
      <w:pPr>
        <w:ind w:left="327" w:right="500" w:hanging="327"/>
        <w:spacing w:after="0" w:line="257" w:lineRule="auto"/>
        <w:tabs>
          <w:tab w:leader="none" w:pos="32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following table presents information recorded in the results and for certain items of the assets corresponding to the Group’s reportable segments (in millions of soles) as of December 31, 2024, 2023 and 2022:</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Arial" w:cs="Arial" w:eastAsia="Arial" w:hAnsi="Arial"/>
                <w:sz w:val="16"/>
                <w:szCs w:val="16"/>
                <w:b w:val="1"/>
                <w:bCs w:val="1"/>
                <w:color w:val="auto"/>
              </w:rPr>
              <w:t>Income (*)</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Provision</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8"/>
              </w:rPr>
              <w:t>Additions of</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Net interest,</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for credit</w:t>
            </w: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fixed asset,</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similar</w:t>
            </w:r>
          </w:p>
        </w:tc>
        <w:tc>
          <w:tcPr>
            <w:tcW w:w="9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Other</w:t>
            </w:r>
          </w:p>
        </w:tc>
        <w:tc>
          <w:tcPr>
            <w:tcW w:w="214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losses on Depreciation and</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intangibles</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From other</w:t>
            </w: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income and</w:t>
            </w:r>
          </w:p>
        </w:tc>
        <w:tc>
          <w:tcPr>
            <w:tcW w:w="172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income, net loan</w:t>
            </w:r>
          </w:p>
        </w:tc>
        <w:tc>
          <w:tcPr>
            <w:tcW w:w="13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amortization and</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20" w:type="dxa"/>
            <w:vAlign w:val="bottom"/>
            <w:gridSpan w:val="4"/>
          </w:tcPr>
          <w:p>
            <w:pPr>
              <w:jc w:val="right"/>
              <w:ind w:right="680"/>
              <w:spacing w:after="0" w:line="175" w:lineRule="exact"/>
              <w:rPr>
                <w:sz w:val="20"/>
                <w:szCs w:val="20"/>
                <w:color w:val="auto"/>
              </w:rPr>
            </w:pPr>
            <w:r>
              <w:rPr>
                <w:rFonts w:ascii="Arial" w:cs="Arial" w:eastAsia="Arial" w:hAnsi="Arial"/>
                <w:sz w:val="16"/>
                <w:szCs w:val="16"/>
                <w:b w:val="1"/>
                <w:bCs w:val="1"/>
                <w:color w:val="auto"/>
                <w:w w:val="98"/>
              </w:rPr>
              <w:t>Net profit and</w:t>
            </w:r>
          </w:p>
        </w:tc>
        <w:tc>
          <w:tcPr>
            <w:tcW w:w="70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Total</w:t>
            </w:r>
          </w:p>
        </w:tc>
        <w:tc>
          <w:tcPr>
            <w:tcW w:w="7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20"/>
                <w:szCs w:val="20"/>
                <w:color w:val="auto"/>
              </w:rPr>
            </w:pPr>
            <w:r>
              <w:rPr>
                <w:rFonts w:ascii="Arial" w:cs="Arial" w:eastAsia="Arial" w:hAnsi="Arial"/>
                <w:sz w:val="16"/>
                <w:szCs w:val="16"/>
                <w:b w:val="1"/>
                <w:bCs w:val="1"/>
                <w:color w:val="auto"/>
              </w:rPr>
              <w:t>2024</w:t>
            </w:r>
          </w:p>
        </w:tc>
        <w:tc>
          <w:tcPr>
            <w:tcW w:w="900" w:type="dxa"/>
            <w:vAlign w:val="bottom"/>
            <w:gridSpan w:val="3"/>
          </w:tcPr>
          <w:p>
            <w:pPr>
              <w:ind w:left="60"/>
              <w:spacing w:after="0"/>
              <w:rPr>
                <w:sz w:val="20"/>
                <w:szCs w:val="20"/>
                <w:color w:val="auto"/>
              </w:rPr>
            </w:pPr>
            <w:r>
              <w:rPr>
                <w:rFonts w:ascii="Arial" w:cs="Arial" w:eastAsia="Arial" w:hAnsi="Arial"/>
                <w:sz w:val="16"/>
                <w:szCs w:val="16"/>
                <w:b w:val="1"/>
                <w:bCs w:val="1"/>
                <w:color w:val="auto"/>
              </w:rPr>
              <w:t>External</w:t>
            </w:r>
          </w:p>
        </w:tc>
        <w:tc>
          <w:tcPr>
            <w:tcW w:w="2020" w:type="dxa"/>
            <w:vAlign w:val="bottom"/>
            <w:gridSpan w:val="4"/>
          </w:tcPr>
          <w:p>
            <w:pPr>
              <w:spacing w:after="0"/>
              <w:rPr>
                <w:sz w:val="20"/>
                <w:szCs w:val="20"/>
                <w:color w:val="auto"/>
              </w:rPr>
            </w:pPr>
            <w:r>
              <w:rPr>
                <w:rFonts w:ascii="Arial" w:cs="Arial" w:eastAsia="Arial" w:hAnsi="Arial"/>
                <w:sz w:val="16"/>
                <w:szCs w:val="16"/>
                <w:b w:val="1"/>
                <w:bCs w:val="1"/>
                <w:color w:val="auto"/>
              </w:rPr>
              <w:t>segments (**) expenses</w:t>
            </w:r>
          </w:p>
        </w:tc>
        <w:tc>
          <w:tcPr>
            <w:tcW w:w="880" w:type="dxa"/>
            <w:vAlign w:val="bottom"/>
          </w:tcPr>
          <w:p>
            <w:pPr>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right-in-use</w:t>
            </w:r>
          </w:p>
        </w:tc>
        <w:tc>
          <w:tcPr>
            <w:tcW w:w="166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7"/>
              </w:rPr>
              <w:t>Income tax (loss)</w:t>
            </w: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goodwill</w:t>
            </w:r>
          </w:p>
        </w:tc>
        <w:tc>
          <w:tcPr>
            <w:tcW w:w="700" w:type="dxa"/>
            <w:vAlign w:val="bottom"/>
            <w:gridSpan w:val="3"/>
          </w:tcPr>
          <w:p>
            <w:pPr>
              <w:ind w:left="40"/>
              <w:spacing w:after="0"/>
              <w:rPr>
                <w:sz w:val="20"/>
                <w:szCs w:val="20"/>
                <w:color w:val="auto"/>
              </w:rPr>
            </w:pPr>
            <w:r>
              <w:rPr>
                <w:rFonts w:ascii="Arial" w:cs="Arial" w:eastAsia="Arial" w:hAnsi="Arial"/>
                <w:sz w:val="16"/>
                <w:szCs w:val="16"/>
                <w:b w:val="1"/>
                <w:bCs w:val="1"/>
                <w:color w:val="auto"/>
              </w:rPr>
              <w:t>assets</w:t>
            </w: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w w:val="99"/>
              </w:rPr>
              <w:t>liabilities</w:t>
            </w:r>
          </w:p>
        </w:tc>
        <w:tc>
          <w:tcPr>
            <w:tcW w:w="0" w:type="dxa"/>
            <w:vAlign w:val="bottom"/>
          </w:tcPr>
          <w:p>
            <w:pPr>
              <w:spacing w:after="0"/>
              <w:rPr>
                <w:sz w:val="1"/>
                <w:szCs w:val="1"/>
                <w:color w:val="auto"/>
              </w:rPr>
            </w:pPr>
          </w:p>
        </w:tc>
      </w:tr>
      <w:tr>
        <w:trPr>
          <w:trHeight w:val="152"/>
        </w:trPr>
        <w:tc>
          <w:tcPr>
            <w:tcW w:w="12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color w:val="auto"/>
                <w:w w:val="97"/>
              </w:rPr>
              <w:t>Universal Banking</w:t>
            </w:r>
          </w:p>
        </w:tc>
        <w:tc>
          <w:tcPr>
            <w:tcW w:w="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6"/>
                <w:szCs w:val="16"/>
                <w:color w:val="auto"/>
              </w:rPr>
              <w:t>Banco de Crédito</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194,921</w:t>
            </w:r>
          </w:p>
        </w:tc>
        <w:tc>
          <w:tcPr>
            <w:tcW w:w="7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171,451</w:t>
            </w: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6"/>
                <w:szCs w:val="16"/>
                <w:color w:val="auto"/>
              </w:rPr>
              <w:t>del Perú</w:t>
            </w: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19,176</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647</w:t>
            </w: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10,815</w:t>
            </w:r>
          </w:p>
        </w:tc>
        <w:tc>
          <w:tcPr>
            <w:tcW w:w="9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4,831</w:t>
            </w: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(2,831)</w:t>
            </w:r>
          </w:p>
        </w:tc>
        <w:tc>
          <w:tcPr>
            <w:tcW w:w="13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(492)</w:t>
            </w:r>
          </w:p>
        </w:tc>
        <w:tc>
          <w:tcPr>
            <w:tcW w:w="8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(1,767)</w:t>
            </w:r>
          </w:p>
        </w:tc>
        <w:tc>
          <w:tcPr>
            <w:tcW w:w="7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5,003</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722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6"/>
                <w:szCs w:val="16"/>
                <w:color w:val="auto"/>
              </w:rPr>
              <w:t>Banco de Crédito</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12,996</w:t>
            </w:r>
          </w:p>
        </w:tc>
        <w:tc>
          <w:tcPr>
            <w:tcW w:w="7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12,954</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20"/>
                <w:szCs w:val="20"/>
                <w:color w:val="auto"/>
              </w:rPr>
            </w:pPr>
            <w:r>
              <w:rPr>
                <w:rFonts w:ascii="Arial" w:cs="Arial" w:eastAsia="Arial" w:hAnsi="Arial"/>
                <w:sz w:val="16"/>
                <w:szCs w:val="16"/>
                <w:color w:val="auto"/>
              </w:rPr>
              <w:t>de Bolivia</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924</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353</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164</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(84)</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84</w:t>
            </w: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20,100</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6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11,168</w:t>
            </w:r>
          </w:p>
        </w:tc>
        <w:tc>
          <w:tcPr>
            <w:tcW w:w="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4,995</w:t>
            </w: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(2,915)</w:t>
            </w:r>
          </w:p>
        </w:tc>
        <w:tc>
          <w:tcPr>
            <w:tcW w:w="6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6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5,007</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207,917</w:t>
            </w:r>
          </w:p>
        </w:tc>
        <w:tc>
          <w:tcPr>
            <w:tcW w:w="6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184,405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0"/>
                <w:szCs w:val="20"/>
                <w:color w:val="auto"/>
              </w:rPr>
            </w:pPr>
            <w:r>
              <w:rPr>
                <w:rFonts w:ascii="Arial" w:cs="Arial" w:eastAsia="Arial" w:hAnsi="Arial"/>
                <w:sz w:val="16"/>
                <w:szCs w:val="16"/>
                <w:color w:val="auto"/>
              </w:rPr>
              <w:t>Insurance and</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6"/>
                <w:szCs w:val="16"/>
                <w:color w:val="auto"/>
              </w:rPr>
              <w:t>Pension funds</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6"/>
                <w:szCs w:val="16"/>
                <w:color w:val="auto"/>
              </w:rPr>
              <w:t>Pacífico Seguros</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6"/>
                <w:szCs w:val="16"/>
                <w:color w:val="auto"/>
              </w:rPr>
              <w:t>and subsidiaries</w:t>
            </w: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1,769</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541</w:t>
            </w: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299</w:t>
            </w:r>
          </w:p>
        </w:tc>
        <w:tc>
          <w:tcPr>
            <w:tcW w:w="9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935</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3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w:t>
            </w:r>
          </w:p>
        </w:tc>
        <w:tc>
          <w:tcPr>
            <w:tcW w:w="8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(44)</w:t>
            </w:r>
          </w:p>
        </w:tc>
        <w:tc>
          <w:tcPr>
            <w:tcW w:w="7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770</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122</w:t>
            </w:r>
          </w:p>
        </w:tc>
        <w:tc>
          <w:tcPr>
            <w:tcW w:w="40" w:type="dxa"/>
            <w:vAlign w:val="bottom"/>
          </w:tcPr>
          <w:p>
            <w:pPr>
              <w:spacing w:after="0"/>
              <w:rPr>
                <w:sz w:val="15"/>
                <w:szCs w:val="15"/>
                <w:color w:val="auto"/>
              </w:rPr>
            </w:pPr>
          </w:p>
        </w:tc>
        <w:tc>
          <w:tcPr>
            <w:tcW w:w="7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17,777</w:t>
            </w:r>
          </w:p>
        </w:tc>
        <w:tc>
          <w:tcPr>
            <w:tcW w:w="7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14,355</w:t>
            </w:r>
          </w:p>
        </w:tc>
        <w:tc>
          <w:tcPr>
            <w:tcW w:w="0" w:type="dxa"/>
            <w:vAlign w:val="bottom"/>
          </w:tcPr>
          <w:p>
            <w:pPr>
              <w:spacing w:after="0"/>
              <w:rPr>
                <w:sz w:val="1"/>
                <w:szCs w:val="1"/>
                <w:color w:val="auto"/>
              </w:rPr>
            </w:pPr>
          </w:p>
        </w:tc>
      </w:tr>
      <w:tr>
        <w:trPr>
          <w:trHeight w:val="201"/>
        </w:trPr>
        <w:tc>
          <w:tcPr>
            <w:tcW w:w="1280" w:type="dxa"/>
            <w:vAlign w:val="bottom"/>
          </w:tcPr>
          <w:p>
            <w:pPr>
              <w:spacing w:after="0"/>
              <w:rPr>
                <w:sz w:val="20"/>
                <w:szCs w:val="20"/>
                <w:color w:val="auto"/>
              </w:rPr>
            </w:pPr>
            <w:r>
              <w:rPr>
                <w:rFonts w:ascii="Arial" w:cs="Arial" w:eastAsia="Arial" w:hAnsi="Arial"/>
                <w:sz w:val="16"/>
                <w:szCs w:val="16"/>
                <w:color w:val="auto"/>
              </w:rPr>
              <w:t>Prima AFP</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385</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379</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658</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2,154</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6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18,435</w:t>
            </w:r>
          </w:p>
        </w:tc>
        <w:tc>
          <w:tcPr>
            <w:tcW w:w="6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0"/>
                <w:szCs w:val="20"/>
                <w:color w:val="auto"/>
              </w:rPr>
            </w:pPr>
            <w:r>
              <w:rPr>
                <w:rFonts w:ascii="Arial" w:cs="Arial" w:eastAsia="Arial" w:hAnsi="Arial"/>
                <w:sz w:val="16"/>
                <w:szCs w:val="16"/>
                <w:color w:val="auto"/>
              </w:rPr>
              <w:t>Microfinance</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6"/>
                <w:szCs w:val="16"/>
                <w:color w:val="auto"/>
              </w:rPr>
              <w:t>MiBanco</w:t>
            </w:r>
          </w:p>
        </w:tc>
        <w:tc>
          <w:tcPr>
            <w:tcW w:w="90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3,195</w:t>
            </w: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146</w:t>
            </w: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2,243</w:t>
            </w:r>
          </w:p>
        </w:tc>
        <w:tc>
          <w:tcPr>
            <w:tcW w:w="9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125</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(851)</w:t>
            </w:r>
          </w:p>
        </w:tc>
        <w:tc>
          <w:tcPr>
            <w:tcW w:w="60" w:type="dxa"/>
            <w:vAlign w:val="bottom"/>
          </w:tcPr>
          <w:p>
            <w:pPr>
              <w:spacing w:after="0"/>
              <w:rPr>
                <w:sz w:val="15"/>
                <w:szCs w:val="15"/>
                <w:color w:val="auto"/>
              </w:rPr>
            </w:pPr>
          </w:p>
        </w:tc>
        <w:tc>
          <w:tcPr>
            <w:tcW w:w="13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(93)</w:t>
            </w:r>
          </w:p>
        </w:tc>
        <w:tc>
          <w:tcPr>
            <w:tcW w:w="8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(85)</w:t>
            </w:r>
          </w:p>
        </w:tc>
        <w:tc>
          <w:tcPr>
            <w:tcW w:w="78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308</w:t>
            </w:r>
          </w:p>
        </w:tc>
        <w:tc>
          <w:tcPr>
            <w:tcW w:w="9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85</w:t>
            </w:r>
          </w:p>
        </w:tc>
        <w:tc>
          <w:tcPr>
            <w:tcW w:w="7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16,979</w:t>
            </w:r>
          </w:p>
        </w:tc>
        <w:tc>
          <w:tcPr>
            <w:tcW w:w="70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14,279</w:t>
            </w: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6"/>
                <w:szCs w:val="16"/>
                <w:color w:val="auto"/>
              </w:rPr>
              <w:t>MiBanco</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80" w:type="dxa"/>
            <w:vAlign w:val="bottom"/>
          </w:tcPr>
          <w:p>
            <w:pPr>
              <w:spacing w:after="0"/>
              <w:rPr>
                <w:sz w:val="20"/>
                <w:szCs w:val="20"/>
                <w:color w:val="auto"/>
              </w:rPr>
            </w:pPr>
            <w:r>
              <w:rPr>
                <w:rFonts w:ascii="Arial" w:cs="Arial" w:eastAsia="Arial" w:hAnsi="Arial"/>
                <w:sz w:val="16"/>
                <w:szCs w:val="16"/>
                <w:color w:val="auto"/>
              </w:rPr>
              <w:t>Colombia</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574</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326</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(118)</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2,323</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1,900</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3,769</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2,569</w:t>
            </w:r>
          </w:p>
        </w:tc>
        <w:tc>
          <w:tcPr>
            <w:tcW w:w="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6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19,302</w:t>
            </w:r>
          </w:p>
        </w:tc>
        <w:tc>
          <w:tcPr>
            <w:tcW w:w="6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16,179</w:t>
            </w: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0"/>
                <w:szCs w:val="20"/>
                <w:color w:val="auto"/>
              </w:rPr>
            </w:pPr>
            <w:r>
              <w:rPr>
                <w:rFonts w:ascii="Arial" w:cs="Arial" w:eastAsia="Arial" w:hAnsi="Arial"/>
                <w:sz w:val="16"/>
                <w:szCs w:val="16"/>
                <w:color w:val="auto"/>
              </w:rPr>
              <w:t>Investment</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line="175" w:lineRule="exact"/>
              <w:rPr>
                <w:sz w:val="20"/>
                <w:szCs w:val="20"/>
                <w:color w:val="auto"/>
              </w:rPr>
            </w:pPr>
            <w:r>
              <w:rPr>
                <w:rFonts w:ascii="Arial" w:cs="Arial" w:eastAsia="Arial" w:hAnsi="Arial"/>
                <w:sz w:val="16"/>
                <w:szCs w:val="16"/>
                <w:color w:val="auto"/>
              </w:rPr>
              <w:t>Management and</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20"/>
                <w:szCs w:val="20"/>
                <w:color w:val="auto"/>
              </w:rPr>
            </w:pPr>
            <w:r>
              <w:rPr>
                <w:rFonts w:ascii="Arial" w:cs="Arial" w:eastAsia="Arial" w:hAnsi="Arial"/>
                <w:sz w:val="16"/>
                <w:szCs w:val="16"/>
                <w:color w:val="auto"/>
              </w:rPr>
              <w:t>Advisory</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1,317</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527</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945</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196</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8,466</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6,907</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Arial" w:cs="Arial" w:eastAsia="Arial" w:hAnsi="Arial"/>
                <w:sz w:val="16"/>
                <w:szCs w:val="16"/>
                <w:color w:val="auto"/>
              </w:rPr>
              <w:t>Other segments</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388</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132</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41</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264</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(779)</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6,341</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0"/>
                <w:szCs w:val="20"/>
                <w:color w:val="auto"/>
              </w:rPr>
            </w:pPr>
            <w:r>
              <w:rPr>
                <w:rFonts w:ascii="Arial" w:cs="Arial" w:eastAsia="Arial" w:hAnsi="Arial"/>
                <w:sz w:val="16"/>
                <w:szCs w:val="16"/>
                <w:color w:val="auto"/>
              </w:rPr>
              <w:t>Eliminations</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(256)</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(4,372)</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(4,202)</w:t>
            </w:r>
          </w:p>
        </w:tc>
        <w:tc>
          <w:tcPr>
            <w:tcW w:w="0" w:type="dxa"/>
            <w:vAlign w:val="bottom"/>
          </w:tcPr>
          <w:p>
            <w:pPr>
              <w:spacing w:after="0"/>
              <w:rPr>
                <w:sz w:val="1"/>
                <w:szCs w:val="1"/>
                <w:color w:val="auto"/>
              </w:rPr>
            </w:pPr>
          </w:p>
        </w:tc>
      </w:tr>
      <w:tr>
        <w:trPr>
          <w:trHeight w:val="147"/>
        </w:trPr>
        <w:tc>
          <w:tcPr>
            <w:tcW w:w="1280" w:type="dxa"/>
            <w:vAlign w:val="bottom"/>
          </w:tcPr>
          <w:p>
            <w:pPr>
              <w:spacing w:after="0" w:line="147"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20"/>
                <w:szCs w:val="20"/>
                <w:color w:val="auto"/>
              </w:rPr>
            </w:pPr>
            <w:r>
              <w:rPr>
                <w:rFonts w:ascii="Arial" w:cs="Arial" w:eastAsia="Arial" w:hAnsi="Arial"/>
                <w:sz w:val="16"/>
                <w:szCs w:val="16"/>
                <w:b w:val="1"/>
                <w:bCs w:val="1"/>
                <w:color w:val="auto"/>
              </w:rPr>
              <w:t>consolidated</w:t>
            </w:r>
          </w:p>
        </w:tc>
        <w:tc>
          <w:tcPr>
            <w:tcW w:w="6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27,472</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2,025</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14,115</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7,603</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(3,943)</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(713)</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(2,201)</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5,623</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1,111</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256,089</w:t>
            </w:r>
          </w:p>
        </w:tc>
        <w:tc>
          <w:tcPr>
            <w:tcW w:w="680" w:type="dxa"/>
            <w:vAlign w:val="bottom"/>
          </w:tcPr>
          <w:p>
            <w:pPr>
              <w:jc w:val="right"/>
              <w:spacing w:after="0"/>
              <w:rPr>
                <w:sz w:val="20"/>
                <w:szCs w:val="20"/>
                <w:color w:val="auto"/>
              </w:rPr>
            </w:pPr>
            <w:r>
              <w:rPr>
                <w:rFonts w:ascii="Arial" w:cs="Arial" w:eastAsia="Arial" w:hAnsi="Arial"/>
                <w:sz w:val="16"/>
                <w:szCs w:val="16"/>
                <w:color w:val="auto"/>
              </w:rPr>
              <w:t>221,112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27" w:hanging="427"/>
        <w:spacing w:after="0"/>
        <w:tabs>
          <w:tab w:leader="none" w:pos="42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and the result of the insurance and reinsurance service.</w:t>
      </w:r>
    </w:p>
    <w:p>
      <w:pPr>
        <w:ind w:left="427" w:hanging="427"/>
        <w:spacing w:after="0" w:line="234" w:lineRule="auto"/>
        <w:tabs>
          <w:tab w:leader="none" w:pos="42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spacing w:after="0" w:line="1" w:lineRule="exact"/>
        <w:rPr>
          <w:sz w:val="20"/>
          <w:szCs w:val="20"/>
          <w:color w:val="auto"/>
        </w:rPr>
      </w:pPr>
    </w:p>
    <w:p>
      <w:pPr>
        <w:ind w:left="7"/>
        <w:spacing w:after="0"/>
        <w:tabs>
          <w:tab w:leader="none" w:pos="406"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Corresponds to other income (include income and expenses for commissions) and result of the insurance and reinsurance service.</w:t>
      </w:r>
    </w:p>
    <w:p>
      <w:pPr>
        <w:spacing w:after="0" w:line="29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119" w:name="page120"/>
    <w:bookmarkEnd w:id="119"/>
    <w:tbl>
      <w:tblPr>
        <w:tblLayout w:type="fixed"/>
        <w:tblInd w:w="7"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Income (*)</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Provision</w:t>
            </w: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Additions of</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Net interest,</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for credit</w:t>
            </w:r>
          </w:p>
        </w:tc>
        <w:tc>
          <w:tcPr>
            <w:tcW w:w="136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Depreciation and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fixed asset,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similar</w:t>
            </w:r>
          </w:p>
        </w:tc>
        <w:tc>
          <w:tcPr>
            <w:tcW w:w="9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Other</w:t>
            </w:r>
          </w:p>
        </w:tc>
        <w:tc>
          <w:tcPr>
            <w:tcW w:w="212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losses on amortization</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intangibles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From other</w:t>
            </w:r>
          </w:p>
        </w:tc>
        <w:tc>
          <w:tcPr>
            <w:tcW w:w="9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income and</w:t>
            </w:r>
          </w:p>
        </w:tc>
        <w:tc>
          <w:tcPr>
            <w:tcW w:w="170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income, net loan</w:t>
            </w:r>
          </w:p>
        </w:tc>
        <w:tc>
          <w:tcPr>
            <w:tcW w:w="136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and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5"/>
          </w:tcPr>
          <w:p>
            <w:pPr>
              <w:ind w:left="40"/>
              <w:spacing w:after="0" w:line="175" w:lineRule="exact"/>
              <w:rPr>
                <w:sz w:val="20"/>
                <w:szCs w:val="20"/>
                <w:color w:val="auto"/>
              </w:rPr>
            </w:pPr>
            <w:r>
              <w:rPr>
                <w:rFonts w:ascii="Arial" w:cs="Arial" w:eastAsia="Arial" w:hAnsi="Arial"/>
                <w:sz w:val="16"/>
                <w:szCs w:val="16"/>
                <w:b w:val="1"/>
                <w:bCs w:val="1"/>
                <w:color w:val="auto"/>
              </w:rPr>
              <w:t>Net profit and</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External</w:t>
            </w:r>
          </w:p>
        </w:tc>
        <w:tc>
          <w:tcPr>
            <w:tcW w:w="2040" w:type="dxa"/>
            <w:vAlign w:val="bottom"/>
            <w:gridSpan w:val="4"/>
          </w:tcPr>
          <w:p>
            <w:pPr>
              <w:spacing w:after="0"/>
              <w:rPr>
                <w:sz w:val="20"/>
                <w:szCs w:val="20"/>
                <w:color w:val="auto"/>
              </w:rPr>
            </w:pPr>
            <w:r>
              <w:rPr>
                <w:rFonts w:ascii="Arial" w:cs="Arial" w:eastAsia="Arial" w:hAnsi="Arial"/>
                <w:sz w:val="16"/>
                <w:szCs w:val="16"/>
                <w:b w:val="1"/>
                <w:bCs w:val="1"/>
                <w:color w:val="auto"/>
              </w:rPr>
              <w:t>segments (**) expenses</w:t>
            </w:r>
          </w:p>
        </w:tc>
        <w:tc>
          <w:tcPr>
            <w:tcW w:w="880" w:type="dxa"/>
            <w:vAlign w:val="bottom"/>
          </w:tcPr>
          <w:p>
            <w:pPr>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rPr>
              <w:t>right-in-use</w:t>
            </w:r>
          </w:p>
        </w:tc>
        <w:tc>
          <w:tcPr>
            <w:tcW w:w="1620" w:type="dxa"/>
            <w:vAlign w:val="bottom"/>
            <w:gridSpan w:val="5"/>
          </w:tcPr>
          <w:p>
            <w:pPr>
              <w:spacing w:after="0"/>
              <w:rPr>
                <w:sz w:val="20"/>
                <w:szCs w:val="20"/>
                <w:color w:val="auto"/>
              </w:rPr>
            </w:pPr>
            <w:r>
              <w:rPr>
                <w:rFonts w:ascii="Arial" w:cs="Arial" w:eastAsia="Arial" w:hAnsi="Arial"/>
                <w:sz w:val="16"/>
                <w:szCs w:val="16"/>
                <w:b w:val="1"/>
                <w:bCs w:val="1"/>
                <w:color w:val="auto"/>
              </w:rPr>
              <w:t>Income tax (loss)</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goodwill</w:t>
            </w:r>
          </w:p>
        </w:tc>
        <w:tc>
          <w:tcPr>
            <w:tcW w:w="1700" w:type="dxa"/>
            <w:vAlign w:val="bottom"/>
            <w:gridSpan w:val="5"/>
          </w:tcPr>
          <w:p>
            <w:pPr>
              <w:ind w:left="20"/>
              <w:spacing w:after="0"/>
              <w:rPr>
                <w:sz w:val="20"/>
                <w:szCs w:val="20"/>
                <w:color w:val="auto"/>
              </w:rPr>
            </w:pPr>
            <w:r>
              <w:rPr>
                <w:rFonts w:ascii="Arial" w:cs="Arial" w:eastAsia="Arial" w:hAnsi="Arial"/>
                <w:sz w:val="16"/>
                <w:szCs w:val="16"/>
                <w:b w:val="1"/>
                <w:bCs w:val="1"/>
                <w:color w:val="auto"/>
              </w:rPr>
              <w:t>Total assets liabilities</w:t>
            </w:r>
          </w:p>
        </w:tc>
        <w:tc>
          <w:tcPr>
            <w:tcW w:w="0" w:type="dxa"/>
            <w:vAlign w:val="bottom"/>
          </w:tcPr>
          <w:p>
            <w:pPr>
              <w:spacing w:after="0"/>
              <w:rPr>
                <w:sz w:val="1"/>
                <w:szCs w:val="1"/>
                <w:color w:val="auto"/>
              </w:rPr>
            </w:pPr>
          </w:p>
        </w:tc>
      </w:tr>
      <w:tr>
        <w:trPr>
          <w:trHeight w:val="152"/>
        </w:trPr>
        <w:tc>
          <w:tcPr>
            <w:tcW w:w="104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color w:val="auto"/>
              </w:rPr>
              <w:t>Universal</w:t>
            </w:r>
          </w:p>
        </w:tc>
        <w:tc>
          <w:tcPr>
            <w:tcW w:w="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Banking</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Banco de</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Crédito del</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Perú</w:t>
            </w:r>
          </w:p>
        </w:tc>
        <w:tc>
          <w:tcPr>
            <w:tcW w:w="8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17,802</w:t>
            </w:r>
          </w:p>
        </w:tc>
        <w:tc>
          <w:tcPr>
            <w:tcW w:w="10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686</w:t>
            </w:r>
          </w:p>
        </w:tc>
        <w:tc>
          <w:tcPr>
            <w:tcW w:w="9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9,818</w:t>
            </w:r>
          </w:p>
        </w:tc>
        <w:tc>
          <w:tcPr>
            <w:tcW w:w="9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4,315</w:t>
            </w:r>
          </w:p>
        </w:tc>
        <w:tc>
          <w:tcPr>
            <w:tcW w:w="7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(2,846)</w:t>
            </w:r>
          </w:p>
        </w:tc>
        <w:tc>
          <w:tcPr>
            <w:tcW w:w="136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(460)</w:t>
            </w:r>
          </w:p>
        </w:tc>
        <w:tc>
          <w:tcPr>
            <w:tcW w:w="8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(1,498)</w:t>
            </w:r>
          </w:p>
        </w:tc>
        <w:tc>
          <w:tcPr>
            <w:tcW w:w="7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4,379</w:t>
            </w:r>
          </w:p>
        </w:tc>
        <w:tc>
          <w:tcPr>
            <w:tcW w:w="40" w:type="dxa"/>
            <w:vAlign w:val="bottom"/>
          </w:tcPr>
          <w:p>
            <w:pPr>
              <w:spacing w:after="0"/>
              <w:rPr>
                <w:sz w:val="15"/>
                <w:szCs w:val="15"/>
                <w:color w:val="auto"/>
              </w:rPr>
            </w:pPr>
          </w:p>
        </w:tc>
        <w:tc>
          <w:tcPr>
            <w:tcW w:w="9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894</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178,053</w:t>
            </w: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155,908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Banco de</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Crédito de</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100" w:type="dxa"/>
            <w:vAlign w:val="bottom"/>
            <w:gridSpan w:val="2"/>
          </w:tcPr>
          <w:p>
            <w:pPr>
              <w:spacing w:after="0"/>
              <w:rPr>
                <w:sz w:val="20"/>
                <w:szCs w:val="20"/>
                <w:color w:val="auto"/>
              </w:rPr>
            </w:pPr>
            <w:r>
              <w:rPr>
                <w:rFonts w:ascii="Arial" w:cs="Arial" w:eastAsia="Arial" w:hAnsi="Arial"/>
                <w:sz w:val="16"/>
                <w:szCs w:val="16"/>
                <w:color w:val="auto"/>
              </w:rPr>
              <w:t>Bolivia</w:t>
            </w:r>
          </w:p>
        </w:tc>
        <w:tc>
          <w:tcPr>
            <w:tcW w:w="740" w:type="dxa"/>
            <w:vAlign w:val="bottom"/>
          </w:tcPr>
          <w:p>
            <w:pPr>
              <w:jc w:val="right"/>
              <w:spacing w:after="0"/>
              <w:rPr>
                <w:sz w:val="20"/>
                <w:szCs w:val="20"/>
                <w:color w:val="auto"/>
              </w:rPr>
            </w:pPr>
            <w:r>
              <w:rPr>
                <w:rFonts w:ascii="Arial" w:cs="Arial" w:eastAsia="Arial" w:hAnsi="Arial"/>
                <w:sz w:val="16"/>
                <w:szCs w:val="16"/>
                <w:color w:val="auto"/>
              </w:rPr>
              <w:t>820</w:t>
            </w:r>
          </w:p>
        </w:tc>
        <w:tc>
          <w:tcPr>
            <w:tcW w:w="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332</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110</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(50)</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(28)</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12,631</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12,593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18,622</w:t>
            </w:r>
          </w:p>
        </w:tc>
        <w:tc>
          <w:tcPr>
            <w:tcW w:w="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10,150</w:t>
            </w:r>
          </w:p>
        </w:tc>
        <w:tc>
          <w:tcPr>
            <w:tcW w:w="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4,425</w:t>
            </w: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6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4,382</w:t>
            </w:r>
          </w:p>
        </w:tc>
        <w:tc>
          <w:tcPr>
            <w:tcW w:w="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190,684</w:t>
            </w:r>
          </w:p>
        </w:tc>
        <w:tc>
          <w:tcPr>
            <w:tcW w:w="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Arial" w:cs="Arial" w:eastAsia="Arial" w:hAnsi="Arial"/>
                <w:sz w:val="16"/>
                <w:szCs w:val="16"/>
                <w:color w:val="auto"/>
              </w:rPr>
              <w:t>Insurance and</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Pension funds</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Pacífico</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Seguros and</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subsidiaries</w:t>
            </w:r>
          </w:p>
        </w:tc>
        <w:tc>
          <w:tcPr>
            <w:tcW w:w="8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1,730</w:t>
            </w:r>
          </w:p>
        </w:tc>
        <w:tc>
          <w:tcPr>
            <w:tcW w:w="10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528</w:t>
            </w:r>
          </w:p>
        </w:tc>
        <w:tc>
          <w:tcPr>
            <w:tcW w:w="9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285</w:t>
            </w:r>
          </w:p>
        </w:tc>
        <w:tc>
          <w:tcPr>
            <w:tcW w:w="9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952</w:t>
            </w:r>
          </w:p>
        </w:tc>
        <w:tc>
          <w:tcPr>
            <w:tcW w:w="7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(4)</w:t>
            </w:r>
          </w:p>
        </w:tc>
        <w:tc>
          <w:tcPr>
            <w:tcW w:w="8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(40)</w:t>
            </w:r>
          </w:p>
        </w:tc>
        <w:tc>
          <w:tcPr>
            <w:tcW w:w="7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819</w:t>
            </w:r>
          </w:p>
        </w:tc>
        <w:tc>
          <w:tcPr>
            <w:tcW w:w="40" w:type="dxa"/>
            <w:vAlign w:val="bottom"/>
          </w:tcPr>
          <w:p>
            <w:pPr>
              <w:spacing w:after="0"/>
              <w:rPr>
                <w:sz w:val="15"/>
                <w:szCs w:val="15"/>
                <w:color w:val="auto"/>
              </w:rPr>
            </w:pPr>
          </w:p>
        </w:tc>
        <w:tc>
          <w:tcPr>
            <w:tcW w:w="9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79</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16,586</w:t>
            </w: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13,435</w:t>
            </w:r>
          </w:p>
        </w:tc>
        <w:tc>
          <w:tcPr>
            <w:tcW w:w="0" w:type="dxa"/>
            <w:vAlign w:val="bottom"/>
          </w:tcPr>
          <w:p>
            <w:pPr>
              <w:spacing w:after="0"/>
              <w:rPr>
                <w:sz w:val="1"/>
                <w:szCs w:val="1"/>
                <w:color w:val="auto"/>
              </w:rPr>
            </w:pPr>
          </w:p>
        </w:tc>
      </w:tr>
      <w:tr>
        <w:trPr>
          <w:trHeight w:val="201"/>
        </w:trPr>
        <w:tc>
          <w:tcPr>
            <w:tcW w:w="1100" w:type="dxa"/>
            <w:vAlign w:val="bottom"/>
            <w:gridSpan w:val="2"/>
          </w:tcPr>
          <w:p>
            <w:pPr>
              <w:spacing w:after="0"/>
              <w:rPr>
                <w:sz w:val="20"/>
                <w:szCs w:val="20"/>
                <w:color w:val="auto"/>
              </w:rPr>
            </w:pPr>
            <w:r>
              <w:rPr>
                <w:rFonts w:ascii="Arial" w:cs="Arial" w:eastAsia="Arial" w:hAnsi="Arial"/>
                <w:sz w:val="16"/>
                <w:szCs w:val="16"/>
                <w:color w:val="auto"/>
              </w:rPr>
              <w:t>Prima AFP</w:t>
            </w:r>
          </w:p>
        </w:tc>
        <w:tc>
          <w:tcPr>
            <w:tcW w:w="740" w:type="dxa"/>
            <w:vAlign w:val="bottom"/>
          </w:tcPr>
          <w:p>
            <w:pPr>
              <w:jc w:val="right"/>
              <w:spacing w:after="0"/>
              <w:rPr>
                <w:sz w:val="20"/>
                <w:szCs w:val="20"/>
                <w:color w:val="auto"/>
              </w:rPr>
            </w:pPr>
            <w:r>
              <w:rPr>
                <w:rFonts w:ascii="Arial" w:cs="Arial" w:eastAsia="Arial" w:hAnsi="Arial"/>
                <w:sz w:val="16"/>
                <w:szCs w:val="16"/>
                <w:color w:val="auto"/>
              </w:rPr>
              <w:t>386</w:t>
            </w:r>
          </w:p>
        </w:tc>
        <w:tc>
          <w:tcPr>
            <w:tcW w:w="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379</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(25)</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741</w:t>
            </w:r>
          </w:p>
        </w:tc>
        <w:tc>
          <w:tcPr>
            <w:tcW w:w="700" w:type="dxa"/>
            <w:vAlign w:val="bottom"/>
          </w:tcPr>
          <w:p>
            <w:pPr>
              <w:jc w:val="right"/>
              <w:spacing w:after="0"/>
              <w:rPr>
                <w:sz w:val="20"/>
                <w:szCs w:val="20"/>
                <w:color w:val="auto"/>
              </w:rPr>
            </w:pPr>
            <w:r>
              <w:rPr>
                <w:rFonts w:ascii="Arial" w:cs="Arial" w:eastAsia="Arial" w:hAnsi="Arial"/>
                <w:sz w:val="16"/>
                <w:szCs w:val="16"/>
                <w:color w:val="auto"/>
              </w:rPr>
              <w:t>240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2,116</w:t>
            </w:r>
          </w:p>
        </w:tc>
        <w:tc>
          <w:tcPr>
            <w:tcW w:w="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17,327</w:t>
            </w:r>
          </w:p>
        </w:tc>
        <w:tc>
          <w:tcPr>
            <w:tcW w:w="6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Arial" w:cs="Arial" w:eastAsia="Arial" w:hAnsi="Arial"/>
                <w:sz w:val="16"/>
                <w:szCs w:val="16"/>
                <w:color w:val="auto"/>
              </w:rPr>
              <w:t>Microfinance</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MiBanco</w:t>
            </w:r>
          </w:p>
        </w:tc>
        <w:tc>
          <w:tcPr>
            <w:tcW w:w="8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3,236</w:t>
            </w:r>
          </w:p>
        </w:tc>
        <w:tc>
          <w:tcPr>
            <w:tcW w:w="10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187</w:t>
            </w:r>
          </w:p>
        </w:tc>
        <w:tc>
          <w:tcPr>
            <w:tcW w:w="9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2,165</w:t>
            </w:r>
          </w:p>
        </w:tc>
        <w:tc>
          <w:tcPr>
            <w:tcW w:w="94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155</w:t>
            </w:r>
          </w:p>
        </w:tc>
        <w:tc>
          <w:tcPr>
            <w:tcW w:w="7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(923)</w:t>
            </w:r>
          </w:p>
        </w:tc>
        <w:tc>
          <w:tcPr>
            <w:tcW w:w="136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(87)</w:t>
            </w:r>
          </w:p>
        </w:tc>
        <w:tc>
          <w:tcPr>
            <w:tcW w:w="8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(47)</w:t>
            </w:r>
          </w:p>
        </w:tc>
        <w:tc>
          <w:tcPr>
            <w:tcW w:w="7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202</w:t>
            </w:r>
          </w:p>
        </w:tc>
        <w:tc>
          <w:tcPr>
            <w:tcW w:w="40" w:type="dxa"/>
            <w:vAlign w:val="bottom"/>
          </w:tcPr>
          <w:p>
            <w:pPr>
              <w:spacing w:after="0"/>
              <w:rPr>
                <w:sz w:val="15"/>
                <w:szCs w:val="15"/>
                <w:color w:val="auto"/>
              </w:rPr>
            </w:pPr>
          </w:p>
        </w:tc>
        <w:tc>
          <w:tcPr>
            <w:tcW w:w="96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129</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16,931</w:t>
            </w:r>
          </w:p>
        </w:tc>
        <w:tc>
          <w:tcPr>
            <w:tcW w:w="72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13,902</w:t>
            </w: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MiBanco</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100" w:type="dxa"/>
            <w:vAlign w:val="bottom"/>
            <w:gridSpan w:val="2"/>
          </w:tcPr>
          <w:p>
            <w:pPr>
              <w:spacing w:after="0"/>
              <w:rPr>
                <w:sz w:val="20"/>
                <w:szCs w:val="20"/>
                <w:color w:val="auto"/>
              </w:rPr>
            </w:pPr>
            <w:r>
              <w:rPr>
                <w:rFonts w:ascii="Arial" w:cs="Arial" w:eastAsia="Arial" w:hAnsi="Arial"/>
                <w:sz w:val="16"/>
                <w:szCs w:val="16"/>
                <w:color w:val="auto"/>
              </w:rPr>
              <w:t>Colombia</w:t>
            </w:r>
          </w:p>
        </w:tc>
        <w:tc>
          <w:tcPr>
            <w:tcW w:w="740" w:type="dxa"/>
            <w:vAlign w:val="bottom"/>
          </w:tcPr>
          <w:p>
            <w:pPr>
              <w:jc w:val="right"/>
              <w:spacing w:after="0"/>
              <w:rPr>
                <w:sz w:val="20"/>
                <w:szCs w:val="20"/>
                <w:color w:val="auto"/>
              </w:rPr>
            </w:pPr>
            <w:r>
              <w:rPr>
                <w:rFonts w:ascii="Arial" w:cs="Arial" w:eastAsia="Arial" w:hAnsi="Arial"/>
                <w:sz w:val="16"/>
                <w:szCs w:val="16"/>
                <w:color w:val="auto"/>
              </w:rPr>
              <w:t>489</w:t>
            </w:r>
          </w:p>
        </w:tc>
        <w:tc>
          <w:tcPr>
            <w:tcW w:w="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255</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(125)</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(15)</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44</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2,164</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3,725</w:t>
            </w:r>
          </w:p>
        </w:tc>
        <w:tc>
          <w:tcPr>
            <w:tcW w:w="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2,420</w:t>
            </w:r>
          </w:p>
        </w:tc>
        <w:tc>
          <w:tcPr>
            <w:tcW w:w="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19,095</w:t>
            </w:r>
          </w:p>
        </w:tc>
        <w:tc>
          <w:tcPr>
            <w:tcW w:w="60" w:type="dxa"/>
            <w:vAlign w:val="bottom"/>
          </w:tcPr>
          <w:p>
            <w:pPr>
              <w:spacing w:after="0"/>
              <w:rPr>
                <w:sz w:val="17"/>
                <w:szCs w:val="17"/>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15,794</w:t>
            </w:r>
          </w:p>
        </w:tc>
        <w:tc>
          <w:tcPr>
            <w:tcW w:w="0" w:type="dxa"/>
            <w:vAlign w:val="bottom"/>
          </w:tcPr>
          <w:p>
            <w:pPr>
              <w:spacing w:after="0"/>
              <w:rPr>
                <w:sz w:val="1"/>
                <w:szCs w:val="1"/>
                <w:color w:val="auto"/>
              </w:rPr>
            </w:pPr>
          </w:p>
        </w:tc>
      </w:tr>
      <w:tr>
        <w:trPr>
          <w:trHeight w:val="306"/>
        </w:trPr>
        <w:tc>
          <w:tcPr>
            <w:tcW w:w="1100" w:type="dxa"/>
            <w:vAlign w:val="bottom"/>
            <w:gridSpan w:val="2"/>
          </w:tcPr>
          <w:p>
            <w:pPr>
              <w:spacing w:after="0"/>
              <w:rPr>
                <w:sz w:val="20"/>
                <w:szCs w:val="20"/>
                <w:color w:val="auto"/>
              </w:rPr>
            </w:pPr>
            <w:r>
              <w:rPr>
                <w:rFonts w:ascii="Arial" w:cs="Arial" w:eastAsia="Arial" w:hAnsi="Arial"/>
                <w:sz w:val="16"/>
                <w:szCs w:val="16"/>
                <w:color w:val="auto"/>
              </w:rPr>
              <w:t>Investment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00" w:type="dxa"/>
            <w:vAlign w:val="bottom"/>
            <w:gridSpan w:val="2"/>
          </w:tcPr>
          <w:p>
            <w:pPr>
              <w:spacing w:after="0" w:line="175" w:lineRule="exact"/>
              <w:rPr>
                <w:sz w:val="20"/>
                <w:szCs w:val="20"/>
                <w:color w:val="auto"/>
              </w:rPr>
            </w:pPr>
            <w:r>
              <w:rPr>
                <w:rFonts w:ascii="Arial" w:cs="Arial" w:eastAsia="Arial" w:hAnsi="Arial"/>
                <w:sz w:val="16"/>
                <w:szCs w:val="16"/>
                <w:color w:val="auto"/>
              </w:rPr>
              <w:t>Management</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100" w:type="dxa"/>
            <w:vAlign w:val="bottom"/>
            <w:gridSpan w:val="2"/>
          </w:tcPr>
          <w:p>
            <w:pPr>
              <w:spacing w:after="0"/>
              <w:rPr>
                <w:sz w:val="20"/>
                <w:szCs w:val="20"/>
                <w:color w:val="auto"/>
              </w:rPr>
            </w:pPr>
            <w:r>
              <w:rPr>
                <w:rFonts w:ascii="Arial" w:cs="Arial" w:eastAsia="Arial" w:hAnsi="Arial"/>
                <w:sz w:val="16"/>
                <w:szCs w:val="16"/>
                <w:color w:val="auto"/>
              </w:rPr>
              <w:t>and Advisory</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1,210</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518</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809</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(50)</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(31)</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10,104</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8,394</w:t>
            </w:r>
          </w:p>
        </w:tc>
        <w:tc>
          <w:tcPr>
            <w:tcW w:w="0" w:type="dxa"/>
            <w:vAlign w:val="bottom"/>
          </w:tcPr>
          <w:p>
            <w:pPr>
              <w:spacing w:after="0"/>
              <w:rPr>
                <w:sz w:val="1"/>
                <w:szCs w:val="1"/>
                <w:color w:val="auto"/>
              </w:rPr>
            </w:pPr>
          </w:p>
        </w:tc>
      </w:tr>
      <w:tr>
        <w:trPr>
          <w:trHeight w:val="320"/>
        </w:trPr>
        <w:tc>
          <w:tcPr>
            <w:tcW w:w="1100" w:type="dxa"/>
            <w:vAlign w:val="bottom"/>
            <w:gridSpan w:val="2"/>
          </w:tcPr>
          <w:p>
            <w:pPr>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100" w:type="dxa"/>
            <w:vAlign w:val="bottom"/>
            <w:gridSpan w:val="2"/>
          </w:tcPr>
          <w:p>
            <w:pPr>
              <w:spacing w:after="0"/>
              <w:rPr>
                <w:sz w:val="20"/>
                <w:szCs w:val="20"/>
                <w:color w:val="auto"/>
              </w:rPr>
            </w:pPr>
            <w:r>
              <w:rPr>
                <w:rFonts w:ascii="Arial" w:cs="Arial" w:eastAsia="Arial" w:hAnsi="Arial"/>
                <w:sz w:val="16"/>
                <w:szCs w:val="16"/>
                <w:color w:val="auto"/>
              </w:rPr>
              <w:t>segments</w:t>
            </w:r>
          </w:p>
        </w:tc>
        <w:tc>
          <w:tcPr>
            <w:tcW w:w="740" w:type="dxa"/>
            <w:vAlign w:val="bottom"/>
          </w:tcPr>
          <w:p>
            <w:pPr>
              <w:jc w:val="right"/>
              <w:spacing w:after="0"/>
              <w:rPr>
                <w:sz w:val="20"/>
                <w:szCs w:val="20"/>
                <w:color w:val="auto"/>
              </w:rPr>
            </w:pPr>
            <w:r>
              <w:rPr>
                <w:rFonts w:ascii="Arial" w:cs="Arial" w:eastAsia="Arial" w:hAnsi="Arial"/>
                <w:sz w:val="16"/>
                <w:szCs w:val="16"/>
                <w:color w:val="auto"/>
              </w:rPr>
              <w:t>278</w:t>
            </w:r>
          </w:p>
        </w:tc>
        <w:tc>
          <w:tcPr>
            <w:tcW w:w="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105</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216</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10</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(179)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(609)</w:t>
            </w:r>
          </w:p>
        </w:tc>
        <w:tc>
          <w:tcPr>
            <w:tcW w:w="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4,947</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338"/>
        </w:trPr>
        <w:tc>
          <w:tcPr>
            <w:tcW w:w="1100" w:type="dxa"/>
            <w:vAlign w:val="bottom"/>
            <w:gridSpan w:val="2"/>
          </w:tcPr>
          <w:p>
            <w:pPr>
              <w:spacing w:after="0"/>
              <w:rPr>
                <w:sz w:val="20"/>
                <w:szCs w:val="20"/>
                <w:color w:val="auto"/>
              </w:rPr>
            </w:pPr>
            <w:r>
              <w:rPr>
                <w:rFonts w:ascii="Arial" w:cs="Arial" w:eastAsia="Arial" w:hAnsi="Arial"/>
                <w:sz w:val="16"/>
                <w:szCs w:val="16"/>
                <w:color w:val="auto"/>
              </w:rPr>
              <w:t>Eliminations</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(286)</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(114)</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(3,317)</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(3,301)</w:t>
            </w:r>
          </w:p>
        </w:tc>
        <w:tc>
          <w:tcPr>
            <w:tcW w:w="0" w:type="dxa"/>
            <w:vAlign w:val="bottom"/>
          </w:tcPr>
          <w:p>
            <w:pPr>
              <w:spacing w:after="0"/>
              <w:rPr>
                <w:sz w:val="1"/>
                <w:szCs w:val="1"/>
                <w:color w:val="auto"/>
              </w:rPr>
            </w:pPr>
          </w:p>
        </w:tc>
      </w:tr>
      <w:tr>
        <w:trPr>
          <w:trHeight w:val="147"/>
        </w:trPr>
        <w:tc>
          <w:tcPr>
            <w:tcW w:w="1100" w:type="dxa"/>
            <w:vAlign w:val="bottom"/>
            <w:gridSpan w:val="2"/>
          </w:tcPr>
          <w:p>
            <w:pPr>
              <w:spacing w:after="0" w:line="147" w:lineRule="exact"/>
              <w:rPr>
                <w:sz w:val="20"/>
                <w:szCs w:val="20"/>
                <w:color w:val="auto"/>
              </w:rPr>
            </w:pPr>
            <w:r>
              <w:rPr>
                <w:rFonts w:ascii="Arial" w:cs="Arial" w:eastAsia="Arial" w:hAnsi="Arial"/>
                <w:sz w:val="16"/>
                <w:szCs w:val="16"/>
                <w:b w:val="1"/>
                <w:bCs w:val="1"/>
                <w:color w:val="auto"/>
              </w:rPr>
              <w:t>Total</w:t>
            </w: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consolidated</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25,665</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2,051</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12,938</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6,867</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(3,957)</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(659)</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(1,888)</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4,960</w:t>
            </w:r>
          </w:p>
        </w:tc>
        <w:tc>
          <w:tcPr>
            <w:tcW w:w="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1,214</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238,840</w:t>
            </w:r>
          </w:p>
        </w:tc>
        <w:tc>
          <w:tcPr>
            <w:tcW w:w="700" w:type="dxa"/>
            <w:vAlign w:val="bottom"/>
          </w:tcPr>
          <w:p>
            <w:pPr>
              <w:jc w:val="right"/>
              <w:spacing w:after="0"/>
              <w:rPr>
                <w:sz w:val="20"/>
                <w:szCs w:val="20"/>
                <w:color w:val="auto"/>
              </w:rPr>
            </w:pPr>
            <w:r>
              <w:rPr>
                <w:rFonts w:ascii="Arial" w:cs="Arial" w:eastAsia="Arial" w:hAnsi="Arial"/>
                <w:sz w:val="16"/>
                <w:szCs w:val="16"/>
                <w:color w:val="auto"/>
              </w:rPr>
              <w:t>205,733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27" w:hanging="427"/>
        <w:spacing w:after="0"/>
        <w:tabs>
          <w:tab w:leader="none" w:pos="42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and the result of the insurance and reinsurance service.</w:t>
      </w:r>
    </w:p>
    <w:p>
      <w:pPr>
        <w:ind w:left="427" w:hanging="427"/>
        <w:spacing w:after="0" w:line="234" w:lineRule="auto"/>
        <w:tabs>
          <w:tab w:leader="none" w:pos="42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spacing w:after="0" w:line="1" w:lineRule="exact"/>
        <w:rPr>
          <w:sz w:val="20"/>
          <w:szCs w:val="20"/>
          <w:color w:val="auto"/>
        </w:rPr>
      </w:pPr>
    </w:p>
    <w:p>
      <w:pPr>
        <w:ind w:left="7"/>
        <w:spacing w:after="0"/>
        <w:tabs>
          <w:tab w:leader="none" w:pos="406"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Corresponds to other income (include income and expenses for commissions and insurance and the result of the insurance and reinsurance service.</w:t>
      </w:r>
    </w:p>
    <w:p>
      <w:pPr>
        <w:spacing w:after="0" w:line="29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120" w:name="page121"/>
    <w:bookmarkEnd w:id="120"/>
    <w:tbl>
      <w:tblPr>
        <w:tblLayout w:type="fixed"/>
        <w:tblInd w:w="7"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6"/>
                <w:szCs w:val="16"/>
                <w:b w:val="1"/>
                <w:bCs w:val="1"/>
                <w:color w:val="auto"/>
              </w:rPr>
              <w:t>Income (*)</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9"/>
              </w:rPr>
              <w:t>Net interest,</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Provision</w:t>
            </w:r>
          </w:p>
        </w:tc>
        <w:tc>
          <w:tcPr>
            <w:tcW w:w="13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Depreciation and</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Additions of</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similar</w:t>
            </w:r>
          </w:p>
        </w:tc>
        <w:tc>
          <w:tcPr>
            <w:tcW w:w="94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Other</w:t>
            </w:r>
          </w:p>
        </w:tc>
        <w:tc>
          <w:tcPr>
            <w:tcW w:w="10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for credit</w:t>
            </w:r>
          </w:p>
        </w:tc>
        <w:tc>
          <w:tcPr>
            <w:tcW w:w="130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fixed asset,</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From other</w:t>
            </w:r>
          </w:p>
        </w:tc>
        <w:tc>
          <w:tcPr>
            <w:tcW w:w="9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income and</w:t>
            </w:r>
          </w:p>
        </w:tc>
        <w:tc>
          <w:tcPr>
            <w:tcW w:w="1980" w:type="dxa"/>
            <w:vAlign w:val="bottom"/>
            <w:gridSpan w:val="5"/>
          </w:tcPr>
          <w:p>
            <w:pPr>
              <w:ind w:left="20"/>
              <w:spacing w:after="0" w:line="175" w:lineRule="exact"/>
              <w:rPr>
                <w:sz w:val="20"/>
                <w:szCs w:val="20"/>
                <w:color w:val="auto"/>
              </w:rPr>
            </w:pPr>
            <w:r>
              <w:rPr>
                <w:rFonts w:ascii="Arial" w:cs="Arial" w:eastAsia="Arial" w:hAnsi="Arial"/>
                <w:sz w:val="16"/>
                <w:szCs w:val="16"/>
                <w:b w:val="1"/>
                <w:bCs w:val="1"/>
                <w:color w:val="auto"/>
              </w:rPr>
              <w:t>income, net losses on</w:t>
            </w:r>
          </w:p>
        </w:tc>
        <w:tc>
          <w:tcPr>
            <w:tcW w:w="130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and</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5"/>
          </w:tcPr>
          <w:p>
            <w:pPr>
              <w:ind w:left="20"/>
              <w:spacing w:after="0" w:line="175" w:lineRule="exact"/>
              <w:rPr>
                <w:sz w:val="20"/>
                <w:szCs w:val="20"/>
                <w:color w:val="auto"/>
              </w:rPr>
            </w:pPr>
            <w:r>
              <w:rPr>
                <w:rFonts w:ascii="Arial" w:cs="Arial" w:eastAsia="Arial" w:hAnsi="Arial"/>
                <w:sz w:val="16"/>
                <w:szCs w:val="16"/>
                <w:b w:val="1"/>
                <w:bCs w:val="1"/>
                <w:color w:val="auto"/>
              </w:rPr>
              <w:t>Net profit intangibles</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jc w:val="right"/>
              <w:ind w:right="222"/>
              <w:spacing w:after="0" w:line="175"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6"/>
                <w:szCs w:val="16"/>
                <w:b w:val="1"/>
                <w:bCs w:val="1"/>
                <w:color w:val="auto"/>
              </w:rPr>
              <w:t>2022</w:t>
            </w:r>
          </w:p>
        </w:tc>
        <w:tc>
          <w:tcPr>
            <w:tcW w:w="840" w:type="dxa"/>
            <w:vAlign w:val="bottom"/>
            <w:gridSpan w:val="3"/>
          </w:tcPr>
          <w:p>
            <w:pPr>
              <w:ind w:left="40"/>
              <w:spacing w:after="0"/>
              <w:rPr>
                <w:sz w:val="20"/>
                <w:szCs w:val="20"/>
                <w:color w:val="auto"/>
              </w:rPr>
            </w:pPr>
            <w:r>
              <w:rPr>
                <w:rFonts w:ascii="Arial" w:cs="Arial" w:eastAsia="Arial" w:hAnsi="Arial"/>
                <w:sz w:val="16"/>
                <w:szCs w:val="16"/>
                <w:b w:val="1"/>
                <w:bCs w:val="1"/>
                <w:color w:val="auto"/>
              </w:rPr>
              <w:t>External</w:t>
            </w:r>
          </w:p>
        </w:tc>
        <w:tc>
          <w:tcPr>
            <w:tcW w:w="2000" w:type="dxa"/>
            <w:vAlign w:val="bottom"/>
            <w:gridSpan w:val="5"/>
          </w:tcPr>
          <w:p>
            <w:pPr>
              <w:ind w:left="20"/>
              <w:spacing w:after="0"/>
              <w:rPr>
                <w:sz w:val="20"/>
                <w:szCs w:val="20"/>
                <w:color w:val="auto"/>
              </w:rPr>
            </w:pPr>
            <w:r>
              <w:rPr>
                <w:rFonts w:ascii="Arial" w:cs="Arial" w:eastAsia="Arial" w:hAnsi="Arial"/>
                <w:sz w:val="16"/>
                <w:szCs w:val="16"/>
                <w:b w:val="1"/>
                <w:bCs w:val="1"/>
                <w:color w:val="auto"/>
              </w:rPr>
              <w:t>segments (**) expenses</w:t>
            </w: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2340" w:type="dxa"/>
            <w:vAlign w:val="bottom"/>
            <w:gridSpan w:val="5"/>
          </w:tcPr>
          <w:p>
            <w:pPr>
              <w:spacing w:after="0"/>
              <w:rPr>
                <w:sz w:val="20"/>
                <w:szCs w:val="20"/>
                <w:color w:val="auto"/>
              </w:rPr>
            </w:pPr>
            <w:r>
              <w:rPr>
                <w:rFonts w:ascii="Arial" w:cs="Arial" w:eastAsia="Arial" w:hAnsi="Arial"/>
                <w:sz w:val="16"/>
                <w:szCs w:val="16"/>
                <w:b w:val="1"/>
                <w:bCs w:val="1"/>
                <w:color w:val="auto"/>
              </w:rPr>
              <w:t>loan portfolio right-in-use</w:t>
            </w:r>
          </w:p>
        </w:tc>
        <w:tc>
          <w:tcPr>
            <w:tcW w:w="1640" w:type="dxa"/>
            <w:vAlign w:val="bottom"/>
            <w:gridSpan w:val="6"/>
          </w:tcPr>
          <w:p>
            <w:pPr>
              <w:ind w:left="40"/>
              <w:spacing w:after="0"/>
              <w:rPr>
                <w:sz w:val="20"/>
                <w:szCs w:val="20"/>
                <w:color w:val="auto"/>
              </w:rPr>
            </w:pPr>
            <w:r>
              <w:rPr>
                <w:rFonts w:ascii="Arial" w:cs="Arial" w:eastAsia="Arial" w:hAnsi="Arial"/>
                <w:sz w:val="16"/>
                <w:szCs w:val="16"/>
                <w:b w:val="1"/>
                <w:bCs w:val="1"/>
                <w:color w:val="auto"/>
              </w:rPr>
              <w:t>Income tax (loss)</w:t>
            </w:r>
          </w:p>
        </w:tc>
        <w:tc>
          <w:tcPr>
            <w:tcW w:w="2620" w:type="dxa"/>
            <w:vAlign w:val="bottom"/>
            <w:gridSpan w:val="5"/>
          </w:tcPr>
          <w:p>
            <w:pPr>
              <w:spacing w:after="0"/>
              <w:rPr>
                <w:sz w:val="20"/>
                <w:szCs w:val="20"/>
                <w:color w:val="auto"/>
              </w:rPr>
            </w:pPr>
            <w:r>
              <w:rPr>
                <w:rFonts w:ascii="Arial" w:cs="Arial" w:eastAsia="Arial" w:hAnsi="Arial"/>
                <w:sz w:val="16"/>
                <w:szCs w:val="16"/>
                <w:b w:val="1"/>
                <w:bCs w:val="1"/>
                <w:color w:val="auto"/>
                <w:w w:val="97"/>
              </w:rPr>
              <w:t>and goodwill Total assets liabilities</w:t>
            </w:r>
          </w:p>
        </w:tc>
        <w:tc>
          <w:tcPr>
            <w:tcW w:w="0" w:type="dxa"/>
            <w:vAlign w:val="bottom"/>
          </w:tcPr>
          <w:p>
            <w:pPr>
              <w:spacing w:after="0"/>
              <w:rPr>
                <w:sz w:val="1"/>
                <w:szCs w:val="1"/>
                <w:color w:val="auto"/>
              </w:rPr>
            </w:pPr>
          </w:p>
        </w:tc>
      </w:tr>
      <w:tr>
        <w:trPr>
          <w:trHeight w:val="152"/>
        </w:trPr>
        <w:tc>
          <w:tcPr>
            <w:tcW w:w="9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color w:val="auto"/>
              </w:rPr>
              <w:t>Universal</w:t>
            </w:r>
          </w:p>
        </w:tc>
        <w:tc>
          <w:tcPr>
            <w:tcW w:w="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Banking</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Banco de</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Crédito del</w:t>
            </w:r>
          </w:p>
        </w:tc>
        <w:tc>
          <w:tcPr>
            <w:tcW w:w="8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13,510</w:t>
            </w:r>
          </w:p>
        </w:tc>
        <w:tc>
          <w:tcPr>
            <w:tcW w:w="10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518</w:t>
            </w:r>
          </w:p>
        </w:tc>
        <w:tc>
          <w:tcPr>
            <w:tcW w:w="40" w:type="dxa"/>
            <w:vAlign w:val="bottom"/>
          </w:tcPr>
          <w:p>
            <w:pPr>
              <w:spacing w:after="0"/>
              <w:rPr>
                <w:sz w:val="15"/>
                <w:szCs w:val="15"/>
                <w:color w:val="auto"/>
              </w:rPr>
            </w:pPr>
          </w:p>
        </w:tc>
        <w:tc>
          <w:tcPr>
            <w:tcW w:w="9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7,828</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3,139</w:t>
            </w: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(1,448)</w:t>
            </w:r>
          </w:p>
        </w:tc>
        <w:tc>
          <w:tcPr>
            <w:tcW w:w="12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(452)</w:t>
            </w:r>
          </w:p>
        </w:tc>
        <w:tc>
          <w:tcPr>
            <w:tcW w:w="20" w:type="dxa"/>
            <w:vAlign w:val="bottom"/>
          </w:tcPr>
          <w:p>
            <w:pPr>
              <w:spacing w:after="0"/>
              <w:rPr>
                <w:sz w:val="15"/>
                <w:szCs w:val="15"/>
                <w:color w:val="auto"/>
              </w:rPr>
            </w:pP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(1,625)</w:t>
            </w:r>
          </w:p>
        </w:tc>
        <w:tc>
          <w:tcPr>
            <w:tcW w:w="7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4,258</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590</w:t>
            </w:r>
          </w:p>
        </w:tc>
        <w:tc>
          <w:tcPr>
            <w:tcW w:w="40" w:type="dxa"/>
            <w:vAlign w:val="bottom"/>
          </w:tcPr>
          <w:p>
            <w:pPr>
              <w:spacing w:after="0"/>
              <w:rPr>
                <w:sz w:val="15"/>
                <w:szCs w:val="15"/>
                <w:color w:val="auto"/>
              </w:rPr>
            </w:pP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177,907</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157,485</w:t>
            </w: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Perú</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Banco de</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Crédito de</w:t>
            </w:r>
          </w:p>
        </w:tc>
        <w:tc>
          <w:tcPr>
            <w:tcW w:w="8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865</w:t>
            </w:r>
          </w:p>
        </w:tc>
        <w:tc>
          <w:tcPr>
            <w:tcW w:w="10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w:t>
            </w:r>
          </w:p>
        </w:tc>
        <w:tc>
          <w:tcPr>
            <w:tcW w:w="40" w:type="dxa"/>
            <w:vAlign w:val="bottom"/>
          </w:tcPr>
          <w:p>
            <w:pPr>
              <w:spacing w:after="0"/>
              <w:rPr>
                <w:sz w:val="15"/>
                <w:szCs w:val="15"/>
                <w:color w:val="auto"/>
              </w:rPr>
            </w:pPr>
          </w:p>
        </w:tc>
        <w:tc>
          <w:tcPr>
            <w:tcW w:w="9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325</w:t>
            </w:r>
          </w:p>
        </w:tc>
        <w:tc>
          <w:tcPr>
            <w:tcW w:w="9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167</w:t>
            </w:r>
          </w:p>
        </w:tc>
        <w:tc>
          <w:tcPr>
            <w:tcW w:w="4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(69)</w:t>
            </w:r>
          </w:p>
        </w:tc>
        <w:tc>
          <w:tcPr>
            <w:tcW w:w="13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(24)</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(112)</w:t>
            </w:r>
          </w:p>
        </w:tc>
        <w:tc>
          <w:tcPr>
            <w:tcW w:w="7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68</w:t>
            </w:r>
          </w:p>
        </w:tc>
        <w:tc>
          <w:tcPr>
            <w:tcW w:w="10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15</w:t>
            </w: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12,698</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11,838</w:t>
            </w:r>
          </w:p>
        </w:tc>
        <w:tc>
          <w:tcPr>
            <w:tcW w:w="0" w:type="dxa"/>
            <w:vAlign w:val="bottom"/>
          </w:tcPr>
          <w:p>
            <w:pPr>
              <w:spacing w:after="0"/>
              <w:rPr>
                <w:sz w:val="1"/>
                <w:szCs w:val="1"/>
                <w:color w:val="auto"/>
              </w:rPr>
            </w:pPr>
          </w:p>
        </w:tc>
      </w:tr>
      <w:tr>
        <w:trPr>
          <w:trHeight w:val="201"/>
        </w:trPr>
        <w:tc>
          <w:tcPr>
            <w:tcW w:w="960" w:type="dxa"/>
            <w:vAlign w:val="bottom"/>
          </w:tcPr>
          <w:p>
            <w:pPr>
              <w:spacing w:after="0"/>
              <w:rPr>
                <w:sz w:val="20"/>
                <w:szCs w:val="20"/>
                <w:color w:val="auto"/>
              </w:rPr>
            </w:pPr>
            <w:r>
              <w:rPr>
                <w:rFonts w:ascii="Arial" w:cs="Arial" w:eastAsia="Arial" w:hAnsi="Arial"/>
                <w:sz w:val="16"/>
                <w:szCs w:val="16"/>
                <w:color w:val="auto"/>
              </w:rPr>
              <w:t>Bolivia</w:t>
            </w:r>
          </w:p>
        </w:tc>
        <w:tc>
          <w:tcPr>
            <w:tcW w:w="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14,375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w:t>
            </w: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3,306</w:t>
            </w:r>
          </w:p>
        </w:tc>
        <w:tc>
          <w:tcPr>
            <w:tcW w:w="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4,326</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605</w:t>
            </w: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190,605</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169,323</w:t>
            </w:r>
          </w:p>
        </w:tc>
        <w:tc>
          <w:tcPr>
            <w:tcW w:w="0" w:type="dxa"/>
            <w:vAlign w:val="bottom"/>
          </w:tcPr>
          <w:p>
            <w:pPr>
              <w:spacing w:after="0"/>
              <w:rPr>
                <w:sz w:val="1"/>
                <w:szCs w:val="1"/>
                <w:color w:val="auto"/>
              </w:rPr>
            </w:pPr>
          </w:p>
        </w:tc>
      </w:tr>
      <w:tr>
        <w:trPr>
          <w:trHeight w:val="306"/>
        </w:trPr>
        <w:tc>
          <w:tcPr>
            <w:tcW w:w="960" w:type="dxa"/>
            <w:vAlign w:val="bottom"/>
          </w:tcPr>
          <w:p>
            <w:pPr>
              <w:spacing w:after="0"/>
              <w:rPr>
                <w:sz w:val="20"/>
                <w:szCs w:val="20"/>
                <w:color w:val="auto"/>
              </w:rPr>
            </w:pPr>
            <w:r>
              <w:rPr>
                <w:rFonts w:ascii="Arial" w:cs="Arial" w:eastAsia="Arial" w:hAnsi="Arial"/>
                <w:sz w:val="16"/>
                <w:szCs w:val="16"/>
                <w:color w:val="auto"/>
              </w:rPr>
              <w:t>Insurance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and Pension</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funds</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Pacífico</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Seguros and</w:t>
            </w:r>
          </w:p>
        </w:tc>
        <w:tc>
          <w:tcPr>
            <w:tcW w:w="8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1,689</w:t>
            </w:r>
          </w:p>
        </w:tc>
        <w:tc>
          <w:tcPr>
            <w:tcW w:w="10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63</w:t>
            </w:r>
          </w:p>
        </w:tc>
        <w:tc>
          <w:tcPr>
            <w:tcW w:w="9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301</w:t>
            </w:r>
          </w:p>
        </w:tc>
        <w:tc>
          <w:tcPr>
            <w:tcW w:w="9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758</w:t>
            </w:r>
          </w:p>
        </w:tc>
        <w:tc>
          <w:tcPr>
            <w:tcW w:w="4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(12)</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467</w:t>
            </w:r>
          </w:p>
        </w:tc>
        <w:tc>
          <w:tcPr>
            <w:tcW w:w="40" w:type="dxa"/>
            <w:vAlign w:val="bottom"/>
          </w:tcPr>
          <w:p>
            <w:pPr>
              <w:spacing w:after="0"/>
              <w:rPr>
                <w:sz w:val="15"/>
                <w:szCs w:val="15"/>
                <w:color w:val="auto"/>
              </w:rPr>
            </w:pPr>
          </w:p>
        </w:tc>
        <w:tc>
          <w:tcPr>
            <w:tcW w:w="10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80</w:t>
            </w: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14,565</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12,149</w:t>
            </w: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subsidiaries</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60" w:type="dxa"/>
            <w:vAlign w:val="bottom"/>
          </w:tcPr>
          <w:p>
            <w:pPr>
              <w:spacing w:after="0"/>
              <w:rPr>
                <w:sz w:val="20"/>
                <w:szCs w:val="20"/>
                <w:color w:val="auto"/>
              </w:rPr>
            </w:pPr>
            <w:r>
              <w:rPr>
                <w:rFonts w:ascii="Arial" w:cs="Arial" w:eastAsia="Arial" w:hAnsi="Arial"/>
                <w:sz w:val="16"/>
                <w:szCs w:val="16"/>
                <w:color w:val="auto"/>
              </w:rPr>
              <w:t>Prima AFP</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354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354</w:t>
            </w:r>
          </w:p>
        </w:tc>
        <w:tc>
          <w:tcPr>
            <w:tcW w:w="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(23)</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(48)</w:t>
            </w:r>
          </w:p>
        </w:tc>
        <w:tc>
          <w:tcPr>
            <w:tcW w:w="760" w:type="dxa"/>
            <w:vAlign w:val="bottom"/>
            <w:gridSpan w:val="3"/>
          </w:tcPr>
          <w:p>
            <w:pPr>
              <w:jc w:val="right"/>
              <w:ind w:right="40"/>
              <w:spacing w:after="0"/>
              <w:rPr>
                <w:sz w:val="20"/>
                <w:szCs w:val="20"/>
                <w:color w:val="auto"/>
              </w:rPr>
            </w:pPr>
            <w:r>
              <w:rPr>
                <w:rFonts w:ascii="Arial" w:cs="Arial" w:eastAsia="Arial" w:hAnsi="Arial"/>
                <w:sz w:val="16"/>
                <w:szCs w:val="16"/>
                <w:color w:val="auto"/>
              </w:rPr>
              <w:t>110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735</w:t>
            </w:r>
          </w:p>
        </w:tc>
        <w:tc>
          <w:tcPr>
            <w:tcW w:w="66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4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4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4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15,300</w:t>
            </w:r>
          </w:p>
        </w:tc>
        <w:tc>
          <w:tcPr>
            <w:tcW w:w="6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12,387</w:t>
            </w:r>
          </w:p>
        </w:tc>
        <w:tc>
          <w:tcPr>
            <w:tcW w:w="0" w:type="dxa"/>
            <w:vAlign w:val="bottom"/>
          </w:tcPr>
          <w:p>
            <w:pPr>
              <w:spacing w:after="0"/>
              <w:rPr>
                <w:sz w:val="1"/>
                <w:szCs w:val="1"/>
                <w:color w:val="auto"/>
              </w:rPr>
            </w:pPr>
          </w:p>
        </w:tc>
      </w:tr>
      <w:tr>
        <w:trPr>
          <w:trHeight w:val="306"/>
        </w:trPr>
        <w:tc>
          <w:tcPr>
            <w:tcW w:w="960" w:type="dxa"/>
            <w:vAlign w:val="bottom"/>
          </w:tcPr>
          <w:p>
            <w:pPr>
              <w:spacing w:after="0"/>
              <w:rPr>
                <w:sz w:val="20"/>
                <w:szCs w:val="20"/>
                <w:color w:val="auto"/>
              </w:rPr>
            </w:pPr>
            <w:r>
              <w:rPr>
                <w:rFonts w:ascii="Arial" w:cs="Arial" w:eastAsia="Arial" w:hAnsi="Arial"/>
                <w:sz w:val="16"/>
                <w:szCs w:val="16"/>
                <w:color w:val="auto"/>
              </w:rPr>
              <w:t>Microfinance</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MiBanco</w:t>
            </w:r>
          </w:p>
        </w:tc>
        <w:tc>
          <w:tcPr>
            <w:tcW w:w="8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2,750</w:t>
            </w:r>
          </w:p>
        </w:tc>
        <w:tc>
          <w:tcPr>
            <w:tcW w:w="10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9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2,139</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31</w:t>
            </w: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(597)</w:t>
            </w:r>
          </w:p>
        </w:tc>
        <w:tc>
          <w:tcPr>
            <w:tcW w:w="13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(76)</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(165)</w:t>
            </w:r>
          </w:p>
        </w:tc>
        <w:tc>
          <w:tcPr>
            <w:tcW w:w="7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425</w:t>
            </w:r>
          </w:p>
        </w:tc>
        <w:tc>
          <w:tcPr>
            <w:tcW w:w="40" w:type="dxa"/>
            <w:vAlign w:val="bottom"/>
          </w:tcPr>
          <w:p>
            <w:pPr>
              <w:spacing w:after="0"/>
              <w:rPr>
                <w:sz w:val="15"/>
                <w:szCs w:val="15"/>
                <w:color w:val="auto"/>
              </w:rPr>
            </w:pPr>
          </w:p>
        </w:tc>
        <w:tc>
          <w:tcPr>
            <w:tcW w:w="10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96</w:t>
            </w: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17,226</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14,444</w:t>
            </w: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MiBanco</w:t>
            </w:r>
          </w:p>
        </w:tc>
        <w:tc>
          <w:tcPr>
            <w:tcW w:w="84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375</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236</w:t>
            </w: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45</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(45)</w:t>
            </w:r>
          </w:p>
        </w:tc>
        <w:tc>
          <w:tcPr>
            <w:tcW w:w="13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(13)</w:t>
            </w: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(7)</w:t>
            </w: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14</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5"/>
                <w:szCs w:val="15"/>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1,530</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123"/>
        </w:trPr>
        <w:tc>
          <w:tcPr>
            <w:tcW w:w="960" w:type="dxa"/>
            <w:vAlign w:val="bottom"/>
            <w:vMerge w:val="restart"/>
          </w:tcPr>
          <w:p>
            <w:pPr>
              <w:spacing w:after="0"/>
              <w:rPr>
                <w:sz w:val="20"/>
                <w:szCs w:val="20"/>
                <w:color w:val="auto"/>
              </w:rPr>
            </w:pPr>
            <w:r>
              <w:rPr>
                <w:rFonts w:ascii="Arial" w:cs="Arial" w:eastAsia="Arial" w:hAnsi="Arial"/>
                <w:sz w:val="16"/>
                <w:szCs w:val="16"/>
                <w:color w:val="auto"/>
              </w:rPr>
              <w:t>Colombia</w:t>
            </w:r>
          </w:p>
        </w:tc>
        <w:tc>
          <w:tcPr>
            <w:tcW w:w="84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9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3,125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439</w:t>
            </w:r>
          </w:p>
        </w:tc>
        <w:tc>
          <w:tcPr>
            <w:tcW w:w="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18,756</w:t>
            </w: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15,734</w:t>
            </w:r>
          </w:p>
        </w:tc>
        <w:tc>
          <w:tcPr>
            <w:tcW w:w="0" w:type="dxa"/>
            <w:vAlign w:val="bottom"/>
          </w:tcPr>
          <w:p>
            <w:pPr>
              <w:spacing w:after="0"/>
              <w:rPr>
                <w:sz w:val="1"/>
                <w:szCs w:val="1"/>
                <w:color w:val="auto"/>
              </w:rPr>
            </w:pPr>
          </w:p>
        </w:tc>
      </w:tr>
      <w:tr>
        <w:trPr>
          <w:trHeight w:val="306"/>
        </w:trPr>
        <w:tc>
          <w:tcPr>
            <w:tcW w:w="960" w:type="dxa"/>
            <w:vAlign w:val="bottom"/>
          </w:tcPr>
          <w:p>
            <w:pPr>
              <w:spacing w:after="0"/>
              <w:rPr>
                <w:sz w:val="20"/>
                <w:szCs w:val="20"/>
                <w:color w:val="auto"/>
              </w:rPr>
            </w:pPr>
            <w:r>
              <w:rPr>
                <w:rFonts w:ascii="Arial" w:cs="Arial" w:eastAsia="Arial" w:hAnsi="Arial"/>
                <w:sz w:val="16"/>
                <w:szCs w:val="16"/>
                <w:color w:val="auto"/>
              </w:rPr>
              <w:t>Investment</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Management</w:t>
            </w:r>
          </w:p>
        </w:tc>
        <w:tc>
          <w:tcPr>
            <w:tcW w:w="8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923</w:t>
            </w:r>
          </w:p>
        </w:tc>
        <w:tc>
          <w:tcPr>
            <w:tcW w:w="10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90</w:t>
            </w:r>
          </w:p>
        </w:tc>
        <w:tc>
          <w:tcPr>
            <w:tcW w:w="94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98</w:t>
            </w:r>
          </w:p>
        </w:tc>
        <w:tc>
          <w:tcPr>
            <w:tcW w:w="9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666</w:t>
            </w:r>
          </w:p>
        </w:tc>
        <w:tc>
          <w:tcPr>
            <w:tcW w:w="4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(41)</w:t>
            </w:r>
          </w:p>
        </w:tc>
        <w:tc>
          <w:tcPr>
            <w:tcW w:w="8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(15)</w:t>
            </w:r>
          </w:p>
        </w:tc>
        <w:tc>
          <w:tcPr>
            <w:tcW w:w="76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21</w:t>
            </w:r>
          </w:p>
        </w:tc>
        <w:tc>
          <w:tcPr>
            <w:tcW w:w="10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41</w:t>
            </w:r>
          </w:p>
        </w:tc>
        <w:tc>
          <w:tcPr>
            <w:tcW w:w="9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14,051</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10,670</w:t>
            </w: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and Advisory</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line="175" w:lineRule="exact"/>
              <w:rPr>
                <w:sz w:val="20"/>
                <w:szCs w:val="20"/>
                <w:color w:val="auto"/>
              </w:rPr>
            </w:pPr>
            <w:r>
              <w:rPr>
                <w:rFonts w:ascii="Arial" w:cs="Arial" w:eastAsia="Arial" w:hAnsi="Arial"/>
                <w:sz w:val="16"/>
                <w:szCs w:val="16"/>
                <w:color w:val="auto"/>
              </w:rPr>
              <w:t>Other</w:t>
            </w:r>
          </w:p>
        </w:tc>
        <w:tc>
          <w:tcPr>
            <w:tcW w:w="84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453</w:t>
            </w:r>
          </w:p>
        </w:tc>
        <w:tc>
          <w:tcPr>
            <w:tcW w:w="106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41</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165</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748</w:t>
            </w:r>
          </w:p>
        </w:tc>
        <w:tc>
          <w:tcPr>
            <w:tcW w:w="40" w:type="dxa"/>
            <w:vAlign w:val="bottom"/>
          </w:tcPr>
          <w:p>
            <w:pPr>
              <w:spacing w:after="0"/>
              <w:rPr>
                <w:sz w:val="15"/>
                <w:szCs w:val="15"/>
                <w:color w:val="auto"/>
              </w:rPr>
            </w:pP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(4)</w:t>
            </w: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(127)</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auto"/>
              </w:rPr>
              <w:t>(603)</w:t>
            </w:r>
          </w:p>
        </w:tc>
        <w:tc>
          <w:tcPr>
            <w:tcW w:w="40" w:type="dxa"/>
            <w:vAlign w:val="bottom"/>
          </w:tcPr>
          <w:p>
            <w:pPr>
              <w:spacing w:after="0"/>
              <w:rPr>
                <w:sz w:val="15"/>
                <w:szCs w:val="15"/>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61</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3,476</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111"/>
        </w:trPr>
        <w:tc>
          <w:tcPr>
            <w:tcW w:w="960" w:type="dxa"/>
            <w:vAlign w:val="bottom"/>
            <w:vMerge w:val="restart"/>
          </w:tcPr>
          <w:p>
            <w:pPr>
              <w:spacing w:after="0" w:line="175" w:lineRule="exact"/>
              <w:rPr>
                <w:sz w:val="20"/>
                <w:szCs w:val="20"/>
                <w:color w:val="auto"/>
              </w:rPr>
            </w:pPr>
            <w:r>
              <w:rPr>
                <w:rFonts w:ascii="Arial" w:cs="Arial" w:eastAsia="Arial" w:hAnsi="Arial"/>
                <w:sz w:val="16"/>
                <w:szCs w:val="16"/>
                <w:color w:val="auto"/>
              </w:rPr>
              <w:t>segments</w:t>
            </w:r>
          </w:p>
        </w:tc>
        <w:tc>
          <w:tcPr>
            <w:tcW w:w="840" w:type="dxa"/>
            <w:vAlign w:val="bottom"/>
            <w:gridSpan w:val="3"/>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9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20"/>
                <w:szCs w:val="20"/>
                <w:color w:val="auto"/>
              </w:rPr>
            </w:pPr>
            <w:r>
              <w:rPr>
                <w:rFonts w:ascii="Arial" w:cs="Arial" w:eastAsia="Arial" w:hAnsi="Arial"/>
                <w:sz w:val="16"/>
                <w:szCs w:val="16"/>
                <w:color w:val="auto"/>
              </w:rPr>
              <w:t>Eliminations</w:t>
            </w:r>
          </w:p>
        </w:tc>
        <w:tc>
          <w:tcPr>
            <w:tcW w:w="4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(6,774)</w:t>
            </w:r>
          </w:p>
        </w:tc>
        <w:tc>
          <w:tcPr>
            <w:tcW w:w="660" w:type="dxa"/>
            <w:vAlign w:val="bottom"/>
          </w:tcPr>
          <w:p>
            <w:pPr>
              <w:jc w:val="right"/>
              <w:spacing w:after="0"/>
              <w:rPr>
                <w:sz w:val="20"/>
                <w:szCs w:val="20"/>
                <w:color w:val="auto"/>
              </w:rPr>
            </w:pPr>
            <w:r>
              <w:rPr>
                <w:rFonts w:ascii="Arial" w:cs="Arial" w:eastAsia="Arial" w:hAnsi="Arial"/>
                <w:sz w:val="16"/>
                <w:szCs w:val="16"/>
                <w:color w:val="auto"/>
              </w:rPr>
              <w:t>(4,901)</w:t>
            </w:r>
          </w:p>
        </w:tc>
        <w:tc>
          <w:tcPr>
            <w:tcW w:w="0" w:type="dxa"/>
            <w:vAlign w:val="bottom"/>
          </w:tcPr>
          <w:p>
            <w:pPr>
              <w:spacing w:after="0"/>
              <w:rPr>
                <w:sz w:val="1"/>
                <w:szCs w:val="1"/>
                <w:color w:val="auto"/>
              </w:rPr>
            </w:pPr>
          </w:p>
        </w:tc>
      </w:tr>
      <w:tr>
        <w:trPr>
          <w:trHeight w:val="28"/>
        </w:trPr>
        <w:tc>
          <w:tcPr>
            <w:tcW w:w="960" w:type="dxa"/>
            <w:vAlign w:val="bottom"/>
            <w:vMerge w:val="restart"/>
          </w:tcPr>
          <w:p>
            <w:pPr>
              <w:spacing w:after="0" w:line="175"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960" w:type="dxa"/>
            <w:vAlign w:val="bottom"/>
            <w:vMerge w:val="continue"/>
          </w:tcPr>
          <w:p>
            <w:pPr>
              <w:spacing w:after="0"/>
              <w:rPr>
                <w:sz w:val="12"/>
                <w:szCs w:val="12"/>
                <w:color w:val="auto"/>
              </w:rPr>
            </w:pPr>
          </w:p>
        </w:tc>
        <w:tc>
          <w:tcPr>
            <w:tcW w:w="40" w:type="dxa"/>
            <w:vAlign w:val="bottom"/>
            <w:vMerge w:val="restart"/>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20,919</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725</w:t>
            </w:r>
          </w:p>
        </w:tc>
        <w:tc>
          <w:tcPr>
            <w:tcW w:w="40" w:type="dxa"/>
            <w:vAlign w:val="bottom"/>
          </w:tcPr>
          <w:p>
            <w:pPr>
              <w:spacing w:after="0"/>
              <w:rPr>
                <w:sz w:val="12"/>
                <w:szCs w:val="12"/>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11,092</w:t>
            </w: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5,908</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(2,159)</w:t>
            </w: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color w:val="auto"/>
              </w:rPr>
              <w:t>(636)</w:t>
            </w:r>
          </w:p>
        </w:tc>
        <w:tc>
          <w:tcPr>
            <w:tcW w:w="20" w:type="dxa"/>
            <w:vAlign w:val="bottom"/>
          </w:tcPr>
          <w:p>
            <w:pPr>
              <w:spacing w:after="0"/>
              <w:rPr>
                <w:sz w:val="12"/>
                <w:szCs w:val="12"/>
                <w:color w:val="auto"/>
              </w:rPr>
            </w:pPr>
          </w:p>
        </w:tc>
        <w:tc>
          <w:tcPr>
            <w:tcW w:w="8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(2,111)</w:t>
            </w: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4,760</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920</w:t>
            </w:r>
          </w:p>
        </w:tc>
        <w:tc>
          <w:tcPr>
            <w:tcW w:w="40" w:type="dxa"/>
            <w:vAlign w:val="bottom"/>
          </w:tcPr>
          <w:p>
            <w:pPr>
              <w:spacing w:after="0"/>
              <w:rPr>
                <w:sz w:val="12"/>
                <w:szCs w:val="12"/>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235,414</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205,819</w:t>
            </w:r>
          </w:p>
        </w:tc>
        <w:tc>
          <w:tcPr>
            <w:tcW w:w="0" w:type="dxa"/>
            <w:vAlign w:val="bottom"/>
          </w:tcPr>
          <w:p>
            <w:pPr>
              <w:spacing w:after="0"/>
              <w:rPr>
                <w:sz w:val="1"/>
                <w:szCs w:val="1"/>
                <w:color w:val="auto"/>
              </w:rPr>
            </w:pPr>
          </w:p>
        </w:tc>
      </w:tr>
      <w:tr>
        <w:trPr>
          <w:trHeight w:val="125"/>
        </w:trPr>
        <w:tc>
          <w:tcPr>
            <w:tcW w:w="960" w:type="dxa"/>
            <w:vAlign w:val="bottom"/>
            <w:vMerge w:val="restart"/>
          </w:tcPr>
          <w:p>
            <w:pPr>
              <w:spacing w:after="0"/>
              <w:rPr>
                <w:sz w:val="20"/>
                <w:szCs w:val="20"/>
                <w:color w:val="auto"/>
              </w:rPr>
            </w:pPr>
            <w:r>
              <w:rPr>
                <w:rFonts w:ascii="Arial" w:cs="Arial" w:eastAsia="Arial" w:hAnsi="Arial"/>
                <w:sz w:val="16"/>
                <w:szCs w:val="16"/>
                <w:b w:val="1"/>
                <w:bCs w:val="1"/>
                <w:color w:val="auto"/>
                <w:w w:val="95"/>
              </w:rPr>
              <w:t>consolidated</w:t>
            </w:r>
          </w:p>
        </w:tc>
        <w:tc>
          <w:tcPr>
            <w:tcW w:w="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9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27" w:hanging="427"/>
        <w:spacing w:after="0"/>
        <w:tabs>
          <w:tab w:leader="none" w:pos="42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Corresponds to total interest and similar income, other income and the result of the insurance and reinsurance service.</w:t>
      </w:r>
    </w:p>
    <w:p>
      <w:pPr>
        <w:ind w:left="427" w:hanging="427"/>
        <w:spacing w:after="0" w:line="234" w:lineRule="auto"/>
        <w:tabs>
          <w:tab w:leader="none" w:pos="42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Corresponds to income derived from transactions with other segments, which were eliminated in the consolidated statement of income.</w:t>
      </w:r>
    </w:p>
    <w:p>
      <w:pPr>
        <w:spacing w:after="0" w:line="1" w:lineRule="exact"/>
        <w:rPr>
          <w:sz w:val="20"/>
          <w:szCs w:val="20"/>
          <w:color w:val="auto"/>
        </w:rPr>
      </w:pPr>
    </w:p>
    <w:p>
      <w:pPr>
        <w:ind w:left="7"/>
        <w:spacing w:after="0"/>
        <w:tabs>
          <w:tab w:leader="none" w:pos="406"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Corresponds to other income (include income and expenses for commissions and insurance and the result of the insurance and reinsurance service.</w:t>
      </w:r>
    </w:p>
    <w:p>
      <w:pPr>
        <w:spacing w:after="0" w:line="299" w:lineRule="exact"/>
        <w:rPr>
          <w:sz w:val="20"/>
          <w:szCs w:val="20"/>
          <w:color w:val="auto"/>
        </w:rPr>
      </w:pPr>
    </w:p>
    <w:p>
      <w:pPr>
        <w:jc w:val="center"/>
        <w:ind w:right="73"/>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347"/>
          </w:cols>
          <w:pgMar w:left="313" w:top="124" w:right="239" w:bottom="1440" w:gutter="0" w:footer="0" w:header="0"/>
        </w:sectPr>
      </w:pPr>
    </w:p>
    <w:bookmarkStart w:id="121" w:name="page122"/>
    <w:bookmarkEnd w:id="121"/>
    <w:p>
      <w:pPr>
        <w:ind w:left="287" w:right="420" w:hanging="287"/>
        <w:spacing w:after="0" w:line="257" w:lineRule="auto"/>
        <w:tabs>
          <w:tab w:leader="none" w:pos="28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following table presents (in millions of soles) the distribution of the total revenue, operating revenue and non-current assets of the Group; all assigned based on the location of the clients and assets, respectively, as of December 31, 2024, 2023 and 2022:</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48"/>
        </w:trPr>
        <w:tc>
          <w:tcPr>
            <w:tcW w:w="1240" w:type="dxa"/>
            <w:vAlign w:val="bottom"/>
          </w:tcPr>
          <w:p>
            <w:pPr>
              <w:spacing w:after="0"/>
              <w:rPr>
                <w:sz w:val="12"/>
                <w:szCs w:val="12"/>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2024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2022</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w:t>
            </w:r>
          </w:p>
        </w:tc>
        <w:tc>
          <w:tcPr>
            <w:tcW w:w="8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Operating</w:t>
            </w:r>
          </w:p>
        </w:tc>
        <w:tc>
          <w:tcPr>
            <w:tcW w:w="7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Total non</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Total</w:t>
            </w:r>
          </w:p>
        </w:tc>
        <w:tc>
          <w:tcPr>
            <w:tcW w:w="20" w:type="dxa"/>
            <w:vAlign w:val="bottom"/>
            <w:vMerge w:val="restart"/>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Total</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Operating</w:t>
            </w:r>
          </w:p>
        </w:tc>
        <w:tc>
          <w:tcPr>
            <w:tcW w:w="12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Total non</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Total</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Operating</w:t>
            </w:r>
          </w:p>
        </w:tc>
        <w:tc>
          <w:tcPr>
            <w:tcW w:w="1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non</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70"/>
        </w:trPr>
        <w:tc>
          <w:tcPr>
            <w:tcW w:w="12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current</w:t>
            </w:r>
          </w:p>
        </w:tc>
        <w:tc>
          <w:tcPr>
            <w:tcW w:w="680" w:type="dxa"/>
            <w:vAlign w:val="bottom"/>
            <w:gridSpan w:val="2"/>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240" w:type="dxa"/>
            <w:vAlign w:val="bottom"/>
          </w:tcPr>
          <w:p>
            <w:pPr>
              <w:spacing w:after="0"/>
              <w:rPr>
                <w:sz w:val="6"/>
                <w:szCs w:val="6"/>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income (*)</w:t>
            </w:r>
          </w:p>
        </w:tc>
        <w:tc>
          <w:tcPr>
            <w:tcW w:w="8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income (**)</w:t>
            </w:r>
          </w:p>
        </w:tc>
        <w:tc>
          <w:tcPr>
            <w:tcW w:w="720" w:type="dxa"/>
            <w:vAlign w:val="bottom"/>
            <w:gridSpan w:val="2"/>
            <w:vMerge w:val="continue"/>
          </w:tcPr>
          <w:p>
            <w:pPr>
              <w:spacing w:after="0"/>
              <w:rPr>
                <w:sz w:val="6"/>
                <w:szCs w:val="6"/>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liabilities</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income (*)</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income (**)</w:t>
            </w:r>
          </w:p>
        </w:tc>
        <w:tc>
          <w:tcPr>
            <w:tcW w:w="12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current assets (***)</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liabilities</w:t>
            </w: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income (*)</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income (**)</w:t>
            </w:r>
          </w:p>
        </w:tc>
        <w:tc>
          <w:tcPr>
            <w:tcW w:w="1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current assets (***)</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liabilities</w:t>
            </w: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Arial" w:cs="Arial" w:eastAsia="Arial" w:hAnsi="Arial"/>
                <w:sz w:val="12"/>
                <w:szCs w:val="12"/>
                <w:color w:val="auto"/>
              </w:rPr>
              <w:t>Peru</w:t>
            </w:r>
          </w:p>
        </w:tc>
        <w:tc>
          <w:tcPr>
            <w:tcW w:w="70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assets (***)</w:t>
            </w:r>
          </w:p>
        </w:tc>
        <w:tc>
          <w:tcPr>
            <w:tcW w:w="70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24,573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13,358</w:t>
            </w:r>
          </w:p>
        </w:tc>
        <w:tc>
          <w:tcPr>
            <w:tcW w:w="80" w:type="dxa"/>
            <w:vAlign w:val="bottom"/>
          </w:tcPr>
          <w:p>
            <w:pPr>
              <w:spacing w:after="0"/>
              <w:rPr>
                <w:sz w:val="10"/>
                <w:szCs w:val="10"/>
                <w:color w:val="auto"/>
              </w:rPr>
            </w:pPr>
          </w:p>
        </w:tc>
        <w:tc>
          <w:tcPr>
            <w:tcW w:w="6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4,459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196,497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22,588</w:t>
            </w:r>
          </w:p>
        </w:tc>
        <w:tc>
          <w:tcPr>
            <w:tcW w:w="80" w:type="dxa"/>
            <w:vAlign w:val="bottom"/>
          </w:tcPr>
          <w:p>
            <w:pPr>
              <w:spacing w:after="0"/>
              <w:rPr>
                <w:sz w:val="10"/>
                <w:szCs w:val="10"/>
                <w:color w:val="auto"/>
              </w:rPr>
            </w:pPr>
          </w:p>
        </w:tc>
        <w:tc>
          <w:tcPr>
            <w:tcW w:w="7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11,922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4,648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180,268</w:t>
            </w:r>
          </w:p>
        </w:tc>
        <w:tc>
          <w:tcPr>
            <w:tcW w:w="100" w:type="dxa"/>
            <w:vAlign w:val="bottom"/>
          </w:tcPr>
          <w:p>
            <w:pPr>
              <w:spacing w:after="0"/>
              <w:rPr>
                <w:sz w:val="10"/>
                <w:szCs w:val="10"/>
                <w:color w:val="auto"/>
              </w:rPr>
            </w:pPr>
          </w:p>
        </w:tc>
        <w:tc>
          <w:tcPr>
            <w:tcW w:w="66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14,053</w:t>
            </w:r>
          </w:p>
        </w:tc>
        <w:tc>
          <w:tcPr>
            <w:tcW w:w="160" w:type="dxa"/>
            <w:vAlign w:val="bottom"/>
          </w:tcPr>
          <w:p>
            <w:pPr>
              <w:spacing w:after="0"/>
              <w:rPr>
                <w:sz w:val="10"/>
                <w:szCs w:val="10"/>
                <w:color w:val="auto"/>
              </w:rPr>
            </w:pPr>
          </w:p>
        </w:tc>
        <w:tc>
          <w:tcPr>
            <w:tcW w:w="6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10,430</w:t>
            </w:r>
          </w:p>
        </w:tc>
        <w:tc>
          <w:tcPr>
            <w:tcW w:w="80" w:type="dxa"/>
            <w:vAlign w:val="bottom"/>
          </w:tcPr>
          <w:p>
            <w:pPr>
              <w:spacing w:after="0"/>
              <w:rPr>
                <w:sz w:val="10"/>
                <w:szCs w:val="10"/>
                <w:color w:val="auto"/>
              </w:rPr>
            </w:pPr>
          </w:p>
        </w:tc>
        <w:tc>
          <w:tcPr>
            <w:tcW w:w="11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4,325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179,855</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20"/>
                <w:szCs w:val="20"/>
                <w:color w:val="auto"/>
              </w:rPr>
            </w:pPr>
            <w:r>
              <w:rPr>
                <w:rFonts w:ascii="Arial" w:cs="Arial" w:eastAsia="Arial" w:hAnsi="Arial"/>
                <w:sz w:val="12"/>
                <w:szCs w:val="12"/>
                <w:color w:val="auto"/>
              </w:rPr>
              <w:t>Bermuda</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(767)</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(636)</w:t>
            </w:r>
          </w:p>
        </w:tc>
        <w:tc>
          <w:tcPr>
            <w:tcW w:w="8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5</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1,917</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150</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(45)</w:t>
            </w: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2,086</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5,151</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(28)</w:t>
            </w:r>
          </w:p>
        </w:tc>
        <w:tc>
          <w:tcPr>
            <w:tcW w:w="1180" w:type="dxa"/>
            <w:vAlign w:val="bottom"/>
            <w:gridSpan w:val="2"/>
          </w:tcPr>
          <w:p>
            <w:pPr>
              <w:jc w:val="right"/>
              <w:ind w:right="60"/>
              <w:spacing w:after="0"/>
              <w:rPr>
                <w:sz w:val="20"/>
                <w:szCs w:val="20"/>
                <w:color w:val="auto"/>
              </w:rPr>
            </w:pPr>
            <w:r>
              <w:rPr>
                <w:rFonts w:ascii="Arial" w:cs="Arial" w:eastAsia="Arial" w:hAnsi="Arial"/>
                <w:sz w:val="12"/>
                <w:szCs w:val="12"/>
                <w:color w:val="auto"/>
              </w:rPr>
              <w:t>134</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2,123</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20"/>
                <w:szCs w:val="20"/>
                <w:color w:val="auto"/>
              </w:rPr>
            </w:pPr>
            <w:r>
              <w:rPr>
                <w:rFonts w:ascii="Arial" w:cs="Arial" w:eastAsia="Arial" w:hAnsi="Arial"/>
                <w:sz w:val="12"/>
                <w:szCs w:val="12"/>
                <w:color w:val="auto"/>
              </w:rPr>
              <w:t>Panama</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356</w:t>
            </w: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129</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29</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4,758</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384</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174</w:t>
            </w: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31</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5,580</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295</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105</w:t>
            </w:r>
          </w:p>
        </w:tc>
        <w:tc>
          <w:tcPr>
            <w:tcW w:w="112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8,384</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20"/>
                <w:szCs w:val="20"/>
                <w:color w:val="auto"/>
              </w:rPr>
            </w:pPr>
            <w:r>
              <w:rPr>
                <w:rFonts w:ascii="Arial" w:cs="Arial" w:eastAsia="Arial" w:hAnsi="Arial"/>
                <w:sz w:val="12"/>
                <w:szCs w:val="12"/>
                <w:color w:val="auto"/>
              </w:rPr>
              <w:t>Cayman Islands</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734</w:t>
            </w: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662</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268</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503</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358</w:t>
            </w: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154</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72</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72</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20"/>
                <w:szCs w:val="20"/>
                <w:color w:val="auto"/>
              </w:rPr>
            </w:pPr>
            <w:r>
              <w:rPr>
                <w:rFonts w:ascii="Arial" w:cs="Arial" w:eastAsia="Arial" w:hAnsi="Arial"/>
                <w:sz w:val="12"/>
                <w:szCs w:val="12"/>
                <w:color w:val="auto"/>
              </w:rPr>
              <w:t>Bolivia</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1,065</w:t>
            </w: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346</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201</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13,121</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1,028</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328</w:t>
            </w: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122</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12,784</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960</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377</w:t>
            </w:r>
          </w:p>
        </w:tc>
        <w:tc>
          <w:tcPr>
            <w:tcW w:w="1120" w:type="dxa"/>
            <w:vAlign w:val="bottom"/>
          </w:tcPr>
          <w:p>
            <w:pPr>
              <w:jc w:val="right"/>
              <w:spacing w:after="0"/>
              <w:rPr>
                <w:sz w:val="20"/>
                <w:szCs w:val="20"/>
                <w:color w:val="auto"/>
              </w:rPr>
            </w:pPr>
            <w:r>
              <w:rPr>
                <w:rFonts w:ascii="Arial" w:cs="Arial" w:eastAsia="Arial" w:hAnsi="Arial"/>
                <w:sz w:val="12"/>
                <w:szCs w:val="12"/>
                <w:color w:val="auto"/>
              </w:rPr>
              <w:t>113</w:t>
            </w:r>
          </w:p>
        </w:tc>
        <w:tc>
          <w:tcPr>
            <w:tcW w:w="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11,885</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20"/>
                <w:szCs w:val="20"/>
                <w:color w:val="auto"/>
              </w:rPr>
            </w:pPr>
            <w:r>
              <w:rPr>
                <w:rFonts w:ascii="Arial" w:cs="Arial" w:eastAsia="Arial" w:hAnsi="Arial"/>
                <w:sz w:val="12"/>
                <w:szCs w:val="12"/>
                <w:color w:val="auto"/>
              </w:rPr>
              <w:t>Colombia</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1,265</w:t>
            </w: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240</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339</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3,402</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854</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199</w:t>
            </w: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193</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4,060</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193</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132</w:t>
            </w:r>
          </w:p>
        </w:tc>
        <w:tc>
          <w:tcPr>
            <w:tcW w:w="1180" w:type="dxa"/>
            <w:vAlign w:val="bottom"/>
            <w:gridSpan w:val="2"/>
          </w:tcPr>
          <w:p>
            <w:pPr>
              <w:jc w:val="right"/>
              <w:ind w:right="60"/>
              <w:spacing w:after="0"/>
              <w:rPr>
                <w:sz w:val="20"/>
                <w:szCs w:val="20"/>
                <w:color w:val="auto"/>
              </w:rPr>
            </w:pPr>
            <w:r>
              <w:rPr>
                <w:rFonts w:ascii="Arial" w:cs="Arial" w:eastAsia="Arial" w:hAnsi="Arial"/>
                <w:sz w:val="12"/>
                <w:szCs w:val="12"/>
                <w:color w:val="auto"/>
              </w:rPr>
              <w:t>22</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2,283</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20"/>
                <w:szCs w:val="20"/>
                <w:color w:val="auto"/>
              </w:rPr>
            </w:pPr>
            <w:r>
              <w:rPr>
                <w:rFonts w:ascii="Arial" w:cs="Arial" w:eastAsia="Arial" w:hAnsi="Arial"/>
                <w:sz w:val="12"/>
                <w:szCs w:val="12"/>
                <w:color w:val="auto"/>
              </w:rPr>
              <w:t>United States of</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40" w:type="dxa"/>
            <w:vAlign w:val="bottom"/>
          </w:tcPr>
          <w:p>
            <w:pPr>
              <w:spacing w:after="0"/>
              <w:rPr>
                <w:sz w:val="20"/>
                <w:szCs w:val="20"/>
                <w:color w:val="auto"/>
              </w:rPr>
            </w:pPr>
            <w:r>
              <w:rPr>
                <w:rFonts w:ascii="Arial" w:cs="Arial" w:eastAsia="Arial" w:hAnsi="Arial"/>
                <w:sz w:val="12"/>
                <w:szCs w:val="12"/>
                <w:color w:val="auto"/>
              </w:rPr>
              <w:t>America</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38</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9</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17</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29</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14</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19</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8</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w:t>
            </w:r>
          </w:p>
        </w:tc>
        <w:tc>
          <w:tcPr>
            <w:tcW w:w="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20"/>
                <w:szCs w:val="20"/>
                <w:color w:val="auto"/>
              </w:rPr>
            </w:pPr>
            <w:r>
              <w:rPr>
                <w:rFonts w:ascii="Arial" w:cs="Arial" w:eastAsia="Arial" w:hAnsi="Arial"/>
                <w:sz w:val="12"/>
                <w:szCs w:val="12"/>
                <w:color w:val="auto"/>
              </w:rPr>
              <w:t>Chile</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208</w:t>
            </w:r>
          </w:p>
        </w:tc>
        <w:tc>
          <w:tcPr>
            <w:tcW w:w="800" w:type="dxa"/>
            <w:vAlign w:val="bottom"/>
            <w:gridSpan w:val="3"/>
          </w:tcPr>
          <w:p>
            <w:pPr>
              <w:jc w:val="right"/>
              <w:ind w:right="80"/>
              <w:spacing w:after="0"/>
              <w:rPr>
                <w:sz w:val="20"/>
                <w:szCs w:val="20"/>
                <w:color w:val="auto"/>
              </w:rPr>
            </w:pPr>
            <w:r>
              <w:rPr>
                <w:rFonts w:ascii="Arial" w:cs="Arial" w:eastAsia="Arial" w:hAnsi="Arial"/>
                <w:sz w:val="12"/>
                <w:szCs w:val="12"/>
                <w:color w:val="auto"/>
              </w:rPr>
              <w:t>16</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88</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1,132</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129</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75</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778</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187</w:t>
            </w:r>
          </w:p>
        </w:tc>
        <w:tc>
          <w:tcPr>
            <w:tcW w:w="68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119</w:t>
            </w:r>
          </w:p>
        </w:tc>
        <w:tc>
          <w:tcPr>
            <w:tcW w:w="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1,132</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20"/>
                <w:szCs w:val="20"/>
                <w:color w:val="auto"/>
              </w:rPr>
            </w:pPr>
            <w:r>
              <w:rPr>
                <w:rFonts w:ascii="Arial" w:cs="Arial" w:eastAsia="Arial" w:hAnsi="Arial"/>
                <w:sz w:val="12"/>
                <w:szCs w:val="12"/>
                <w:color w:val="auto"/>
              </w:rPr>
              <w:t>Others</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4</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w:t>
            </w:r>
          </w:p>
        </w:tc>
        <w:tc>
          <w:tcPr>
            <w:tcW w:w="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5"/>
        </w:trPr>
        <w:tc>
          <w:tcPr>
            <w:tcW w:w="1240" w:type="dxa"/>
            <w:vAlign w:val="bottom"/>
          </w:tcPr>
          <w:p>
            <w:pPr>
              <w:spacing w:after="0" w:line="132" w:lineRule="exact"/>
              <w:rPr>
                <w:sz w:val="20"/>
                <w:szCs w:val="20"/>
                <w:color w:val="auto"/>
              </w:rPr>
            </w:pPr>
            <w:r>
              <w:rPr>
                <w:rFonts w:ascii="Arial" w:cs="Arial" w:eastAsia="Arial" w:hAnsi="Arial"/>
                <w:sz w:val="12"/>
                <w:szCs w:val="12"/>
                <w:b w:val="1"/>
                <w:bCs w:val="1"/>
                <w:color w:val="auto"/>
              </w:rPr>
              <w:t>Total consolidated</w:t>
            </w:r>
          </w:p>
        </w:tc>
        <w:tc>
          <w:tcPr>
            <w:tcW w:w="6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27,472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14,115</w:t>
            </w:r>
          </w:p>
        </w:tc>
        <w:tc>
          <w:tcPr>
            <w:tcW w:w="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5,130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221,112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25,665</w:t>
            </w: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12,938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5,083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205,733</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20,919</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11,092</w:t>
            </w:r>
          </w:p>
        </w:tc>
        <w:tc>
          <w:tcPr>
            <w:tcW w:w="8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4,724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205,819</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27" w:hanging="427"/>
        <w:spacing w:after="0"/>
        <w:tabs>
          <w:tab w:leader="none" w:pos="42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Including total interest and similar income, other income and the result of the insurance and reinsurance service.</w:t>
      </w:r>
    </w:p>
    <w:p>
      <w:pPr>
        <w:ind w:left="427" w:hanging="427"/>
        <w:spacing w:after="0" w:line="234" w:lineRule="auto"/>
        <w:tabs>
          <w:tab w:leader="none" w:pos="42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Operating income includes the income from interest and similar expenses from banking activities and the result of the insurance and reinsurance service.</w:t>
      </w:r>
    </w:p>
    <w:p>
      <w:pPr>
        <w:spacing w:after="0" w:line="1" w:lineRule="exact"/>
        <w:rPr>
          <w:sz w:val="20"/>
          <w:szCs w:val="20"/>
          <w:color w:val="auto"/>
        </w:rPr>
      </w:pPr>
    </w:p>
    <w:p>
      <w:pPr>
        <w:ind w:left="7"/>
        <w:spacing w:after="0"/>
        <w:tabs>
          <w:tab w:leader="none" w:pos="406"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Non-current assets consist of property, furniture and equipment, intangible and goodwill and right-of-use assets, net</w:t>
      </w:r>
    </w:p>
    <w:p>
      <w:pPr>
        <w:spacing w:after="0" w:line="29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7"/>
          </w:cols>
          <w:pgMar w:left="313" w:top="124" w:right="319" w:bottom="1440" w:gutter="0" w:footer="0" w:header="0"/>
        </w:sectPr>
      </w:pPr>
    </w:p>
    <w:bookmarkStart w:id="122" w:name="page123"/>
    <w:bookmarkEnd w:id="122"/>
    <w:p>
      <w:pPr>
        <w:ind w:left="547" w:hanging="547"/>
        <w:spacing w:after="0"/>
        <w:tabs>
          <w:tab w:leader="none" w:pos="547"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TRANSACTIONS WITH RELATED PARTIES</w:t>
      </w:r>
    </w:p>
    <w:p>
      <w:pPr>
        <w:spacing w:after="0" w:line="167" w:lineRule="exact"/>
        <w:rPr>
          <w:rFonts w:ascii="Arial" w:cs="Arial" w:eastAsia="Arial" w:hAnsi="Arial"/>
          <w:sz w:val="16"/>
          <w:szCs w:val="16"/>
          <w:b w:val="1"/>
          <w:bCs w:val="1"/>
          <w:color w:val="auto"/>
        </w:rPr>
      </w:pPr>
    </w:p>
    <w:p>
      <w:pPr>
        <w:ind w:left="847" w:right="80" w:hanging="286"/>
        <w:spacing w:after="0" w:line="241" w:lineRule="auto"/>
        <w:tabs>
          <w:tab w:leader="none" w:pos="84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Group’s consolidated financial statements as of December 31, 2024 and 2023 include transactions with related parties, the Board of Directors, the Group’s key executives (defined as the Management of Credicorp) and the companies which are controlled by these individuals through their majority shareholding or their role as Chairman or CEO.</w:t>
      </w:r>
    </w:p>
    <w:p>
      <w:pPr>
        <w:spacing w:after="0" w:line="145" w:lineRule="exact"/>
        <w:rPr>
          <w:rFonts w:ascii="Arial" w:cs="Arial" w:eastAsia="Arial" w:hAnsi="Arial"/>
          <w:sz w:val="16"/>
          <w:szCs w:val="16"/>
          <w:color w:val="auto"/>
        </w:rPr>
      </w:pPr>
    </w:p>
    <w:p>
      <w:pPr>
        <w:ind w:left="847" w:hanging="286"/>
        <w:spacing w:after="0"/>
        <w:tabs>
          <w:tab w:leader="none" w:pos="84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following table presents the main transactions and balances with related parties and individuals as of December 31, 2024 and 2023:</w:t>
      </w:r>
    </w:p>
    <w:p>
      <w:pPr>
        <w:spacing w:after="0" w:line="176" w:lineRule="exact"/>
        <w:rPr>
          <w:sz w:val="20"/>
          <w:szCs w:val="20"/>
          <w:color w:val="auto"/>
        </w:rPr>
      </w:pPr>
    </w:p>
    <w:tbl>
      <w:tblPr>
        <w:tblLayout w:type="fixed"/>
        <w:tblInd w:w="847"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440" w:type="dxa"/>
            <w:vAlign w:val="bottom"/>
            <w:gridSpan w:val="2"/>
          </w:tcPr>
          <w:p>
            <w:pPr>
              <w:ind w:left="2420"/>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r>
      <w:tr>
        <w:trPr>
          <w:trHeight w:val="206"/>
        </w:trPr>
        <w:tc>
          <w:tcPr>
            <w:tcW w:w="4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4760" w:type="dxa"/>
            <w:vAlign w:val="bottom"/>
          </w:tcPr>
          <w:p>
            <w:pPr>
              <w:spacing w:after="0"/>
              <w:rPr>
                <w:sz w:val="20"/>
                <w:szCs w:val="20"/>
                <w:color w:val="auto"/>
              </w:rPr>
            </w:pPr>
            <w:r>
              <w:rPr>
                <w:rFonts w:ascii="Arial" w:cs="Arial" w:eastAsia="Arial" w:hAnsi="Arial"/>
                <w:sz w:val="16"/>
                <w:szCs w:val="16"/>
                <w:b w:val="1"/>
                <w:bCs w:val="1"/>
                <w:color w:val="auto"/>
              </w:rPr>
              <w:t>Statement of financial position -</w:t>
            </w: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4760" w:type="dxa"/>
            <w:vAlign w:val="bottom"/>
          </w:tcPr>
          <w:p>
            <w:pPr>
              <w:spacing w:after="0" w:line="175" w:lineRule="exact"/>
              <w:rPr>
                <w:sz w:val="20"/>
                <w:szCs w:val="20"/>
                <w:color w:val="auto"/>
              </w:rPr>
            </w:pPr>
            <w:r>
              <w:rPr>
                <w:rFonts w:ascii="Arial" w:cs="Arial" w:eastAsia="Arial" w:hAnsi="Arial"/>
                <w:sz w:val="16"/>
                <w:szCs w:val="16"/>
                <w:color w:val="auto"/>
              </w:rPr>
              <w:t>Direct loans</w:t>
            </w:r>
          </w:p>
        </w:tc>
        <w:tc>
          <w:tcPr>
            <w:tcW w:w="35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2,472,179</w:t>
            </w:r>
          </w:p>
        </w:tc>
        <w:tc>
          <w:tcPr>
            <w:tcW w:w="10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2,063,739</w:t>
            </w:r>
          </w:p>
        </w:tc>
      </w:tr>
      <w:tr>
        <w:trPr>
          <w:trHeight w:val="175"/>
        </w:trPr>
        <w:tc>
          <w:tcPr>
            <w:tcW w:w="4760" w:type="dxa"/>
            <w:vAlign w:val="bottom"/>
          </w:tcPr>
          <w:p>
            <w:pPr>
              <w:spacing w:after="0" w:line="175" w:lineRule="exact"/>
              <w:rPr>
                <w:sz w:val="20"/>
                <w:szCs w:val="20"/>
                <w:color w:val="auto"/>
              </w:rPr>
            </w:pPr>
            <w:r>
              <w:rPr>
                <w:rFonts w:ascii="Arial" w:cs="Arial" w:eastAsia="Arial" w:hAnsi="Arial"/>
                <w:sz w:val="16"/>
                <w:szCs w:val="16"/>
                <w:color w:val="auto"/>
              </w:rPr>
              <w:t>Investments (i)</w:t>
            </w:r>
          </w:p>
        </w:tc>
        <w:tc>
          <w:tcPr>
            <w:tcW w:w="34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611,271</w:t>
            </w:r>
          </w:p>
        </w:tc>
        <w:tc>
          <w:tcPr>
            <w:tcW w:w="120" w:type="dxa"/>
            <w:vAlign w:val="bottom"/>
          </w:tcPr>
          <w:p>
            <w:pPr>
              <w:spacing w:after="0"/>
              <w:rPr>
                <w:sz w:val="15"/>
                <w:szCs w:val="15"/>
                <w:color w:val="auto"/>
              </w:rPr>
            </w:pPr>
          </w:p>
        </w:tc>
        <w:tc>
          <w:tcPr>
            <w:tcW w:w="10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806,700</w:t>
            </w:r>
          </w:p>
        </w:tc>
      </w:tr>
      <w:tr>
        <w:trPr>
          <w:trHeight w:val="175"/>
        </w:trPr>
        <w:tc>
          <w:tcPr>
            <w:tcW w:w="4760" w:type="dxa"/>
            <w:vAlign w:val="bottom"/>
          </w:tcPr>
          <w:p>
            <w:pPr>
              <w:spacing w:after="0" w:line="175" w:lineRule="exact"/>
              <w:rPr>
                <w:sz w:val="20"/>
                <w:szCs w:val="20"/>
                <w:color w:val="auto"/>
              </w:rPr>
            </w:pPr>
            <w:r>
              <w:rPr>
                <w:rFonts w:ascii="Arial" w:cs="Arial" w:eastAsia="Arial" w:hAnsi="Arial"/>
                <w:sz w:val="16"/>
                <w:szCs w:val="16"/>
                <w:color w:val="auto"/>
              </w:rPr>
              <w:t>Deposits (ii)</w:t>
            </w:r>
          </w:p>
        </w:tc>
        <w:tc>
          <w:tcPr>
            <w:tcW w:w="356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(1,839,980)</w:t>
            </w:r>
          </w:p>
        </w:tc>
        <w:tc>
          <w:tcPr>
            <w:tcW w:w="106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(713,503)</w:t>
            </w:r>
          </w:p>
        </w:tc>
      </w:tr>
      <w:tr>
        <w:trPr>
          <w:trHeight w:val="205"/>
        </w:trPr>
        <w:tc>
          <w:tcPr>
            <w:tcW w:w="4760" w:type="dxa"/>
            <w:vAlign w:val="bottom"/>
          </w:tcPr>
          <w:p>
            <w:pPr>
              <w:spacing w:after="0"/>
              <w:rPr>
                <w:sz w:val="20"/>
                <w:szCs w:val="20"/>
                <w:color w:val="auto"/>
              </w:rPr>
            </w:pPr>
            <w:r>
              <w:rPr>
                <w:rFonts w:ascii="Arial" w:cs="Arial" w:eastAsia="Arial" w:hAnsi="Arial"/>
                <w:sz w:val="16"/>
                <w:szCs w:val="16"/>
                <w:color w:val="auto"/>
              </w:rPr>
              <w:t>Derivatives at fair value</w:t>
            </w:r>
          </w:p>
        </w:tc>
        <w:tc>
          <w:tcPr>
            <w:tcW w:w="3560" w:type="dxa"/>
            <w:vAlign w:val="bottom"/>
            <w:gridSpan w:val="3"/>
          </w:tcPr>
          <w:p>
            <w:pPr>
              <w:jc w:val="right"/>
              <w:ind w:right="120"/>
              <w:spacing w:after="0"/>
              <w:rPr>
                <w:sz w:val="20"/>
                <w:szCs w:val="20"/>
                <w:color w:val="auto"/>
              </w:rPr>
            </w:pPr>
            <w:r>
              <w:rPr>
                <w:rFonts w:ascii="Arial" w:cs="Arial" w:eastAsia="Arial" w:hAnsi="Arial"/>
                <w:sz w:val="16"/>
                <w:szCs w:val="16"/>
                <w:color w:val="auto"/>
              </w:rPr>
              <w:t>280,624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516,292</w:t>
            </w:r>
          </w:p>
        </w:tc>
      </w:tr>
    </w:tbl>
    <w:p>
      <w:pPr>
        <w:spacing w:after="0" w:line="145" w:lineRule="exact"/>
        <w:rPr>
          <w:sz w:val="20"/>
          <w:szCs w:val="20"/>
          <w:color w:val="auto"/>
        </w:rPr>
      </w:pPr>
    </w:p>
    <w:p>
      <w:pPr>
        <w:ind w:left="1027" w:right="40" w:hanging="186"/>
        <w:spacing w:after="0" w:line="255" w:lineRule="auto"/>
        <w:tabs>
          <w:tab w:leader="none" w:pos="102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As of December 31, 2024, the balance includes mainly S/155.7 million of corporate bonds of Alicorp S.A.A., S/93.9 million of corporate bonds issued by Cementos Pacasmayo S.A., and S/104.2 million of shares of Inversiones Centenario.</w:t>
      </w:r>
    </w:p>
    <w:p>
      <w:pPr>
        <w:spacing w:after="0" w:line="134" w:lineRule="exact"/>
        <w:rPr>
          <w:sz w:val="20"/>
          <w:szCs w:val="20"/>
          <w:color w:val="auto"/>
        </w:rPr>
      </w:pPr>
    </w:p>
    <w:p>
      <w:pPr>
        <w:ind w:left="1027" w:right="60"/>
        <w:spacing w:after="0" w:line="255" w:lineRule="auto"/>
        <w:rPr>
          <w:sz w:val="20"/>
          <w:szCs w:val="20"/>
          <w:color w:val="auto"/>
        </w:rPr>
      </w:pPr>
      <w:r>
        <w:rPr>
          <w:rFonts w:ascii="Arial" w:cs="Arial" w:eastAsia="Arial" w:hAnsi="Arial"/>
          <w:sz w:val="16"/>
          <w:szCs w:val="16"/>
          <w:color w:val="auto"/>
        </w:rPr>
        <w:t>As of December 31, 2023, the balance includes mainly S/166.8 million of corporate bonds of Alicorp S.A.A., S/146.5 million of Alicorp S.A.A. shares, S/135.9 million shares of Inversiones Centenario and S/120.5 million corporate bonds issued by Corporación Primax.</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205"/>
        </w:trPr>
        <w:tc>
          <w:tcPr>
            <w:tcW w:w="5200" w:type="dxa"/>
            <w:vAlign w:val="bottom"/>
          </w:tcPr>
          <w:p>
            <w:pPr>
              <w:ind w:left="840"/>
              <w:spacing w:after="0"/>
              <w:rPr>
                <w:sz w:val="20"/>
                <w:szCs w:val="20"/>
                <w:color w:val="auto"/>
              </w:rPr>
            </w:pPr>
            <w:r>
              <w:rPr>
                <w:rFonts w:ascii="Arial" w:cs="Arial" w:eastAsia="Arial" w:hAnsi="Arial"/>
                <w:sz w:val="16"/>
                <w:szCs w:val="16"/>
                <w:color w:val="auto"/>
              </w:rPr>
              <w:t>(ii)Corresponds to deposits of legal entities and individuals.</w:t>
            </w:r>
          </w:p>
        </w:tc>
        <w:tc>
          <w:tcPr>
            <w:tcW w:w="2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47"/>
        </w:trPr>
        <w:tc>
          <w:tcPr>
            <w:tcW w:w="5200" w:type="dxa"/>
            <w:vAlign w:val="bottom"/>
          </w:tcPr>
          <w:p>
            <w:pPr>
              <w:spacing w:after="0"/>
              <w:rPr>
                <w:sz w:val="24"/>
                <w:szCs w:val="24"/>
                <w:color w:val="auto"/>
              </w:rPr>
            </w:pPr>
          </w:p>
        </w:tc>
        <w:tc>
          <w:tcPr>
            <w:tcW w:w="3740" w:type="dxa"/>
            <w:vAlign w:val="bottom"/>
            <w:gridSpan w:val="2"/>
          </w:tcPr>
          <w:p>
            <w:pPr>
              <w:ind w:left="270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060" w:type="dxa"/>
            <w:vAlign w:val="bottom"/>
          </w:tcPr>
          <w:p>
            <w:pPr>
              <w:spacing w:after="0"/>
              <w:rPr>
                <w:sz w:val="24"/>
                <w:szCs w:val="24"/>
                <w:color w:val="auto"/>
              </w:rPr>
            </w:pPr>
          </w:p>
        </w:tc>
      </w:tr>
      <w:tr>
        <w:trPr>
          <w:trHeight w:val="206"/>
        </w:trPr>
        <w:tc>
          <w:tcPr>
            <w:tcW w:w="52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20" w:type="dxa"/>
            <w:vAlign w:val="bottom"/>
          </w:tcPr>
          <w:p>
            <w:pPr>
              <w:spacing w:after="0"/>
              <w:rPr>
                <w:sz w:val="17"/>
                <w:szCs w:val="17"/>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60" w:type="dxa"/>
            <w:vAlign w:val="bottom"/>
          </w:tcPr>
          <w:p>
            <w:pPr>
              <w:spacing w:after="0"/>
              <w:rPr>
                <w:sz w:val="17"/>
                <w:szCs w:val="17"/>
                <w:color w:val="auto"/>
              </w:rPr>
            </w:pPr>
          </w:p>
        </w:tc>
      </w:tr>
      <w:tr>
        <w:trPr>
          <w:trHeight w:val="296"/>
        </w:trPr>
        <w:tc>
          <w:tcPr>
            <w:tcW w:w="5200" w:type="dxa"/>
            <w:vAlign w:val="bottom"/>
          </w:tcPr>
          <w:p>
            <w:pPr>
              <w:ind w:left="840"/>
              <w:spacing w:after="0"/>
              <w:rPr>
                <w:sz w:val="20"/>
                <w:szCs w:val="20"/>
                <w:color w:val="auto"/>
              </w:rPr>
            </w:pPr>
            <w:r>
              <w:rPr>
                <w:rFonts w:ascii="Arial" w:cs="Arial" w:eastAsia="Arial" w:hAnsi="Arial"/>
                <w:sz w:val="16"/>
                <w:szCs w:val="16"/>
                <w:b w:val="1"/>
                <w:bCs w:val="1"/>
                <w:color w:val="auto"/>
              </w:rPr>
              <w:t>Statement of income</w:t>
            </w:r>
          </w:p>
        </w:tc>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5200" w:type="dxa"/>
            <w:vAlign w:val="bottom"/>
          </w:tcPr>
          <w:p>
            <w:pPr>
              <w:ind w:left="840"/>
              <w:spacing w:after="0" w:line="175" w:lineRule="exact"/>
              <w:rPr>
                <w:sz w:val="20"/>
                <w:szCs w:val="20"/>
                <w:color w:val="auto"/>
              </w:rPr>
            </w:pPr>
            <w:r>
              <w:rPr>
                <w:rFonts w:ascii="Arial" w:cs="Arial" w:eastAsia="Arial" w:hAnsi="Arial"/>
                <w:sz w:val="16"/>
                <w:szCs w:val="16"/>
                <w:color w:val="auto"/>
              </w:rPr>
              <w:t>Interest income related to loans</w:t>
            </w:r>
          </w:p>
        </w:tc>
        <w:tc>
          <w:tcPr>
            <w:tcW w:w="3960" w:type="dxa"/>
            <w:vAlign w:val="bottom"/>
            <w:gridSpan w:val="3"/>
          </w:tcPr>
          <w:p>
            <w:pPr>
              <w:jc w:val="right"/>
              <w:ind w:right="220"/>
              <w:spacing w:after="0" w:line="175" w:lineRule="exact"/>
              <w:rPr>
                <w:sz w:val="20"/>
                <w:szCs w:val="20"/>
                <w:color w:val="auto"/>
              </w:rPr>
            </w:pPr>
            <w:r>
              <w:rPr>
                <w:rFonts w:ascii="Arial" w:cs="Arial" w:eastAsia="Arial" w:hAnsi="Arial"/>
                <w:sz w:val="16"/>
                <w:szCs w:val="16"/>
                <w:color w:val="auto"/>
              </w:rPr>
              <w:t>55,485</w:t>
            </w:r>
          </w:p>
        </w:tc>
        <w:tc>
          <w:tcPr>
            <w:tcW w:w="2100" w:type="dxa"/>
            <w:vAlign w:val="bottom"/>
            <w:gridSpan w:val="2"/>
          </w:tcPr>
          <w:p>
            <w:pPr>
              <w:jc w:val="right"/>
              <w:ind w:right="1060"/>
              <w:spacing w:after="0" w:line="175" w:lineRule="exact"/>
              <w:rPr>
                <w:sz w:val="20"/>
                <w:szCs w:val="20"/>
                <w:color w:val="auto"/>
              </w:rPr>
            </w:pPr>
            <w:r>
              <w:rPr>
                <w:rFonts w:ascii="Arial" w:cs="Arial" w:eastAsia="Arial" w:hAnsi="Arial"/>
                <w:sz w:val="16"/>
                <w:szCs w:val="16"/>
                <w:color w:val="auto"/>
              </w:rPr>
              <w:t>31,892</w:t>
            </w:r>
          </w:p>
        </w:tc>
      </w:tr>
      <w:tr>
        <w:trPr>
          <w:trHeight w:val="175"/>
        </w:trPr>
        <w:tc>
          <w:tcPr>
            <w:tcW w:w="5200" w:type="dxa"/>
            <w:vAlign w:val="bottom"/>
          </w:tcPr>
          <w:p>
            <w:pPr>
              <w:ind w:left="840"/>
              <w:spacing w:after="0" w:line="175" w:lineRule="exact"/>
              <w:rPr>
                <w:sz w:val="20"/>
                <w:szCs w:val="20"/>
                <w:color w:val="auto"/>
              </w:rPr>
            </w:pPr>
            <w:r>
              <w:rPr>
                <w:rFonts w:ascii="Arial" w:cs="Arial" w:eastAsia="Arial" w:hAnsi="Arial"/>
                <w:sz w:val="16"/>
                <w:szCs w:val="16"/>
                <w:color w:val="auto"/>
              </w:rPr>
              <w:t>Interest expenses related to deposits</w:t>
            </w:r>
          </w:p>
        </w:tc>
        <w:tc>
          <w:tcPr>
            <w:tcW w:w="37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(37,308)</w:t>
            </w:r>
          </w:p>
        </w:tc>
        <w:tc>
          <w:tcPr>
            <w:tcW w:w="220" w:type="dxa"/>
            <w:vAlign w:val="bottom"/>
          </w:tcPr>
          <w:p>
            <w:pPr>
              <w:spacing w:after="0"/>
              <w:rPr>
                <w:sz w:val="15"/>
                <w:szCs w:val="15"/>
                <w:color w:val="auto"/>
              </w:rPr>
            </w:pPr>
          </w:p>
        </w:tc>
        <w:tc>
          <w:tcPr>
            <w:tcW w:w="2100" w:type="dxa"/>
            <w:vAlign w:val="bottom"/>
            <w:gridSpan w:val="2"/>
          </w:tcPr>
          <w:p>
            <w:pPr>
              <w:jc w:val="right"/>
              <w:ind w:right="1060"/>
              <w:spacing w:after="0" w:line="175" w:lineRule="exact"/>
              <w:rPr>
                <w:sz w:val="20"/>
                <w:szCs w:val="20"/>
                <w:color w:val="auto"/>
              </w:rPr>
            </w:pPr>
            <w:r>
              <w:rPr>
                <w:rFonts w:ascii="Arial" w:cs="Arial" w:eastAsia="Arial" w:hAnsi="Arial"/>
                <w:sz w:val="16"/>
                <w:szCs w:val="16"/>
                <w:color w:val="auto"/>
              </w:rPr>
              <w:t>(30,914)</w:t>
            </w:r>
          </w:p>
        </w:tc>
      </w:tr>
      <w:tr>
        <w:trPr>
          <w:trHeight w:val="205"/>
        </w:trPr>
        <w:tc>
          <w:tcPr>
            <w:tcW w:w="5200" w:type="dxa"/>
            <w:vAlign w:val="bottom"/>
          </w:tcPr>
          <w:p>
            <w:pPr>
              <w:ind w:left="840"/>
              <w:spacing w:after="0"/>
              <w:rPr>
                <w:sz w:val="20"/>
                <w:szCs w:val="20"/>
                <w:color w:val="auto"/>
              </w:rPr>
            </w:pPr>
            <w:r>
              <w:rPr>
                <w:rFonts w:ascii="Arial" w:cs="Arial" w:eastAsia="Arial" w:hAnsi="Arial"/>
                <w:sz w:val="16"/>
                <w:szCs w:val="16"/>
                <w:color w:val="auto"/>
              </w:rPr>
              <w:t>Other income</w:t>
            </w:r>
          </w:p>
        </w:tc>
        <w:tc>
          <w:tcPr>
            <w:tcW w:w="3960" w:type="dxa"/>
            <w:vAlign w:val="bottom"/>
            <w:gridSpan w:val="3"/>
          </w:tcPr>
          <w:p>
            <w:pPr>
              <w:jc w:val="right"/>
              <w:ind w:right="220"/>
              <w:spacing w:after="0"/>
              <w:rPr>
                <w:sz w:val="20"/>
                <w:szCs w:val="20"/>
                <w:color w:val="auto"/>
              </w:rPr>
            </w:pPr>
            <w:r>
              <w:rPr>
                <w:rFonts w:ascii="Arial" w:cs="Arial" w:eastAsia="Arial" w:hAnsi="Arial"/>
                <w:sz w:val="16"/>
                <w:szCs w:val="16"/>
                <w:color w:val="auto"/>
              </w:rPr>
              <w:t>22,735</w:t>
            </w:r>
          </w:p>
        </w:tc>
        <w:tc>
          <w:tcPr>
            <w:tcW w:w="2100" w:type="dxa"/>
            <w:vAlign w:val="bottom"/>
            <w:gridSpan w:val="2"/>
          </w:tcPr>
          <w:p>
            <w:pPr>
              <w:jc w:val="right"/>
              <w:ind w:right="1060"/>
              <w:spacing w:after="0"/>
              <w:rPr>
                <w:sz w:val="20"/>
                <w:szCs w:val="20"/>
                <w:color w:val="auto"/>
              </w:rPr>
            </w:pPr>
            <w:r>
              <w:rPr>
                <w:rFonts w:ascii="Arial" w:cs="Arial" w:eastAsia="Arial" w:hAnsi="Arial"/>
                <w:sz w:val="16"/>
                <w:szCs w:val="16"/>
                <w:color w:val="auto"/>
              </w:rPr>
              <w:t>9,452</w:t>
            </w:r>
          </w:p>
        </w:tc>
      </w:tr>
      <w:tr>
        <w:trPr>
          <w:trHeight w:val="320"/>
        </w:trPr>
        <w:tc>
          <w:tcPr>
            <w:tcW w:w="5200" w:type="dxa"/>
            <w:vAlign w:val="bottom"/>
          </w:tcPr>
          <w:p>
            <w:pPr>
              <w:ind w:left="840"/>
              <w:spacing w:after="0"/>
              <w:rPr>
                <w:sz w:val="20"/>
                <w:szCs w:val="20"/>
                <w:color w:val="auto"/>
              </w:rPr>
            </w:pPr>
            <w:r>
              <w:rPr>
                <w:rFonts w:ascii="Arial" w:cs="Arial" w:eastAsia="Arial" w:hAnsi="Arial"/>
                <w:sz w:val="16"/>
                <w:szCs w:val="16"/>
                <w:b w:val="1"/>
                <w:bCs w:val="1"/>
                <w:color w:val="auto"/>
              </w:rPr>
              <w:t>Contingent risks and commitments</w:t>
            </w:r>
          </w:p>
        </w:tc>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5"/>
        </w:trPr>
        <w:tc>
          <w:tcPr>
            <w:tcW w:w="5200" w:type="dxa"/>
            <w:vAlign w:val="bottom"/>
          </w:tcPr>
          <w:p>
            <w:pPr>
              <w:ind w:left="840"/>
              <w:spacing w:after="0"/>
              <w:rPr>
                <w:sz w:val="20"/>
                <w:szCs w:val="20"/>
                <w:color w:val="auto"/>
              </w:rPr>
            </w:pPr>
            <w:r>
              <w:rPr>
                <w:rFonts w:ascii="Arial" w:cs="Arial" w:eastAsia="Arial" w:hAnsi="Arial"/>
                <w:sz w:val="16"/>
                <w:szCs w:val="16"/>
                <w:color w:val="auto"/>
              </w:rPr>
              <w:t>Indirect loans</w:t>
            </w:r>
          </w:p>
        </w:tc>
        <w:tc>
          <w:tcPr>
            <w:tcW w:w="3740" w:type="dxa"/>
            <w:vAlign w:val="bottom"/>
            <w:gridSpan w:val="2"/>
          </w:tcPr>
          <w:p>
            <w:pPr>
              <w:jc w:val="right"/>
              <w:spacing w:after="0"/>
              <w:rPr>
                <w:sz w:val="20"/>
                <w:szCs w:val="20"/>
                <w:color w:val="auto"/>
              </w:rPr>
            </w:pPr>
            <w:r>
              <w:rPr>
                <w:rFonts w:ascii="Arial" w:cs="Arial" w:eastAsia="Arial" w:hAnsi="Arial"/>
                <w:sz w:val="16"/>
                <w:szCs w:val="16"/>
                <w:color w:val="auto"/>
              </w:rPr>
              <w:t>746,992</w:t>
            </w:r>
          </w:p>
        </w:tc>
        <w:tc>
          <w:tcPr>
            <w:tcW w:w="220" w:type="dxa"/>
            <w:vAlign w:val="bottom"/>
          </w:tcPr>
          <w:p>
            <w:pPr>
              <w:spacing w:after="0"/>
              <w:rPr>
                <w:sz w:val="17"/>
                <w:szCs w:val="17"/>
                <w:color w:val="auto"/>
              </w:rPr>
            </w:pPr>
          </w:p>
        </w:tc>
        <w:tc>
          <w:tcPr>
            <w:tcW w:w="2100" w:type="dxa"/>
            <w:vAlign w:val="bottom"/>
            <w:gridSpan w:val="2"/>
          </w:tcPr>
          <w:p>
            <w:pPr>
              <w:jc w:val="right"/>
              <w:ind w:right="1060"/>
              <w:spacing w:after="0"/>
              <w:rPr>
                <w:sz w:val="20"/>
                <w:szCs w:val="20"/>
                <w:color w:val="auto"/>
              </w:rPr>
            </w:pPr>
            <w:r>
              <w:rPr>
                <w:rFonts w:ascii="Arial" w:cs="Arial" w:eastAsia="Arial" w:hAnsi="Arial"/>
                <w:sz w:val="16"/>
                <w:szCs w:val="16"/>
                <w:color w:val="auto"/>
              </w:rPr>
              <w:t>584,463</w:t>
            </w:r>
          </w:p>
        </w:tc>
      </w:tr>
      <w:tr>
        <w:trPr>
          <w:trHeight w:val="457"/>
        </w:trPr>
        <w:tc>
          <w:tcPr>
            <w:tcW w:w="5200" w:type="dxa"/>
            <w:vAlign w:val="bottom"/>
          </w:tcPr>
          <w:p>
            <w:pPr>
              <w:spacing w:after="0"/>
              <w:rPr>
                <w:sz w:val="24"/>
                <w:szCs w:val="24"/>
                <w:color w:val="auto"/>
              </w:rPr>
            </w:pPr>
          </w:p>
        </w:tc>
        <w:tc>
          <w:tcPr>
            <w:tcW w:w="2700" w:type="dxa"/>
            <w:vAlign w:val="bottom"/>
          </w:tcPr>
          <w:p>
            <w:pPr>
              <w:jc w:val="right"/>
              <w:ind w:right="2065"/>
              <w:spacing w:after="0"/>
              <w:rPr>
                <w:sz w:val="20"/>
                <w:szCs w:val="20"/>
                <w:color w:val="auto"/>
              </w:rPr>
            </w:pPr>
            <w:r>
              <w:rPr>
                <w:rFonts w:ascii="Arial" w:cs="Arial" w:eastAsia="Arial" w:hAnsi="Arial"/>
                <w:sz w:val="12"/>
                <w:szCs w:val="12"/>
                <w:color w:val="auto"/>
              </w:rPr>
              <w:t>-120-</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
        </w:trPr>
        <w:tc>
          <w:tcPr>
            <w:tcW w:w="5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ectPr>
          <w:pgSz w:w="11900" w:h="16838" w:orient="portrait"/>
          <w:cols w:equalWidth="0" w:num="1">
            <w:col w:w="11267"/>
          </w:cols>
          <w:pgMar w:left="313" w:top="124" w:right="319" w:bottom="1440" w:gutter="0" w:footer="0" w:header="0"/>
        </w:sectPr>
      </w:pPr>
    </w:p>
    <w:bookmarkStart w:id="123" w:name="page124"/>
    <w:bookmarkEnd w:id="123"/>
    <w:p>
      <w:pPr>
        <w:ind w:left="840" w:right="60" w:hanging="286"/>
        <w:spacing w:after="0" w:line="236" w:lineRule="auto"/>
        <w:tabs>
          <w:tab w:leader="none" w:pos="8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At December 31, 2024, direct loans have guarantees and collateral provided by the related party, mature between January 2025 and December 2030, and accrue an average annual interest in soles of 10.78 percent and an average annual interest rate in foreign currency of 9.56 percent (as of December 31, 2023, they mature between January 2024 and August 2030, and accrued an average annual interest in soles of 13.31 percent and an average annual interest rate in foreign currency of 10.69 percent). Also, as of December 31, 2024, the Group maintains S/58.1 million of allowances for loan losses to related parties (as of December 31, 2023 it maintains S/15.2 million).</w:t>
      </w:r>
    </w:p>
    <w:p>
      <w:pPr>
        <w:spacing w:after="0" w:line="146" w:lineRule="exact"/>
        <w:rPr>
          <w:rFonts w:ascii="Arial" w:cs="Arial" w:eastAsia="Arial" w:hAnsi="Arial"/>
          <w:sz w:val="16"/>
          <w:szCs w:val="16"/>
          <w:color w:val="auto"/>
        </w:rPr>
      </w:pPr>
    </w:p>
    <w:p>
      <w:pPr>
        <w:ind w:left="840" w:right="160" w:hanging="286"/>
        <w:spacing w:after="0" w:line="236" w:lineRule="auto"/>
        <w:tabs>
          <w:tab w:leader="none" w:pos="8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At December 31, 2024 and 2023,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At December 31, 2024 and 2023, direct loans to employees, directors, key management and family members amounted to S/1,389.6 million and S/1,383.3 million, respectively; they are repaid monthly and earn interest at market rates.</w:t>
      </w:r>
    </w:p>
    <w:p>
      <w:pPr>
        <w:spacing w:after="0" w:line="145" w:lineRule="exact"/>
        <w:rPr>
          <w:rFonts w:ascii="Arial" w:cs="Arial" w:eastAsia="Arial" w:hAnsi="Arial"/>
          <w:sz w:val="16"/>
          <w:szCs w:val="16"/>
          <w:color w:val="auto"/>
        </w:rPr>
      </w:pPr>
    </w:p>
    <w:p>
      <w:pPr>
        <w:ind w:left="840" w:right="340" w:hanging="286"/>
        <w:spacing w:after="0" w:line="255" w:lineRule="auto"/>
        <w:tabs>
          <w:tab w:leader="none" w:pos="8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Group’s key executives’ compensation (including the related income taxes assumed by the Group) as of December 31, 2024 and 2023 was as follows:</w:t>
      </w:r>
    </w:p>
    <w:p>
      <w:pPr>
        <w:spacing w:after="0" w:line="144"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4580" w:type="dxa"/>
            <w:vAlign w:val="bottom"/>
            <w:gridSpan w:val="2"/>
          </w:tcPr>
          <w:p>
            <w:pPr>
              <w:ind w:left="4040"/>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r>
      <w:tr>
        <w:trPr>
          <w:trHeight w:val="206"/>
        </w:trPr>
        <w:tc>
          <w:tcPr>
            <w:tcW w:w="4040" w:type="dxa"/>
            <w:vAlign w:val="bottom"/>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w w:val="99"/>
              </w:rPr>
              <w:t>S/(000)</w:t>
            </w: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296"/>
        </w:trPr>
        <w:tc>
          <w:tcPr>
            <w:tcW w:w="4580" w:type="dxa"/>
            <w:vAlign w:val="bottom"/>
            <w:gridSpan w:val="2"/>
          </w:tcPr>
          <w:p>
            <w:pPr>
              <w:spacing w:after="0"/>
              <w:rPr>
                <w:sz w:val="20"/>
                <w:szCs w:val="20"/>
                <w:color w:val="auto"/>
              </w:rPr>
            </w:pPr>
            <w:r>
              <w:rPr>
                <w:rFonts w:ascii="Arial" w:cs="Arial" w:eastAsia="Arial" w:hAnsi="Arial"/>
                <w:sz w:val="16"/>
                <w:szCs w:val="16"/>
                <w:color w:val="auto"/>
              </w:rPr>
              <w:t>Director’s compensation</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8,628</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7,387</w:t>
            </w:r>
          </w:p>
        </w:tc>
      </w:tr>
      <w:tr>
        <w:trPr>
          <w:trHeight w:val="175"/>
        </w:trPr>
        <w:tc>
          <w:tcPr>
            <w:tcW w:w="4580" w:type="dxa"/>
            <w:vAlign w:val="bottom"/>
            <w:gridSpan w:val="2"/>
          </w:tcPr>
          <w:p>
            <w:pPr>
              <w:spacing w:after="0" w:line="175" w:lineRule="exact"/>
              <w:rPr>
                <w:sz w:val="20"/>
                <w:szCs w:val="20"/>
                <w:color w:val="auto"/>
              </w:rPr>
            </w:pPr>
            <w:r>
              <w:rPr>
                <w:rFonts w:ascii="Arial" w:cs="Arial" w:eastAsia="Arial" w:hAnsi="Arial"/>
                <w:sz w:val="16"/>
                <w:szCs w:val="16"/>
                <w:color w:val="auto"/>
              </w:rPr>
              <w:t>Senior Management Compensation:</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58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Remuneration</w:t>
            </w:r>
          </w:p>
        </w:tc>
        <w:tc>
          <w:tcPr>
            <w:tcW w:w="6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w w:val="98"/>
              </w:rPr>
              <w:t>62,258</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49,573</w:t>
            </w:r>
          </w:p>
        </w:tc>
      </w:tr>
      <w:tr>
        <w:trPr>
          <w:trHeight w:val="193"/>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Stock awards vested</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20,499</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21,444</w:t>
            </w:r>
          </w:p>
        </w:tc>
      </w:tr>
      <w:tr>
        <w:trPr>
          <w:trHeight w:val="175"/>
        </w:trPr>
        <w:tc>
          <w:tcPr>
            <w:tcW w:w="404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5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98"/>
              </w:rPr>
              <w:t>91,385</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78,404</w:t>
            </w:r>
          </w:p>
        </w:tc>
      </w:tr>
    </w:tbl>
    <w:p>
      <w:pPr>
        <w:spacing w:after="0" w:line="160" w:lineRule="exact"/>
        <w:rPr>
          <w:sz w:val="20"/>
          <w:szCs w:val="20"/>
          <w:color w:val="auto"/>
        </w:rPr>
      </w:pPr>
    </w:p>
    <w:p>
      <w:pPr>
        <w:ind w:left="840" w:right="60" w:hanging="286"/>
        <w:spacing w:after="0" w:line="255" w:lineRule="auto"/>
        <w:tabs>
          <w:tab w:leader="none" w:pos="8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 of December 31, 2024 and 2023 the Group holds interests in various funds managed by certain of the Group’s subsidiaries. The details of the funds are presented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4200" w:type="dxa"/>
            <w:vAlign w:val="bottom"/>
            <w:gridSpan w:val="2"/>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At fair value through profit or loss:</w:t>
            </w:r>
          </w:p>
        </w:tc>
        <w:tc>
          <w:tcPr>
            <w:tcW w:w="3180" w:type="dxa"/>
            <w:vAlign w:val="bottom"/>
          </w:tcPr>
          <w:p>
            <w:pPr>
              <w:spacing w:after="0"/>
              <w:rPr>
                <w:sz w:val="17"/>
                <w:szCs w:val="17"/>
                <w:color w:val="auto"/>
              </w:rPr>
            </w:pPr>
          </w:p>
        </w:tc>
        <w:tc>
          <w:tcPr>
            <w:tcW w:w="1020" w:type="dxa"/>
            <w:vAlign w:val="bottom"/>
            <w:tcBorders>
              <w:top w:val="single" w:sz="8" w:color="auto"/>
            </w:tcBorders>
          </w:tcPr>
          <w:p>
            <w:pPr>
              <w:jc w:val="right"/>
              <w:ind w:right="442"/>
              <w:spacing w:after="0"/>
              <w:rPr>
                <w:sz w:val="20"/>
                <w:szCs w:val="20"/>
                <w:color w:val="auto"/>
              </w:rPr>
            </w:pPr>
            <w:r>
              <w:rPr>
                <w:rFonts w:ascii="Arial" w:cs="Arial" w:eastAsia="Arial" w:hAnsi="Arial"/>
                <w:sz w:val="16"/>
                <w:szCs w:val="16"/>
                <w:b w:val="1"/>
                <w:bCs w:val="1"/>
                <w:color w:val="auto"/>
                <w:w w:val="91"/>
              </w:rPr>
              <w:t>S/(000)</w:t>
            </w:r>
          </w:p>
        </w:tc>
        <w:tc>
          <w:tcPr>
            <w:tcW w:w="120" w:type="dxa"/>
            <w:vAlign w:val="bottom"/>
          </w:tcPr>
          <w:p>
            <w:pPr>
              <w:spacing w:after="0"/>
              <w:rPr>
                <w:sz w:val="17"/>
                <w:szCs w:val="17"/>
                <w:color w:val="auto"/>
              </w:rPr>
            </w:pPr>
          </w:p>
        </w:tc>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840" w:type="dxa"/>
            <w:vAlign w:val="bottom"/>
            <w:vMerge w:val="continue"/>
          </w:tcPr>
          <w:p>
            <w:pPr>
              <w:spacing w:after="0"/>
              <w:rPr>
                <w:sz w:val="10"/>
                <w:szCs w:val="10"/>
                <w:color w:val="auto"/>
              </w:rPr>
            </w:pPr>
          </w:p>
        </w:tc>
        <w:tc>
          <w:tcPr>
            <w:tcW w:w="3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840"/>
              <w:spacing w:after="0" w:line="175" w:lineRule="exact"/>
              <w:rPr>
                <w:sz w:val="20"/>
                <w:szCs w:val="20"/>
                <w:color w:val="auto"/>
              </w:rPr>
            </w:pPr>
            <w:r>
              <w:rPr>
                <w:rFonts w:ascii="Arial" w:cs="Arial" w:eastAsia="Arial" w:hAnsi="Arial"/>
                <w:sz w:val="16"/>
                <w:szCs w:val="16"/>
                <w:color w:val="auto"/>
              </w:rPr>
              <w:t>Mutual funds, investment funds and hedge funds</w:t>
            </w:r>
          </w:p>
        </w:tc>
        <w:tc>
          <w:tcPr>
            <w:tcW w:w="3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980"/>
              <w:spacing w:after="0" w:line="175" w:lineRule="exact"/>
              <w:rPr>
                <w:sz w:val="20"/>
                <w:szCs w:val="20"/>
                <w:color w:val="auto"/>
              </w:rPr>
            </w:pPr>
            <w:r>
              <w:rPr>
                <w:rFonts w:ascii="Arial" w:cs="Arial" w:eastAsia="Arial" w:hAnsi="Arial"/>
                <w:sz w:val="16"/>
                <w:szCs w:val="16"/>
                <w:color w:val="auto"/>
              </w:rPr>
              <w:t>U.S. Dollars</w:t>
            </w:r>
          </w:p>
        </w:tc>
        <w:tc>
          <w:tcPr>
            <w:tcW w:w="432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451,522</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516,834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980"/>
              <w:spacing w:after="0" w:line="175" w:lineRule="exact"/>
              <w:rPr>
                <w:sz w:val="20"/>
                <w:szCs w:val="20"/>
                <w:color w:val="auto"/>
              </w:rPr>
            </w:pPr>
            <w:r>
              <w:rPr>
                <w:rFonts w:ascii="Arial" w:cs="Arial" w:eastAsia="Arial" w:hAnsi="Arial"/>
                <w:sz w:val="16"/>
                <w:szCs w:val="16"/>
                <w:color w:val="auto"/>
              </w:rPr>
              <w:t>Soles</w:t>
            </w:r>
          </w:p>
        </w:tc>
        <w:tc>
          <w:tcPr>
            <w:tcW w:w="432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397,614</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170,769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980"/>
              <w:spacing w:after="0" w:line="175" w:lineRule="exact"/>
              <w:rPr>
                <w:sz w:val="20"/>
                <w:szCs w:val="20"/>
                <w:color w:val="auto"/>
              </w:rPr>
            </w:pPr>
            <w:r>
              <w:rPr>
                <w:rFonts w:ascii="Arial" w:cs="Arial" w:eastAsia="Arial" w:hAnsi="Arial"/>
                <w:sz w:val="16"/>
                <w:szCs w:val="16"/>
                <w:color w:val="auto"/>
              </w:rPr>
              <w:t>Bolivianos</w:t>
            </w:r>
          </w:p>
        </w:tc>
        <w:tc>
          <w:tcPr>
            <w:tcW w:w="432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280,188</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179,131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980"/>
              <w:spacing w:after="0" w:line="175" w:lineRule="exact"/>
              <w:rPr>
                <w:sz w:val="20"/>
                <w:szCs w:val="20"/>
                <w:color w:val="auto"/>
              </w:rPr>
            </w:pPr>
            <w:r>
              <w:rPr>
                <w:rFonts w:ascii="Arial" w:cs="Arial" w:eastAsia="Arial" w:hAnsi="Arial"/>
                <w:sz w:val="16"/>
                <w:szCs w:val="16"/>
                <w:color w:val="auto"/>
              </w:rPr>
              <w:t>Colombian pesos</w:t>
            </w:r>
          </w:p>
        </w:tc>
        <w:tc>
          <w:tcPr>
            <w:tcW w:w="4320" w:type="dxa"/>
            <w:vAlign w:val="bottom"/>
            <w:gridSpan w:val="3"/>
          </w:tcPr>
          <w:p>
            <w:pPr>
              <w:jc w:val="right"/>
              <w:ind w:right="120"/>
              <w:spacing w:after="0" w:line="175" w:lineRule="exact"/>
              <w:rPr>
                <w:sz w:val="20"/>
                <w:szCs w:val="20"/>
                <w:color w:val="auto"/>
              </w:rPr>
            </w:pPr>
            <w:r>
              <w:rPr>
                <w:rFonts w:ascii="Arial" w:cs="Arial" w:eastAsia="Arial" w:hAnsi="Arial"/>
                <w:sz w:val="16"/>
                <w:szCs w:val="16"/>
                <w:color w:val="auto"/>
              </w:rPr>
              <w:t>133,821</w:t>
            </w:r>
          </w:p>
        </w:tc>
        <w:tc>
          <w:tcPr>
            <w:tcW w:w="10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108,830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40" w:type="dxa"/>
            <w:vAlign w:val="bottom"/>
          </w:tcPr>
          <w:p>
            <w:pPr>
              <w:ind w:left="980"/>
              <w:spacing w:after="0"/>
              <w:rPr>
                <w:sz w:val="20"/>
                <w:szCs w:val="20"/>
                <w:color w:val="auto"/>
              </w:rPr>
            </w:pPr>
            <w:r>
              <w:rPr>
                <w:rFonts w:ascii="Arial" w:cs="Arial" w:eastAsia="Arial" w:hAnsi="Arial"/>
                <w:sz w:val="16"/>
                <w:szCs w:val="16"/>
                <w:color w:val="auto"/>
              </w:rPr>
              <w:t>Chilean pesos</w:t>
            </w:r>
          </w:p>
        </w:tc>
        <w:tc>
          <w:tcPr>
            <w:tcW w:w="4320" w:type="dxa"/>
            <w:vAlign w:val="bottom"/>
            <w:gridSpan w:val="3"/>
          </w:tcPr>
          <w:p>
            <w:pPr>
              <w:jc w:val="right"/>
              <w:ind w:right="120"/>
              <w:spacing w:after="0"/>
              <w:rPr>
                <w:sz w:val="20"/>
                <w:szCs w:val="20"/>
                <w:color w:val="auto"/>
              </w:rPr>
            </w:pPr>
            <w:r>
              <w:rPr>
                <w:rFonts w:ascii="Arial" w:cs="Arial" w:eastAsia="Arial" w:hAnsi="Arial"/>
                <w:sz w:val="16"/>
                <w:szCs w:val="16"/>
                <w:color w:val="auto"/>
              </w:rPr>
              <w:t>15,409</w:t>
            </w:r>
          </w:p>
        </w:tc>
        <w:tc>
          <w:tcPr>
            <w:tcW w:w="1060" w:type="dxa"/>
            <w:vAlign w:val="bottom"/>
            <w:gridSpan w:val="3"/>
          </w:tcPr>
          <w:p>
            <w:pPr>
              <w:jc w:val="right"/>
              <w:ind w:right="20"/>
              <w:spacing w:after="0"/>
              <w:rPr>
                <w:sz w:val="20"/>
                <w:szCs w:val="20"/>
                <w:color w:val="auto"/>
              </w:rPr>
            </w:pPr>
            <w:r>
              <w:rPr>
                <w:rFonts w:ascii="Arial" w:cs="Arial" w:eastAsia="Arial" w:hAnsi="Arial"/>
                <w:sz w:val="16"/>
                <w:szCs w:val="16"/>
                <w:color w:val="auto"/>
              </w:rPr>
              <w:t>7,198</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40" w:type="dxa"/>
            <w:vAlign w:val="bottom"/>
          </w:tcPr>
          <w:p>
            <w:pPr>
              <w:ind w:left="840"/>
              <w:spacing w:after="0" w:line="175" w:lineRule="exact"/>
              <w:rPr>
                <w:sz w:val="20"/>
                <w:szCs w:val="20"/>
                <w:color w:val="auto"/>
              </w:rPr>
            </w:pPr>
            <w:r>
              <w:rPr>
                <w:rFonts w:ascii="Arial" w:cs="Arial" w:eastAsia="Arial" w:hAnsi="Arial"/>
                <w:sz w:val="16"/>
                <w:szCs w:val="16"/>
                <w:b w:val="1"/>
                <w:bCs w:val="1"/>
                <w:color w:val="auto"/>
              </w:rPr>
              <w:t>Total</w:t>
            </w:r>
          </w:p>
        </w:tc>
        <w:tc>
          <w:tcPr>
            <w:tcW w:w="3180" w:type="dxa"/>
            <w:vAlign w:val="bottom"/>
          </w:tcPr>
          <w:p>
            <w:pPr>
              <w:spacing w:after="0"/>
              <w:rPr>
                <w:sz w:val="15"/>
                <w:szCs w:val="15"/>
                <w:color w:val="auto"/>
              </w:rPr>
            </w:pPr>
          </w:p>
        </w:tc>
        <w:tc>
          <w:tcPr>
            <w:tcW w:w="10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1,278,554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top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982,762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vMerge w:val="restart"/>
          </w:tcPr>
          <w:p>
            <w:pPr>
              <w:ind w:left="840"/>
              <w:spacing w:after="0"/>
              <w:rPr>
                <w:sz w:val="20"/>
                <w:szCs w:val="20"/>
                <w:color w:val="auto"/>
              </w:rPr>
            </w:pPr>
            <w:r>
              <w:rPr>
                <w:rFonts w:ascii="Arial" w:cs="Arial" w:eastAsia="Arial" w:hAnsi="Arial"/>
                <w:sz w:val="16"/>
                <w:szCs w:val="16"/>
                <w:color w:val="auto"/>
              </w:rPr>
              <w:t>Restricted mutual funds, Note 6(a)(v)</w:t>
            </w:r>
          </w:p>
        </w:tc>
        <w:tc>
          <w:tcPr>
            <w:tcW w:w="3180" w:type="dxa"/>
            <w:vAlign w:val="bottom"/>
            <w:vMerge w:val="restart"/>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1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840" w:type="dxa"/>
            <w:vAlign w:val="bottom"/>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1020" w:type="dxa"/>
            <w:vAlign w:val="bottom"/>
          </w:tcPr>
          <w:p>
            <w:pPr>
              <w:jc w:val="right"/>
              <w:spacing w:after="0" w:line="167" w:lineRule="exact"/>
              <w:rPr>
                <w:sz w:val="20"/>
                <w:szCs w:val="20"/>
                <w:color w:val="auto"/>
              </w:rPr>
            </w:pPr>
            <w:r>
              <w:rPr>
                <w:rFonts w:ascii="Arial" w:cs="Arial" w:eastAsia="Arial" w:hAnsi="Arial"/>
                <w:sz w:val="16"/>
                <w:szCs w:val="16"/>
                <w:color w:val="auto"/>
              </w:rPr>
              <w:t>307,225</w:t>
            </w: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40" w:type="dxa"/>
            <w:vAlign w:val="bottom"/>
            <w:gridSpan w:val="2"/>
          </w:tcPr>
          <w:p>
            <w:pPr>
              <w:jc w:val="right"/>
              <w:ind w:right="20"/>
              <w:spacing w:after="0" w:line="167" w:lineRule="exact"/>
              <w:rPr>
                <w:sz w:val="20"/>
                <w:szCs w:val="20"/>
                <w:color w:val="auto"/>
              </w:rPr>
            </w:pPr>
            <w:r>
              <w:rPr>
                <w:rFonts w:ascii="Arial" w:cs="Arial" w:eastAsia="Arial" w:hAnsi="Arial"/>
                <w:sz w:val="16"/>
                <w:szCs w:val="16"/>
                <w:color w:val="auto"/>
              </w:rPr>
              <w:t>334,162</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2"/>
        </w:trPr>
        <w:tc>
          <w:tcPr>
            <w:tcW w:w="4840" w:type="dxa"/>
            <w:vAlign w:val="bottom"/>
          </w:tcPr>
          <w:p>
            <w:pPr>
              <w:spacing w:after="0"/>
              <w:rPr>
                <w:sz w:val="24"/>
                <w:szCs w:val="24"/>
                <w:color w:val="auto"/>
              </w:rPr>
            </w:pPr>
          </w:p>
        </w:tc>
        <w:tc>
          <w:tcPr>
            <w:tcW w:w="3180" w:type="dxa"/>
            <w:vAlign w:val="bottom"/>
          </w:tcPr>
          <w:p>
            <w:pPr>
              <w:jc w:val="right"/>
              <w:ind w:right="2184"/>
              <w:spacing w:after="0"/>
              <w:rPr>
                <w:sz w:val="20"/>
                <w:szCs w:val="20"/>
                <w:color w:val="auto"/>
              </w:rPr>
            </w:pPr>
            <w:r>
              <w:rPr>
                <w:rFonts w:ascii="Arial" w:cs="Arial" w:eastAsia="Arial" w:hAnsi="Arial"/>
                <w:sz w:val="12"/>
                <w:szCs w:val="12"/>
                <w:color w:val="auto"/>
              </w:rPr>
              <w:t>-121-</w:t>
            </w: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8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24" w:name="page125"/>
    <w:bookmarkEnd w:id="124"/>
    <w:p>
      <w:pPr>
        <w:spacing w:after="0"/>
        <w:tabs>
          <w:tab w:leader="none" w:pos="520" w:val="left"/>
        </w:tabs>
        <w:rPr>
          <w:sz w:val="20"/>
          <w:szCs w:val="20"/>
          <w:color w:val="auto"/>
        </w:rPr>
      </w:pPr>
      <w:r>
        <w:rPr>
          <w:rFonts w:ascii="Arial" w:cs="Arial" w:eastAsia="Arial" w:hAnsi="Arial"/>
          <w:sz w:val="16"/>
          <w:szCs w:val="16"/>
          <w:b w:val="1"/>
          <w:bCs w:val="1"/>
          <w:color w:val="auto"/>
        </w:rPr>
        <w:t>29</w:t>
      </w:r>
      <w:r>
        <w:rPr>
          <w:sz w:val="20"/>
          <w:szCs w:val="20"/>
          <w:color w:val="auto"/>
        </w:rPr>
        <w:tab/>
      </w:r>
      <w:r>
        <w:rPr>
          <w:rFonts w:ascii="Arial" w:cs="Arial" w:eastAsia="Arial" w:hAnsi="Arial"/>
          <w:sz w:val="16"/>
          <w:szCs w:val="16"/>
          <w:b w:val="1"/>
          <w:bCs w:val="1"/>
          <w:color w:val="auto"/>
        </w:rPr>
        <w:t>FINANCIAL INSTRUMENTS CLASSIFICATION</w:t>
      </w:r>
    </w:p>
    <w:p>
      <w:pPr>
        <w:spacing w:after="0" w:line="167" w:lineRule="exact"/>
        <w:rPr>
          <w:sz w:val="20"/>
          <w:szCs w:val="20"/>
          <w:color w:val="auto"/>
        </w:rPr>
      </w:pPr>
    </w:p>
    <w:p>
      <w:pPr>
        <w:ind w:left="560" w:right="80"/>
        <w:spacing w:after="0" w:line="255" w:lineRule="auto"/>
        <w:rPr>
          <w:sz w:val="20"/>
          <w:szCs w:val="20"/>
          <w:color w:val="auto"/>
        </w:rPr>
      </w:pPr>
      <w:r>
        <w:rPr>
          <w:rFonts w:ascii="Arial" w:cs="Arial" w:eastAsia="Arial" w:hAnsi="Arial"/>
          <w:sz w:val="16"/>
          <w:szCs w:val="16"/>
          <w:color w:val="auto"/>
        </w:rPr>
        <w:t>The table below shows the carrying amounts of the financial assets and liabilities captions in the consolidated statement of financial position, by categories as defined under IFRS 9 as of December 31,2024 and 2023:</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116"/>
        </w:trPr>
        <w:tc>
          <w:tcPr>
            <w:tcW w:w="1660" w:type="dxa"/>
            <w:vAlign w:val="bottom"/>
          </w:tcPr>
          <w:p>
            <w:pPr>
              <w:spacing w:after="0"/>
              <w:rPr>
                <w:sz w:val="10"/>
                <w:szCs w:val="1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2024</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2023</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60" w:type="dxa"/>
            <w:vAlign w:val="bottom"/>
          </w:tcPr>
          <w:p>
            <w:pPr>
              <w:spacing w:after="0"/>
              <w:rPr>
                <w:sz w:val="7"/>
                <w:szCs w:val="7"/>
                <w:color w:val="auto"/>
              </w:rPr>
            </w:pPr>
          </w:p>
        </w:tc>
        <w:tc>
          <w:tcPr>
            <w:tcW w:w="1440" w:type="dxa"/>
            <w:vAlign w:val="bottom"/>
            <w:gridSpan w:val="5"/>
          </w:tcPr>
          <w:p>
            <w:pPr>
              <w:spacing w:after="0" w:line="86" w:lineRule="exact"/>
              <w:rPr>
                <w:sz w:val="20"/>
                <w:szCs w:val="20"/>
                <w:color w:val="auto"/>
              </w:rPr>
            </w:pPr>
            <w:r>
              <w:rPr>
                <w:rFonts w:ascii="Arial" w:cs="Arial" w:eastAsia="Arial" w:hAnsi="Arial"/>
                <w:sz w:val="9"/>
                <w:szCs w:val="9"/>
                <w:b w:val="1"/>
                <w:bCs w:val="1"/>
                <w:color w:val="auto"/>
              </w:rPr>
              <w:t>Financial assets and</w:t>
            </w:r>
          </w:p>
        </w:tc>
        <w:tc>
          <w:tcPr>
            <w:tcW w:w="1500" w:type="dxa"/>
            <w:vAlign w:val="bottom"/>
            <w:gridSpan w:val="5"/>
          </w:tcPr>
          <w:p>
            <w:pPr>
              <w:ind w:left="40"/>
              <w:spacing w:after="0" w:line="86" w:lineRule="exact"/>
              <w:rPr>
                <w:sz w:val="20"/>
                <w:szCs w:val="20"/>
                <w:color w:val="auto"/>
              </w:rPr>
            </w:pPr>
            <w:r>
              <w:rPr>
                <w:rFonts w:ascii="Arial" w:cs="Arial" w:eastAsia="Arial" w:hAnsi="Arial"/>
                <w:sz w:val="9"/>
                <w:szCs w:val="9"/>
                <w:b w:val="1"/>
                <w:bCs w:val="1"/>
                <w:color w:val="auto"/>
              </w:rPr>
              <w:t>Financial assets at fair value</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20" w:type="dxa"/>
            <w:vAlign w:val="bottom"/>
            <w:gridSpan w:val="5"/>
          </w:tcPr>
          <w:p>
            <w:pPr>
              <w:spacing w:after="0" w:line="86" w:lineRule="exact"/>
              <w:rPr>
                <w:sz w:val="20"/>
                <w:szCs w:val="20"/>
                <w:color w:val="auto"/>
              </w:rPr>
            </w:pPr>
            <w:r>
              <w:rPr>
                <w:rFonts w:ascii="Arial" w:cs="Arial" w:eastAsia="Arial" w:hAnsi="Arial"/>
                <w:sz w:val="9"/>
                <w:szCs w:val="9"/>
                <w:b w:val="1"/>
                <w:bCs w:val="1"/>
                <w:color w:val="auto"/>
              </w:rPr>
              <w:t>Financial assets and</w:t>
            </w:r>
          </w:p>
        </w:tc>
        <w:tc>
          <w:tcPr>
            <w:tcW w:w="1400" w:type="dxa"/>
            <w:vAlign w:val="bottom"/>
            <w:gridSpan w:val="3"/>
          </w:tcPr>
          <w:p>
            <w:pPr>
              <w:spacing w:after="0" w:line="86" w:lineRule="exact"/>
              <w:rPr>
                <w:sz w:val="20"/>
                <w:szCs w:val="20"/>
                <w:color w:val="auto"/>
              </w:rPr>
            </w:pPr>
            <w:r>
              <w:rPr>
                <w:rFonts w:ascii="Arial" w:cs="Arial" w:eastAsia="Arial" w:hAnsi="Arial"/>
                <w:sz w:val="9"/>
                <w:szCs w:val="9"/>
                <w:b w:val="1"/>
                <w:bCs w:val="1"/>
                <w:color w:val="auto"/>
              </w:rPr>
              <w:t>Financial assets at fair value</w:t>
            </w: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liabilities at fair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5"/>
          </w:tcPr>
          <w:p>
            <w:pPr>
              <w:ind w:left="40"/>
              <w:spacing w:after="0"/>
              <w:rPr>
                <w:sz w:val="20"/>
                <w:szCs w:val="20"/>
                <w:color w:val="auto"/>
              </w:rPr>
            </w:pPr>
            <w:r>
              <w:rPr>
                <w:rFonts w:ascii="Arial" w:cs="Arial" w:eastAsia="Arial" w:hAnsi="Arial"/>
                <w:sz w:val="9"/>
                <w:szCs w:val="9"/>
                <w:b w:val="1"/>
                <w:bCs w:val="1"/>
                <w:color w:val="auto"/>
              </w:rPr>
              <w:t>through other comprehensive</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liabilities at fair</w:t>
            </w: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3"/>
          </w:tcPr>
          <w:p>
            <w:pPr>
              <w:spacing w:after="0"/>
              <w:rPr>
                <w:sz w:val="20"/>
                <w:szCs w:val="20"/>
                <w:color w:val="auto"/>
              </w:rPr>
            </w:pPr>
            <w:r>
              <w:rPr>
                <w:rFonts w:ascii="Arial" w:cs="Arial" w:eastAsia="Arial" w:hAnsi="Arial"/>
                <w:sz w:val="9"/>
                <w:szCs w:val="9"/>
                <w:b w:val="1"/>
                <w:bCs w:val="1"/>
                <w:color w:val="auto"/>
              </w:rPr>
              <w:t>through other comprehensive</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1440" w:type="dxa"/>
            <w:vAlign w:val="bottom"/>
            <w:gridSpan w:val="5"/>
          </w:tcPr>
          <w:p>
            <w:pPr>
              <w:spacing w:after="0"/>
              <w:rPr>
                <w:sz w:val="20"/>
                <w:szCs w:val="20"/>
                <w:color w:val="auto"/>
              </w:rPr>
            </w:pPr>
            <w:r>
              <w:rPr>
                <w:rFonts w:ascii="Arial" w:cs="Arial" w:eastAsia="Arial" w:hAnsi="Arial"/>
                <w:sz w:val="9"/>
                <w:szCs w:val="9"/>
                <w:b w:val="1"/>
                <w:bCs w:val="1"/>
                <w:color w:val="auto"/>
              </w:rPr>
              <w:t>value through profit or loss</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income</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Financial</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5"/>
          </w:tcPr>
          <w:p>
            <w:pPr>
              <w:spacing w:after="0"/>
              <w:rPr>
                <w:sz w:val="20"/>
                <w:szCs w:val="20"/>
                <w:color w:val="auto"/>
              </w:rPr>
            </w:pPr>
            <w:r>
              <w:rPr>
                <w:rFonts w:ascii="Arial" w:cs="Arial" w:eastAsia="Arial" w:hAnsi="Arial"/>
                <w:sz w:val="9"/>
                <w:szCs w:val="9"/>
                <w:b w:val="1"/>
                <w:bCs w:val="1"/>
                <w:color w:val="auto"/>
              </w:rPr>
              <w:t>value through profit or loss</w:t>
            </w:r>
          </w:p>
        </w:tc>
        <w:tc>
          <w:tcPr>
            <w:tcW w:w="660" w:type="dxa"/>
            <w:vAlign w:val="bottom"/>
          </w:tcPr>
          <w:p>
            <w:pPr>
              <w:spacing w:after="0"/>
              <w:rPr>
                <w:sz w:val="20"/>
                <w:szCs w:val="20"/>
                <w:color w:val="auto"/>
              </w:rPr>
            </w:pPr>
            <w:r>
              <w:rPr>
                <w:rFonts w:ascii="Arial" w:cs="Arial" w:eastAsia="Arial" w:hAnsi="Arial"/>
                <w:sz w:val="9"/>
                <w:szCs w:val="9"/>
                <w:b w:val="1"/>
                <w:bCs w:val="1"/>
                <w:color w:val="auto"/>
              </w:rPr>
              <w:t>income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9"/>
                <w:szCs w:val="9"/>
                <w:b w:val="1"/>
                <w:bCs w:val="1"/>
                <w:color w:val="auto"/>
              </w:rPr>
              <w:t>Financial</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assets and</w:t>
            </w: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gridSpan w:val="3"/>
          </w:tcPr>
          <w:p>
            <w:pPr>
              <w:ind w:left="80"/>
              <w:spacing w:after="0"/>
              <w:rPr>
                <w:sz w:val="20"/>
                <w:szCs w:val="20"/>
                <w:color w:val="auto"/>
              </w:rPr>
            </w:pPr>
            <w:r>
              <w:rPr>
                <w:rFonts w:ascii="Arial" w:cs="Arial" w:eastAsia="Arial" w:hAnsi="Arial"/>
                <w:sz w:val="9"/>
                <w:szCs w:val="9"/>
                <w:b w:val="1"/>
                <w:bCs w:val="1"/>
                <w:color w:val="auto"/>
              </w:rPr>
              <w:t>assets and</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tcPr>
          <w:p>
            <w:pPr>
              <w:ind w:left="40"/>
              <w:spacing w:after="0"/>
              <w:rPr>
                <w:sz w:val="20"/>
                <w:szCs w:val="20"/>
                <w:color w:val="auto"/>
              </w:rPr>
            </w:pPr>
            <w:r>
              <w:rPr>
                <w:rFonts w:ascii="Arial" w:cs="Arial" w:eastAsia="Arial" w:hAnsi="Arial"/>
                <w:sz w:val="9"/>
                <w:szCs w:val="9"/>
                <w:b w:val="1"/>
                <w:bCs w:val="1"/>
                <w:color w:val="auto"/>
              </w:rPr>
              <w:t>Investments</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3"/>
          </w:tcPr>
          <w:p>
            <w:pPr>
              <w:ind w:left="60"/>
              <w:spacing w:after="0"/>
              <w:rPr>
                <w:sz w:val="20"/>
                <w:szCs w:val="20"/>
                <w:color w:val="auto"/>
              </w:rPr>
            </w:pPr>
            <w:r>
              <w:rPr>
                <w:rFonts w:ascii="Arial" w:cs="Arial" w:eastAsia="Arial" w:hAnsi="Arial"/>
                <w:sz w:val="9"/>
                <w:szCs w:val="9"/>
                <w:b w:val="1"/>
                <w:bCs w:val="1"/>
                <w:color w:val="auto"/>
              </w:rPr>
              <w:t>Investments</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liabilities</w:t>
            </w: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3"/>
          </w:tcPr>
          <w:p>
            <w:pPr>
              <w:ind w:left="40"/>
              <w:spacing w:after="0"/>
              <w:rPr>
                <w:sz w:val="20"/>
                <w:szCs w:val="20"/>
                <w:color w:val="auto"/>
              </w:rPr>
            </w:pPr>
            <w:r>
              <w:rPr>
                <w:rFonts w:ascii="Arial" w:cs="Arial" w:eastAsia="Arial" w:hAnsi="Arial"/>
                <w:sz w:val="9"/>
                <w:szCs w:val="9"/>
                <w:b w:val="1"/>
                <w:bCs w:val="1"/>
                <w:color w:val="auto"/>
              </w:rPr>
              <w:t>Investments</w:t>
            </w:r>
          </w:p>
        </w:tc>
        <w:tc>
          <w:tcPr>
            <w:tcW w:w="660" w:type="dxa"/>
            <w:vAlign w:val="bottom"/>
          </w:tcPr>
          <w:p>
            <w:pPr>
              <w:spacing w:after="0"/>
              <w:rPr>
                <w:sz w:val="9"/>
                <w:szCs w:val="9"/>
                <w:color w:val="auto"/>
              </w:rPr>
            </w:pPr>
          </w:p>
        </w:tc>
        <w:tc>
          <w:tcPr>
            <w:tcW w:w="740" w:type="dxa"/>
            <w:vAlign w:val="bottom"/>
            <w:gridSpan w:val="2"/>
          </w:tcPr>
          <w:p>
            <w:pPr>
              <w:ind w:left="80"/>
              <w:spacing w:after="0"/>
              <w:rPr>
                <w:sz w:val="20"/>
                <w:szCs w:val="20"/>
                <w:color w:val="auto"/>
              </w:rPr>
            </w:pPr>
            <w:r>
              <w:rPr>
                <w:rFonts w:ascii="Arial" w:cs="Arial" w:eastAsia="Arial" w:hAnsi="Arial"/>
                <w:sz w:val="9"/>
                <w:szCs w:val="9"/>
                <w:b w:val="1"/>
                <w:bCs w:val="1"/>
                <w:color w:val="auto"/>
              </w:rPr>
              <w:t>Investments</w:t>
            </w:r>
          </w:p>
        </w:tc>
        <w:tc>
          <w:tcPr>
            <w:tcW w:w="820" w:type="dxa"/>
            <w:vAlign w:val="bottom"/>
            <w:gridSpan w:val="3"/>
          </w:tcPr>
          <w:p>
            <w:pPr>
              <w:ind w:left="80"/>
              <w:spacing w:after="0"/>
              <w:rPr>
                <w:sz w:val="20"/>
                <w:szCs w:val="20"/>
                <w:color w:val="auto"/>
              </w:rPr>
            </w:pPr>
            <w:r>
              <w:rPr>
                <w:rFonts w:ascii="Arial" w:cs="Arial" w:eastAsia="Arial" w:hAnsi="Arial"/>
                <w:sz w:val="9"/>
                <w:szCs w:val="9"/>
                <w:b w:val="1"/>
                <w:bCs w:val="1"/>
                <w:color w:val="auto"/>
              </w:rPr>
              <w:t>liabilities</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Investments</w:t>
            </w:r>
          </w:p>
        </w:tc>
        <w:tc>
          <w:tcPr>
            <w:tcW w:w="740" w:type="dxa"/>
            <w:vAlign w:val="bottom"/>
            <w:gridSpan w:val="3"/>
          </w:tcPr>
          <w:p>
            <w:pPr>
              <w:ind w:left="40"/>
              <w:spacing w:after="0"/>
              <w:rPr>
                <w:sz w:val="20"/>
                <w:szCs w:val="20"/>
                <w:color w:val="auto"/>
              </w:rPr>
            </w:pPr>
            <w:r>
              <w:rPr>
                <w:rFonts w:ascii="Arial" w:cs="Arial" w:eastAsia="Arial" w:hAnsi="Arial"/>
                <w:sz w:val="9"/>
                <w:szCs w:val="9"/>
                <w:b w:val="1"/>
                <w:bCs w:val="1"/>
                <w:color w:val="auto"/>
              </w:rPr>
              <w:t>designated at</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3"/>
          </w:tcPr>
          <w:p>
            <w:pPr>
              <w:ind w:left="60"/>
              <w:spacing w:after="0"/>
              <w:rPr>
                <w:sz w:val="20"/>
                <w:szCs w:val="20"/>
                <w:color w:val="auto"/>
              </w:rPr>
            </w:pPr>
            <w:r>
              <w:rPr>
                <w:rFonts w:ascii="Arial" w:cs="Arial" w:eastAsia="Arial" w:hAnsi="Arial"/>
                <w:sz w:val="9"/>
                <w:szCs w:val="9"/>
                <w:b w:val="1"/>
                <w:bCs w:val="1"/>
                <w:color w:val="auto"/>
              </w:rPr>
              <w:t>designated at</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measured at</w:t>
            </w: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Investments and</w:t>
            </w:r>
          </w:p>
        </w:tc>
        <w:tc>
          <w:tcPr>
            <w:tcW w:w="800" w:type="dxa"/>
            <w:vAlign w:val="bottom"/>
            <w:gridSpan w:val="3"/>
          </w:tcPr>
          <w:p>
            <w:pPr>
              <w:ind w:left="40"/>
              <w:spacing w:after="0"/>
              <w:rPr>
                <w:sz w:val="20"/>
                <w:szCs w:val="20"/>
                <w:color w:val="auto"/>
              </w:rPr>
            </w:pPr>
            <w:r>
              <w:rPr>
                <w:rFonts w:ascii="Arial" w:cs="Arial" w:eastAsia="Arial" w:hAnsi="Arial"/>
                <w:sz w:val="9"/>
                <w:szCs w:val="9"/>
                <w:b w:val="1"/>
                <w:bCs w:val="1"/>
                <w:color w:val="auto"/>
              </w:rPr>
              <w:t>designated at</w:t>
            </w:r>
          </w:p>
        </w:tc>
        <w:tc>
          <w:tcPr>
            <w:tcW w:w="660" w:type="dxa"/>
            <w:vAlign w:val="bottom"/>
          </w:tcPr>
          <w:p>
            <w:pPr>
              <w:spacing w:after="0"/>
              <w:rPr>
                <w:sz w:val="9"/>
                <w:szCs w:val="9"/>
                <w:color w:val="auto"/>
              </w:rPr>
            </w:pPr>
          </w:p>
        </w:tc>
        <w:tc>
          <w:tcPr>
            <w:tcW w:w="740" w:type="dxa"/>
            <w:vAlign w:val="bottom"/>
            <w:gridSpan w:val="2"/>
          </w:tcPr>
          <w:p>
            <w:pPr>
              <w:ind w:left="80"/>
              <w:spacing w:after="0"/>
              <w:rPr>
                <w:sz w:val="20"/>
                <w:szCs w:val="20"/>
                <w:color w:val="auto"/>
              </w:rPr>
            </w:pPr>
            <w:r>
              <w:rPr>
                <w:rFonts w:ascii="Arial" w:cs="Arial" w:eastAsia="Arial" w:hAnsi="Arial"/>
                <w:sz w:val="9"/>
                <w:szCs w:val="9"/>
                <w:b w:val="1"/>
                <w:bCs w:val="1"/>
                <w:color w:val="auto"/>
              </w:rPr>
              <w:t>designated at</w:t>
            </w:r>
          </w:p>
        </w:tc>
        <w:tc>
          <w:tcPr>
            <w:tcW w:w="820" w:type="dxa"/>
            <w:vAlign w:val="bottom"/>
            <w:gridSpan w:val="3"/>
          </w:tcPr>
          <w:p>
            <w:pPr>
              <w:ind w:left="80"/>
              <w:spacing w:after="0"/>
              <w:rPr>
                <w:sz w:val="20"/>
                <w:szCs w:val="20"/>
                <w:color w:val="auto"/>
              </w:rPr>
            </w:pPr>
            <w:r>
              <w:rPr>
                <w:rFonts w:ascii="Arial" w:cs="Arial" w:eastAsia="Arial" w:hAnsi="Arial"/>
                <w:sz w:val="9"/>
                <w:szCs w:val="9"/>
                <w:b w:val="1"/>
                <w:bCs w:val="1"/>
                <w:color w:val="auto"/>
              </w:rPr>
              <w:t>measured at</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and derivates</w:t>
            </w:r>
          </w:p>
        </w:tc>
        <w:tc>
          <w:tcPr>
            <w:tcW w:w="740" w:type="dxa"/>
            <w:vAlign w:val="bottom"/>
            <w:gridSpan w:val="3"/>
          </w:tcPr>
          <w:p>
            <w:pPr>
              <w:ind w:left="40"/>
              <w:spacing w:after="0"/>
              <w:rPr>
                <w:sz w:val="20"/>
                <w:szCs w:val="20"/>
                <w:color w:val="auto"/>
              </w:rPr>
            </w:pPr>
            <w:r>
              <w:rPr>
                <w:rFonts w:ascii="Arial" w:cs="Arial" w:eastAsia="Arial" w:hAnsi="Arial"/>
                <w:sz w:val="9"/>
                <w:szCs w:val="9"/>
                <w:b w:val="1"/>
                <w:bCs w:val="1"/>
                <w:color w:val="auto"/>
              </w:rPr>
              <w:t>inception</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Investments</w:t>
            </w:r>
          </w:p>
        </w:tc>
        <w:tc>
          <w:tcPr>
            <w:tcW w:w="800" w:type="dxa"/>
            <w:vAlign w:val="bottom"/>
            <w:gridSpan w:val="3"/>
          </w:tcPr>
          <w:p>
            <w:pPr>
              <w:ind w:left="60"/>
              <w:spacing w:after="0"/>
              <w:rPr>
                <w:sz w:val="20"/>
                <w:szCs w:val="20"/>
                <w:color w:val="auto"/>
              </w:rPr>
            </w:pPr>
            <w:r>
              <w:rPr>
                <w:rFonts w:ascii="Arial" w:cs="Arial" w:eastAsia="Arial" w:hAnsi="Arial"/>
                <w:sz w:val="9"/>
                <w:szCs w:val="9"/>
                <w:b w:val="1"/>
                <w:bCs w:val="1"/>
                <w:color w:val="auto"/>
              </w:rPr>
              <w:t>inception</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amortized cost</w:t>
            </w:r>
          </w:p>
        </w:tc>
        <w:tc>
          <w:tcPr>
            <w:tcW w:w="740" w:type="dxa"/>
            <w:vAlign w:val="bottom"/>
            <w:gridSpan w:val="2"/>
          </w:tcPr>
          <w:p>
            <w:pPr>
              <w:spacing w:after="0"/>
              <w:rPr>
                <w:sz w:val="20"/>
                <w:szCs w:val="20"/>
                <w:color w:val="auto"/>
              </w:rPr>
            </w:pPr>
            <w:r>
              <w:rPr>
                <w:rFonts w:ascii="Arial" w:cs="Arial" w:eastAsia="Arial" w:hAnsi="Arial"/>
                <w:sz w:val="9"/>
                <w:szCs w:val="9"/>
                <w:b w:val="1"/>
                <w:bCs w:val="1"/>
                <w:color w:val="auto"/>
              </w:rPr>
              <w:t>Total</w:t>
            </w: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derivates</w:t>
            </w:r>
          </w:p>
        </w:tc>
        <w:tc>
          <w:tcPr>
            <w:tcW w:w="800" w:type="dxa"/>
            <w:vAlign w:val="bottom"/>
            <w:gridSpan w:val="3"/>
          </w:tcPr>
          <w:p>
            <w:pPr>
              <w:ind w:left="40"/>
              <w:spacing w:after="0"/>
              <w:rPr>
                <w:sz w:val="20"/>
                <w:szCs w:val="20"/>
                <w:color w:val="auto"/>
              </w:rPr>
            </w:pPr>
            <w:r>
              <w:rPr>
                <w:rFonts w:ascii="Arial" w:cs="Arial" w:eastAsia="Arial" w:hAnsi="Arial"/>
                <w:sz w:val="9"/>
                <w:szCs w:val="9"/>
                <w:b w:val="1"/>
                <w:bCs w:val="1"/>
                <w:color w:val="auto"/>
              </w:rPr>
              <w:t>inception</w:t>
            </w:r>
          </w:p>
        </w:tc>
        <w:tc>
          <w:tcPr>
            <w:tcW w:w="660" w:type="dxa"/>
            <w:vAlign w:val="bottom"/>
          </w:tcPr>
          <w:p>
            <w:pPr>
              <w:spacing w:after="0"/>
              <w:rPr>
                <w:sz w:val="20"/>
                <w:szCs w:val="20"/>
                <w:color w:val="auto"/>
              </w:rPr>
            </w:pPr>
            <w:r>
              <w:rPr>
                <w:rFonts w:ascii="Arial" w:cs="Arial" w:eastAsia="Arial" w:hAnsi="Arial"/>
                <w:sz w:val="9"/>
                <w:szCs w:val="9"/>
                <w:b w:val="1"/>
                <w:bCs w:val="1"/>
                <w:color w:val="auto"/>
              </w:rPr>
              <w:t>Investments</w:t>
            </w:r>
          </w:p>
        </w:tc>
        <w:tc>
          <w:tcPr>
            <w:tcW w:w="740" w:type="dxa"/>
            <w:vAlign w:val="bottom"/>
            <w:gridSpan w:val="2"/>
          </w:tcPr>
          <w:p>
            <w:pPr>
              <w:ind w:left="80"/>
              <w:spacing w:after="0"/>
              <w:rPr>
                <w:sz w:val="20"/>
                <w:szCs w:val="20"/>
                <w:color w:val="auto"/>
              </w:rPr>
            </w:pPr>
            <w:r>
              <w:rPr>
                <w:rFonts w:ascii="Arial" w:cs="Arial" w:eastAsia="Arial" w:hAnsi="Arial"/>
                <w:sz w:val="9"/>
                <w:szCs w:val="9"/>
                <w:b w:val="1"/>
                <w:bCs w:val="1"/>
                <w:color w:val="auto"/>
              </w:rPr>
              <w:t>inception</w:t>
            </w:r>
          </w:p>
        </w:tc>
        <w:tc>
          <w:tcPr>
            <w:tcW w:w="820" w:type="dxa"/>
            <w:vAlign w:val="bottom"/>
            <w:gridSpan w:val="3"/>
          </w:tcPr>
          <w:p>
            <w:pPr>
              <w:ind w:left="80"/>
              <w:spacing w:after="0"/>
              <w:rPr>
                <w:sz w:val="20"/>
                <w:szCs w:val="20"/>
                <w:color w:val="auto"/>
              </w:rPr>
            </w:pPr>
            <w:r>
              <w:rPr>
                <w:rFonts w:ascii="Arial" w:cs="Arial" w:eastAsia="Arial" w:hAnsi="Arial"/>
                <w:sz w:val="9"/>
                <w:szCs w:val="9"/>
                <w:b w:val="1"/>
                <w:bCs w:val="1"/>
                <w:color w:val="auto"/>
              </w:rPr>
              <w:t>amortized cost</w:t>
            </w:r>
          </w:p>
        </w:tc>
        <w:tc>
          <w:tcPr>
            <w:tcW w:w="680" w:type="dxa"/>
            <w:vAlign w:val="bottom"/>
          </w:tcPr>
          <w:p>
            <w:pPr>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660" w:type="dxa"/>
            <w:vAlign w:val="bottom"/>
            <w:vMerge w:val="restart"/>
          </w:tcPr>
          <w:p>
            <w:pPr>
              <w:spacing w:after="0"/>
              <w:rPr>
                <w:sz w:val="20"/>
                <w:szCs w:val="20"/>
                <w:color w:val="auto"/>
              </w:rPr>
            </w:pPr>
            <w:r>
              <w:rPr>
                <w:rFonts w:ascii="Arial" w:cs="Arial" w:eastAsia="Arial" w:hAnsi="Arial"/>
                <w:sz w:val="9"/>
                <w:szCs w:val="9"/>
                <w:b w:val="1"/>
                <w:bCs w:val="1"/>
                <w:color w:val="auto"/>
              </w:rPr>
              <w:t>Assets</w:t>
            </w:r>
          </w:p>
        </w:tc>
        <w:tc>
          <w:tcPr>
            <w:tcW w:w="66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10"/>
                <w:szCs w:val="1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10"/>
                <w:szCs w:val="1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10"/>
                <w:szCs w:val="10"/>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rPr>
              <w:t>S/(000)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9"/>
                <w:szCs w:val="9"/>
                <w:color w:val="auto"/>
              </w:rPr>
              <w:t>Cash and due from banks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47,655,196</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47,655,196</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33,930,948</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33,930,948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Cash collateral, reverse repurchase</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agreements and securities borrowings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1,033,177</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1,033,177</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9"/>
                <w:szCs w:val="9"/>
                <w:color w:val="auto"/>
              </w:rPr>
              <w:t>1,410,647</w:t>
            </w:r>
          </w:p>
        </w:tc>
        <w:tc>
          <w:tcPr>
            <w:tcW w:w="680" w:type="dxa"/>
            <w:vAlign w:val="bottom"/>
          </w:tcPr>
          <w:p>
            <w:pPr>
              <w:jc w:val="right"/>
              <w:spacing w:after="0"/>
              <w:rPr>
                <w:sz w:val="20"/>
                <w:szCs w:val="20"/>
                <w:color w:val="auto"/>
              </w:rPr>
            </w:pPr>
            <w:r>
              <w:rPr>
                <w:rFonts w:ascii="Arial" w:cs="Arial" w:eastAsia="Arial" w:hAnsi="Arial"/>
                <w:sz w:val="9"/>
                <w:szCs w:val="9"/>
                <w:color w:val="auto"/>
              </w:rPr>
              <w:t>1,410,647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Investments at fair value through profit</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or loss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4,715,343</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4,715,343</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4,982,661</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4,982,661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Investments at fair value through other</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comprehensive income, Note 6(b)</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spacing w:after="0"/>
              <w:rPr>
                <w:sz w:val="20"/>
                <w:szCs w:val="20"/>
                <w:color w:val="auto"/>
              </w:rPr>
            </w:pPr>
            <w:r>
              <w:rPr>
                <w:rFonts w:ascii="Arial" w:cs="Arial" w:eastAsia="Arial" w:hAnsi="Arial"/>
                <w:sz w:val="9"/>
                <w:szCs w:val="9"/>
                <w:color w:val="auto"/>
              </w:rPr>
              <w:t>39,995,374</w:t>
            </w:r>
          </w:p>
        </w:tc>
        <w:tc>
          <w:tcPr>
            <w:tcW w:w="800" w:type="dxa"/>
            <w:vAlign w:val="bottom"/>
            <w:gridSpan w:val="3"/>
          </w:tcPr>
          <w:p>
            <w:pPr>
              <w:jc w:val="right"/>
              <w:ind w:right="80"/>
              <w:spacing w:after="0"/>
              <w:rPr>
                <w:sz w:val="20"/>
                <w:szCs w:val="20"/>
                <w:color w:val="auto"/>
              </w:rPr>
            </w:pPr>
            <w:r>
              <w:rPr>
                <w:rFonts w:ascii="Arial" w:cs="Arial" w:eastAsia="Arial" w:hAnsi="Arial"/>
                <w:sz w:val="9"/>
                <w:szCs w:val="9"/>
                <w:color w:val="auto"/>
              </w:rPr>
              <w:t>147,264</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40,142,638</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36,709,138</w:t>
            </w:r>
          </w:p>
        </w:tc>
        <w:tc>
          <w:tcPr>
            <w:tcW w:w="740" w:type="dxa"/>
            <w:vAlign w:val="bottom"/>
            <w:gridSpan w:val="2"/>
          </w:tcPr>
          <w:p>
            <w:pPr>
              <w:jc w:val="right"/>
              <w:spacing w:after="0"/>
              <w:rPr>
                <w:sz w:val="20"/>
                <w:szCs w:val="20"/>
                <w:color w:val="auto"/>
              </w:rPr>
            </w:pPr>
            <w:r>
              <w:rPr>
                <w:rFonts w:ascii="Arial" w:cs="Arial" w:eastAsia="Arial" w:hAnsi="Arial"/>
                <w:sz w:val="9"/>
                <w:szCs w:val="9"/>
                <w:color w:val="auto"/>
              </w:rPr>
              <w:t>334,802</w:t>
            </w:r>
          </w:p>
        </w:tc>
        <w:tc>
          <w:tcPr>
            <w:tcW w:w="8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37,043,940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Amortized cost investments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8,967,877</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8,967,877</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10,188,927</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10,188,927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Loans, net</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137,737,296</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137,737,296</w:t>
            </w:r>
          </w:p>
        </w:tc>
        <w:tc>
          <w:tcPr>
            <w:tcW w:w="60" w:type="dxa"/>
            <w:vAlign w:val="bottom"/>
          </w:tcPr>
          <w:p>
            <w:pPr>
              <w:spacing w:after="0"/>
              <w:rPr>
                <w:sz w:val="9"/>
                <w:szCs w:val="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136,698,135</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136,698,135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Financial assets designated at fair value</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through profit or loss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9"/>
                <w:szCs w:val="9"/>
                <w:color w:val="auto"/>
              </w:rPr>
              <w:t>932,734</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932,734</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800" w:type="dxa"/>
            <w:vAlign w:val="bottom"/>
            <w:gridSpan w:val="3"/>
          </w:tcPr>
          <w:p>
            <w:pPr>
              <w:jc w:val="right"/>
              <w:ind w:right="80"/>
              <w:spacing w:after="0"/>
              <w:rPr>
                <w:sz w:val="20"/>
                <w:szCs w:val="20"/>
                <w:color w:val="auto"/>
              </w:rPr>
            </w:pPr>
            <w:r>
              <w:rPr>
                <w:rFonts w:ascii="Arial" w:cs="Arial" w:eastAsia="Arial" w:hAnsi="Arial"/>
                <w:sz w:val="9"/>
                <w:szCs w:val="9"/>
                <w:color w:val="auto"/>
              </w:rPr>
              <w:t>810,932</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810,932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Due from customers on banker’s</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acceptances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528,184</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528,184</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9"/>
                <w:szCs w:val="9"/>
                <w:color w:val="auto"/>
              </w:rPr>
              <w:t>412,401</w:t>
            </w:r>
          </w:p>
        </w:tc>
        <w:tc>
          <w:tcPr>
            <w:tcW w:w="680" w:type="dxa"/>
            <w:vAlign w:val="bottom"/>
          </w:tcPr>
          <w:p>
            <w:pPr>
              <w:jc w:val="right"/>
              <w:spacing w:after="0"/>
              <w:rPr>
                <w:sz w:val="20"/>
                <w:szCs w:val="20"/>
                <w:color w:val="auto"/>
              </w:rPr>
            </w:pPr>
            <w:r>
              <w:rPr>
                <w:rFonts w:ascii="Arial" w:cs="Arial" w:eastAsia="Arial" w:hAnsi="Arial"/>
                <w:sz w:val="9"/>
                <w:szCs w:val="9"/>
                <w:color w:val="auto"/>
              </w:rPr>
              <w:t>412,401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60" w:type="dxa"/>
            <w:vAlign w:val="bottom"/>
          </w:tcPr>
          <w:p>
            <w:pPr>
              <w:spacing w:after="0"/>
              <w:rPr>
                <w:sz w:val="20"/>
                <w:szCs w:val="20"/>
                <w:color w:val="auto"/>
              </w:rPr>
            </w:pPr>
            <w:r>
              <w:rPr>
                <w:rFonts w:ascii="Arial" w:cs="Arial" w:eastAsia="Arial" w:hAnsi="Arial"/>
                <w:sz w:val="9"/>
                <w:szCs w:val="9"/>
                <w:color w:val="auto"/>
              </w:rPr>
              <w:t>Other assets, Note 12(a)</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904,791</w:t>
            </w:r>
          </w:p>
        </w:tc>
        <w:tc>
          <w:tcPr>
            <w:tcW w:w="4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3,269,019</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4,173,810</w:t>
            </w:r>
          </w:p>
        </w:tc>
        <w:tc>
          <w:tcPr>
            <w:tcW w:w="780" w:type="dxa"/>
            <w:vAlign w:val="bottom"/>
          </w:tcPr>
          <w:p>
            <w:pPr>
              <w:jc w:val="right"/>
              <w:spacing w:after="0"/>
              <w:rPr>
                <w:sz w:val="20"/>
                <w:szCs w:val="20"/>
                <w:color w:val="auto"/>
              </w:rPr>
            </w:pPr>
            <w:r>
              <w:rPr>
                <w:rFonts w:ascii="Arial" w:cs="Arial" w:eastAsia="Arial" w:hAnsi="Arial"/>
                <w:sz w:val="9"/>
                <w:szCs w:val="9"/>
                <w:color w:val="auto"/>
              </w:rPr>
              <w:t>987,663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9"/>
                <w:szCs w:val="9"/>
                <w:color w:val="auto"/>
              </w:rPr>
              <w:t>2,072,603</w:t>
            </w:r>
          </w:p>
        </w:tc>
        <w:tc>
          <w:tcPr>
            <w:tcW w:w="680" w:type="dxa"/>
            <w:vAlign w:val="bottom"/>
          </w:tcPr>
          <w:p>
            <w:pPr>
              <w:jc w:val="right"/>
              <w:spacing w:after="0"/>
              <w:rPr>
                <w:sz w:val="20"/>
                <w:szCs w:val="20"/>
                <w:color w:val="auto"/>
              </w:rPr>
            </w:pPr>
            <w:r>
              <w:rPr>
                <w:rFonts w:ascii="Arial" w:cs="Arial" w:eastAsia="Arial" w:hAnsi="Arial"/>
                <w:sz w:val="9"/>
                <w:szCs w:val="9"/>
                <w:color w:val="auto"/>
              </w:rPr>
              <w:t>3,060,266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66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5,620,134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932,734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39,995,374</w:t>
            </w:r>
          </w:p>
        </w:tc>
        <w:tc>
          <w:tcPr>
            <w:tcW w:w="6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147,264</w:t>
            </w:r>
          </w:p>
        </w:tc>
        <w:tc>
          <w:tcPr>
            <w:tcW w:w="8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199,190,749</w:t>
            </w:r>
          </w:p>
        </w:tc>
        <w:tc>
          <w:tcPr>
            <w:tcW w:w="6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245,886,255</w:t>
            </w:r>
          </w:p>
        </w:tc>
        <w:tc>
          <w:tcPr>
            <w:tcW w:w="6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5,970,324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810,932</w:t>
            </w:r>
          </w:p>
        </w:tc>
        <w:tc>
          <w:tcPr>
            <w:tcW w:w="8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36,709,138</w:t>
            </w:r>
          </w:p>
        </w:tc>
        <w:tc>
          <w:tcPr>
            <w:tcW w:w="8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334,802</w:t>
            </w:r>
          </w:p>
        </w:tc>
        <w:tc>
          <w:tcPr>
            <w:tcW w:w="8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184,713,661</w:t>
            </w:r>
          </w:p>
        </w:tc>
        <w:tc>
          <w:tcPr>
            <w:tcW w:w="6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228,538,857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660" w:type="dxa"/>
            <w:vAlign w:val="bottom"/>
          </w:tcPr>
          <w:p>
            <w:pPr>
              <w:spacing w:after="0"/>
              <w:rPr>
                <w:sz w:val="20"/>
                <w:szCs w:val="20"/>
                <w:color w:val="auto"/>
              </w:rPr>
            </w:pPr>
            <w:r>
              <w:rPr>
                <w:rFonts w:ascii="Arial" w:cs="Arial" w:eastAsia="Arial" w:hAnsi="Arial"/>
                <w:sz w:val="9"/>
                <w:szCs w:val="9"/>
                <w:b w:val="1"/>
                <w:bCs w:val="1"/>
                <w:color w:val="auto"/>
              </w:rPr>
              <w:t>Liabilities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20"/>
                <w:szCs w:val="20"/>
                <w:color w:val="auto"/>
              </w:rPr>
            </w:pPr>
            <w:r>
              <w:rPr>
                <w:rFonts w:ascii="Arial" w:cs="Arial" w:eastAsia="Arial" w:hAnsi="Arial"/>
                <w:sz w:val="9"/>
                <w:szCs w:val="9"/>
                <w:color w:val="auto"/>
              </w:rPr>
              <w:t>Deposits and obligations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161,842,066</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161,842,066</w:t>
            </w:r>
          </w:p>
        </w:tc>
        <w:tc>
          <w:tcPr>
            <w:tcW w:w="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147,704,994</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147,704,994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Payables from repurchase agreements</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and securities lending</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9,060,710</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9,060,710</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10,168,427</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10,168,427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Due to banks and correspondents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10,754,385</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10,754,385</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12,278,681</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12,278,681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Due from customers on banker’s</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acceptances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528,184</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528,184</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9"/>
                <w:szCs w:val="9"/>
                <w:color w:val="auto"/>
              </w:rPr>
              <w:t>412,401</w:t>
            </w:r>
          </w:p>
        </w:tc>
        <w:tc>
          <w:tcPr>
            <w:tcW w:w="680" w:type="dxa"/>
            <w:vAlign w:val="bottom"/>
          </w:tcPr>
          <w:p>
            <w:pPr>
              <w:jc w:val="right"/>
              <w:spacing w:after="0"/>
              <w:rPr>
                <w:sz w:val="20"/>
                <w:szCs w:val="20"/>
                <w:color w:val="auto"/>
              </w:rPr>
            </w:pPr>
            <w:r>
              <w:rPr>
                <w:rFonts w:ascii="Arial" w:cs="Arial" w:eastAsia="Arial" w:hAnsi="Arial"/>
                <w:sz w:val="9"/>
                <w:szCs w:val="9"/>
                <w:color w:val="auto"/>
              </w:rPr>
              <w:t>412,401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Lease liabilities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404,817</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404,817</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9"/>
                <w:szCs w:val="9"/>
                <w:color w:val="auto"/>
              </w:rPr>
              <w:t>512,579</w:t>
            </w:r>
          </w:p>
        </w:tc>
        <w:tc>
          <w:tcPr>
            <w:tcW w:w="680" w:type="dxa"/>
            <w:vAlign w:val="bottom"/>
          </w:tcPr>
          <w:p>
            <w:pPr>
              <w:jc w:val="right"/>
              <w:spacing w:after="0"/>
              <w:rPr>
                <w:sz w:val="20"/>
                <w:szCs w:val="20"/>
                <w:color w:val="auto"/>
              </w:rPr>
            </w:pPr>
            <w:r>
              <w:rPr>
                <w:rFonts w:ascii="Arial" w:cs="Arial" w:eastAsia="Arial" w:hAnsi="Arial"/>
                <w:sz w:val="9"/>
                <w:szCs w:val="9"/>
                <w:color w:val="auto"/>
              </w:rPr>
              <w:t>512,579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Financial liabilities at fair value through</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profit or loss</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151,485</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151,485</w:t>
            </w:r>
          </w:p>
        </w:tc>
        <w:tc>
          <w:tcPr>
            <w:tcW w:w="780" w:type="dxa"/>
            <w:vAlign w:val="bottom"/>
          </w:tcPr>
          <w:p>
            <w:pPr>
              <w:jc w:val="right"/>
              <w:spacing w:after="0"/>
              <w:rPr>
                <w:sz w:val="20"/>
                <w:szCs w:val="20"/>
                <w:color w:val="auto"/>
              </w:rPr>
            </w:pPr>
            <w:r>
              <w:rPr>
                <w:rFonts w:ascii="Arial" w:cs="Arial" w:eastAsia="Arial" w:hAnsi="Arial"/>
                <w:sz w:val="9"/>
                <w:szCs w:val="9"/>
                <w:color w:val="auto"/>
              </w:rPr>
              <w:t>641,915</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641,915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20"/>
                <w:szCs w:val="20"/>
                <w:color w:val="auto"/>
              </w:rPr>
            </w:pPr>
            <w:r>
              <w:rPr>
                <w:rFonts w:ascii="Arial" w:cs="Arial" w:eastAsia="Arial" w:hAnsi="Arial"/>
                <w:sz w:val="9"/>
                <w:szCs w:val="9"/>
                <w:color w:val="auto"/>
              </w:rPr>
              <w:t>Bonds and notes issued</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17,268,443</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17,268,443</w:t>
            </w:r>
          </w:p>
        </w:tc>
        <w:tc>
          <w:tcPr>
            <w:tcW w:w="82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14,594,785</w:t>
            </w:r>
          </w:p>
        </w:tc>
        <w:tc>
          <w:tcPr>
            <w:tcW w:w="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14,594,785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60" w:type="dxa"/>
            <w:vAlign w:val="bottom"/>
          </w:tcPr>
          <w:p>
            <w:pPr>
              <w:spacing w:after="0"/>
              <w:rPr>
                <w:sz w:val="20"/>
                <w:szCs w:val="20"/>
                <w:color w:val="auto"/>
              </w:rPr>
            </w:pPr>
            <w:r>
              <w:rPr>
                <w:rFonts w:ascii="Arial" w:cs="Arial" w:eastAsia="Arial" w:hAnsi="Arial"/>
                <w:sz w:val="9"/>
                <w:szCs w:val="9"/>
                <w:color w:val="auto"/>
              </w:rPr>
              <w:t>Other liabilities, Note 12(a)</w:t>
            </w: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819,473</w:t>
            </w:r>
          </w:p>
        </w:tc>
        <w:tc>
          <w:tcPr>
            <w:tcW w:w="4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9"/>
                <w:szCs w:val="9"/>
                <w:color w:val="auto"/>
              </w:rPr>
              <w:t>5,220,127</w:t>
            </w: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6,039,600</w:t>
            </w:r>
          </w:p>
        </w:tc>
        <w:tc>
          <w:tcPr>
            <w:tcW w:w="780" w:type="dxa"/>
            <w:vAlign w:val="bottom"/>
          </w:tcPr>
          <w:p>
            <w:pPr>
              <w:jc w:val="right"/>
              <w:spacing w:after="0"/>
              <w:rPr>
                <w:sz w:val="20"/>
                <w:szCs w:val="20"/>
                <w:color w:val="auto"/>
              </w:rPr>
            </w:pPr>
            <w:r>
              <w:rPr>
                <w:rFonts w:ascii="Arial" w:cs="Arial" w:eastAsia="Arial" w:hAnsi="Arial"/>
                <w:sz w:val="9"/>
                <w:szCs w:val="9"/>
                <w:color w:val="auto"/>
              </w:rPr>
              <w:t>891,999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9"/>
                <w:szCs w:val="9"/>
                <w:color w:val="auto"/>
              </w:rPr>
              <w:t>4,586,511</w:t>
            </w:r>
          </w:p>
        </w:tc>
        <w:tc>
          <w:tcPr>
            <w:tcW w:w="680" w:type="dxa"/>
            <w:vAlign w:val="bottom"/>
          </w:tcPr>
          <w:p>
            <w:pPr>
              <w:jc w:val="right"/>
              <w:spacing w:after="0"/>
              <w:rPr>
                <w:sz w:val="20"/>
                <w:szCs w:val="20"/>
                <w:color w:val="auto"/>
              </w:rPr>
            </w:pPr>
            <w:r>
              <w:rPr>
                <w:rFonts w:ascii="Arial" w:cs="Arial" w:eastAsia="Arial" w:hAnsi="Arial"/>
                <w:sz w:val="9"/>
                <w:szCs w:val="9"/>
                <w:color w:val="auto"/>
              </w:rPr>
              <w:t>5,478,510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66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970,958</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205,078,732</w:t>
            </w:r>
          </w:p>
        </w:tc>
        <w:tc>
          <w:tcPr>
            <w:tcW w:w="6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206,049,690</w:t>
            </w:r>
          </w:p>
        </w:tc>
        <w:tc>
          <w:tcPr>
            <w:tcW w:w="6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1,533,914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190,258,378</w:t>
            </w:r>
          </w:p>
        </w:tc>
        <w:tc>
          <w:tcPr>
            <w:tcW w:w="6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9"/>
                <w:szCs w:val="9"/>
                <w:color w:val="auto"/>
              </w:rPr>
              <w:t>191,792,292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125" w:name="page126"/>
    <w:bookmarkEnd w:id="125"/>
    <w:p>
      <w:pPr>
        <w:ind w:left="547" w:hanging="547"/>
        <w:spacing w:after="0"/>
        <w:tabs>
          <w:tab w:leader="none" w:pos="547"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AND NON-FINANCIAL RISK MANAGEMENT</w:t>
      </w:r>
    </w:p>
    <w:p>
      <w:pPr>
        <w:spacing w:after="0" w:line="167" w:lineRule="exact"/>
        <w:rPr>
          <w:rFonts w:ascii="Arial" w:cs="Arial" w:eastAsia="Arial" w:hAnsi="Arial"/>
          <w:sz w:val="16"/>
          <w:szCs w:val="16"/>
          <w:b w:val="1"/>
          <w:bCs w:val="1"/>
          <w:color w:val="auto"/>
        </w:rPr>
      </w:pPr>
    </w:p>
    <w:p>
      <w:pPr>
        <w:ind w:left="567" w:right="60"/>
        <w:spacing w:after="0" w:line="241" w:lineRule="auto"/>
        <w:rPr>
          <w:rFonts w:ascii="Arial" w:cs="Arial" w:eastAsia="Arial" w:hAnsi="Arial"/>
          <w:sz w:val="16"/>
          <w:szCs w:val="16"/>
          <w:b w:val="1"/>
          <w:bCs w:val="1"/>
          <w:color w:val="auto"/>
        </w:rPr>
      </w:pPr>
      <w:r>
        <w:rPr>
          <w:rFonts w:ascii="Arial" w:cs="Arial" w:eastAsia="Arial" w:hAnsi="Arial"/>
          <w:sz w:val="16"/>
          <w:szCs w:val="16"/>
          <w:color w:val="auto"/>
        </w:rPr>
        <w:t>The Group’s activities involve principally the use of financial instruments, including derivatives. It also accepts deposits from customers at both fixed and floating rates, for different periods, and invests these funds in high-quality assets. Additionally, it places these deposits at fixed and variable rates with legal entities and individuals, considering the finance costs and expected profitability.</w:t>
      </w:r>
    </w:p>
    <w:p>
      <w:pPr>
        <w:spacing w:after="0" w:line="145" w:lineRule="exact"/>
        <w:rPr>
          <w:rFonts w:ascii="Arial" w:cs="Arial" w:eastAsia="Arial" w:hAnsi="Arial"/>
          <w:sz w:val="16"/>
          <w:szCs w:val="16"/>
          <w:b w:val="1"/>
          <w:bCs w:val="1"/>
          <w:color w:val="auto"/>
        </w:rPr>
      </w:pPr>
    </w:p>
    <w:p>
      <w:pPr>
        <w:ind w:left="567"/>
        <w:spacing w:after="0" w:line="255" w:lineRule="auto"/>
        <w:rPr>
          <w:rFonts w:ascii="Arial" w:cs="Arial" w:eastAsia="Arial" w:hAnsi="Arial"/>
          <w:sz w:val="16"/>
          <w:szCs w:val="16"/>
          <w:b w:val="1"/>
          <w:bCs w:val="1"/>
          <w:color w:val="auto"/>
        </w:rPr>
      </w:pPr>
      <w:r>
        <w:rPr>
          <w:rFonts w:ascii="Arial" w:cs="Arial" w:eastAsia="Arial" w:hAnsi="Arial"/>
          <w:sz w:val="16"/>
          <w:szCs w:val="16"/>
          <w:color w:val="auto"/>
        </w:rPr>
        <w:t>The Group also trades in financial instruments where it takes positions in traded and over-the-counter instruments, derivatives included, to take advantage of short-term market movements on securities, bonds, currencies and interest rates.</w:t>
      </w:r>
    </w:p>
    <w:p>
      <w:pPr>
        <w:spacing w:after="0" w:line="134" w:lineRule="exact"/>
        <w:rPr>
          <w:rFonts w:ascii="Arial" w:cs="Arial" w:eastAsia="Arial" w:hAnsi="Arial"/>
          <w:sz w:val="16"/>
          <w:szCs w:val="16"/>
          <w:b w:val="1"/>
          <w:bCs w:val="1"/>
          <w:color w:val="auto"/>
        </w:rPr>
      </w:pPr>
    </w:p>
    <w:p>
      <w:pPr>
        <w:jc w:val="both"/>
        <w:ind w:left="567" w:right="200"/>
        <w:spacing w:after="0" w:line="241" w:lineRule="auto"/>
        <w:rPr>
          <w:rFonts w:ascii="Arial" w:cs="Arial" w:eastAsia="Arial" w:hAnsi="Arial"/>
          <w:sz w:val="16"/>
          <w:szCs w:val="16"/>
          <w:b w:val="1"/>
          <w:bCs w:val="1"/>
          <w:color w:val="auto"/>
        </w:rPr>
      </w:pPr>
      <w:r>
        <w:rPr>
          <w:rFonts w:ascii="Arial" w:cs="Arial" w:eastAsia="Arial" w:hAnsi="Arial"/>
          <w:sz w:val="16"/>
          <w:szCs w:val="16"/>
          <w:color w:val="auto"/>
        </w:rPr>
        <w:t>Given the Group’s activities, it has a framework for risk appetite, a corner stone of the management. The risk management processes involve continuous identification, measurement, treatment and monitoring. The Group is exposed, principally, to operating risk, credit risk, liquidity risk, market risk, strategic risk and insurance technical risk. Finally, it reports on a consolidated basis the risks to which the Group is exposed.</w:t>
      </w:r>
    </w:p>
    <w:p>
      <w:pPr>
        <w:spacing w:after="0" w:line="145" w:lineRule="exact"/>
        <w:rPr>
          <w:rFonts w:ascii="Arial" w:cs="Arial" w:eastAsia="Arial" w:hAnsi="Arial"/>
          <w:sz w:val="16"/>
          <w:szCs w:val="16"/>
          <w:b w:val="1"/>
          <w:bCs w:val="1"/>
          <w:color w:val="auto"/>
        </w:rPr>
      </w:pPr>
    </w:p>
    <w:p>
      <w:pPr>
        <w:ind w:left="867" w:hanging="306"/>
        <w:spacing w:after="0"/>
        <w:tabs>
          <w:tab w:leader="none" w:pos="867" w:val="left"/>
        </w:tabs>
        <w:numPr>
          <w:ilvl w:val="1"/>
          <w:numId w:val="152"/>
        </w:numPr>
        <w:rPr>
          <w:rFonts w:ascii="Arial" w:cs="Arial" w:eastAsia="Arial" w:hAnsi="Arial"/>
          <w:sz w:val="16"/>
          <w:szCs w:val="16"/>
          <w:color w:val="auto"/>
        </w:rPr>
      </w:pPr>
      <w:r>
        <w:rPr>
          <w:rFonts w:ascii="Arial" w:cs="Arial" w:eastAsia="Arial" w:hAnsi="Arial"/>
          <w:sz w:val="16"/>
          <w:szCs w:val="16"/>
          <w:color w:val="auto"/>
        </w:rPr>
        <w:t>Risk management structure -</w:t>
      </w:r>
    </w:p>
    <w:p>
      <w:pPr>
        <w:spacing w:after="0" w:line="166" w:lineRule="exact"/>
        <w:rPr>
          <w:sz w:val="20"/>
          <w:szCs w:val="20"/>
          <w:color w:val="auto"/>
        </w:rPr>
      </w:pPr>
    </w:p>
    <w:p>
      <w:pPr>
        <w:ind w:left="907" w:right="60"/>
        <w:spacing w:after="0" w:line="255" w:lineRule="auto"/>
        <w:rPr>
          <w:sz w:val="20"/>
          <w:szCs w:val="20"/>
          <w:color w:val="auto"/>
        </w:rPr>
      </w:pPr>
      <w:r>
        <w:rPr>
          <w:rFonts w:ascii="Arial" w:cs="Arial" w:eastAsia="Arial" w:hAnsi="Arial"/>
          <w:sz w:val="16"/>
          <w:szCs w:val="16"/>
          <w:color w:val="auto"/>
        </w:rPr>
        <w:t>The Board of Directors of the Group and of each subsidiary are ultimately responsible for identifying and controlling risks; however, there are separate independent instances in the major subsidiaries responsible for managing and monitoring risks, as further explained below:</w:t>
      </w:r>
    </w:p>
    <w:p>
      <w:pPr>
        <w:spacing w:after="0" w:line="134" w:lineRule="exact"/>
        <w:rPr>
          <w:sz w:val="20"/>
          <w:szCs w:val="20"/>
          <w:color w:val="auto"/>
        </w:rPr>
      </w:pPr>
    </w:p>
    <w:p>
      <w:pPr>
        <w:ind w:left="1207" w:right="7940" w:hanging="343"/>
        <w:spacing w:after="0" w:line="521" w:lineRule="auto"/>
        <w:tabs>
          <w:tab w:leader="none" w:pos="1152" w:val="left"/>
        </w:tabs>
        <w:numPr>
          <w:ilvl w:val="0"/>
          <w:numId w:val="153"/>
        </w:numPr>
        <w:rPr>
          <w:rFonts w:ascii="Arial" w:cs="Arial" w:eastAsia="Arial" w:hAnsi="Arial"/>
          <w:sz w:val="14"/>
          <w:szCs w:val="14"/>
          <w:color w:val="auto"/>
        </w:rPr>
      </w:pPr>
      <w:r>
        <w:rPr>
          <w:rFonts w:ascii="Arial" w:cs="Arial" w:eastAsia="Arial" w:hAnsi="Arial"/>
          <w:sz w:val="14"/>
          <w:szCs w:val="14"/>
          <w:color w:val="auto"/>
        </w:rPr>
        <w:t>Group’s Board of Directors - Credicorp Board of Directors –</w:t>
      </w:r>
    </w:p>
    <w:p>
      <w:pPr>
        <w:spacing w:after="0" w:line="1" w:lineRule="exact"/>
        <w:rPr>
          <w:sz w:val="20"/>
          <w:szCs w:val="20"/>
          <w:color w:val="auto"/>
        </w:rPr>
      </w:pPr>
    </w:p>
    <w:p>
      <w:pPr>
        <w:ind w:left="1207" w:right="520"/>
        <w:spacing w:after="0" w:line="255" w:lineRule="auto"/>
        <w:rPr>
          <w:sz w:val="20"/>
          <w:szCs w:val="20"/>
          <w:color w:val="auto"/>
        </w:rPr>
      </w:pPr>
      <w:r>
        <w:rPr>
          <w:rFonts w:ascii="Arial" w:cs="Arial" w:eastAsia="Arial" w:hAnsi="Arial"/>
          <w:sz w:val="16"/>
          <w:szCs w:val="16"/>
          <w:color w:val="auto"/>
        </w:rPr>
        <w:t>The Credicorp Board of Directors is responsible for the overall approach to risk management of Credicorp Ltd., including the approval of its appetite for risk.</w:t>
      </w:r>
    </w:p>
    <w:p>
      <w:pPr>
        <w:spacing w:after="0" w:line="134" w:lineRule="exact"/>
        <w:rPr>
          <w:sz w:val="20"/>
          <w:szCs w:val="20"/>
          <w:color w:val="auto"/>
        </w:rPr>
      </w:pPr>
    </w:p>
    <w:p>
      <w:pPr>
        <w:ind w:left="1207" w:right="460"/>
        <w:spacing w:after="0" w:line="255" w:lineRule="auto"/>
        <w:rPr>
          <w:sz w:val="20"/>
          <w:szCs w:val="20"/>
          <w:color w:val="auto"/>
        </w:rPr>
      </w:pPr>
      <w:r>
        <w:rPr>
          <w:rFonts w:ascii="Arial" w:cs="Arial" w:eastAsia="Arial" w:hAnsi="Arial"/>
          <w:sz w:val="16"/>
          <w:szCs w:val="16"/>
          <w:color w:val="auto"/>
        </w:rPr>
        <w:t>It also takes knowledge of the level of compliance of the appetite and the level of risk exposure, as well as the relevant improvements in the integral risk management of Grupo Crédito and Subsidiaries of Credicorp (Group).</w:t>
      </w:r>
    </w:p>
    <w:p>
      <w:pPr>
        <w:spacing w:after="0" w:line="134" w:lineRule="exact"/>
        <w:rPr>
          <w:sz w:val="20"/>
          <w:szCs w:val="20"/>
          <w:color w:val="auto"/>
        </w:rPr>
      </w:pPr>
    </w:p>
    <w:p>
      <w:pPr>
        <w:ind w:left="1207"/>
        <w:spacing w:after="0"/>
        <w:rPr>
          <w:sz w:val="20"/>
          <w:szCs w:val="20"/>
          <w:color w:val="auto"/>
        </w:rPr>
      </w:pPr>
      <w:r>
        <w:rPr>
          <w:rFonts w:ascii="Arial" w:cs="Arial" w:eastAsia="Arial" w:hAnsi="Arial"/>
          <w:sz w:val="16"/>
          <w:szCs w:val="16"/>
          <w:color w:val="auto"/>
        </w:rPr>
        <w:t>Grupo Crédito’s Board of Directors –</w:t>
      </w:r>
    </w:p>
    <w:p>
      <w:pPr>
        <w:spacing w:after="0" w:line="166" w:lineRule="exact"/>
        <w:rPr>
          <w:sz w:val="20"/>
          <w:szCs w:val="20"/>
          <w:color w:val="auto"/>
        </w:rPr>
      </w:pPr>
    </w:p>
    <w:p>
      <w:pPr>
        <w:ind w:left="1207" w:right="20"/>
        <w:spacing w:after="0" w:line="238" w:lineRule="auto"/>
        <w:rPr>
          <w:sz w:val="20"/>
          <w:szCs w:val="20"/>
          <w:color w:val="auto"/>
        </w:rPr>
      </w:pPr>
      <w:r>
        <w:rPr>
          <w:rFonts w:ascii="Arial" w:cs="Arial" w:eastAsia="Arial" w:hAnsi="Arial"/>
          <w:sz w:val="16"/>
          <w:szCs w:val="16"/>
          <w:color w:val="auto"/>
        </w:rPr>
        <w:t>Grupo Crédito's Board of Directors is responsible for the general approach to risk management of the Group's subsidiaries and the approval of the risk appetite levels that it is willing to assume. Furthermore, it approves the guidelines and policies for Integral Risk Management, promotes an organizational culture that emphasizes the importance of risk management, oversees the internal control system and ensures the adequate performance of the Group's regulatory compliance function.</w:t>
      </w:r>
    </w:p>
    <w:p>
      <w:pPr>
        <w:spacing w:after="0" w:line="145" w:lineRule="exact"/>
        <w:rPr>
          <w:sz w:val="20"/>
          <w:szCs w:val="20"/>
          <w:color w:val="auto"/>
        </w:rPr>
      </w:pPr>
    </w:p>
    <w:p>
      <w:pPr>
        <w:ind w:left="1207"/>
        <w:spacing w:after="0"/>
        <w:rPr>
          <w:sz w:val="20"/>
          <w:szCs w:val="20"/>
          <w:color w:val="auto"/>
        </w:rPr>
      </w:pPr>
      <w:r>
        <w:rPr>
          <w:rFonts w:ascii="Arial" w:cs="Arial" w:eastAsia="Arial" w:hAnsi="Arial"/>
          <w:sz w:val="16"/>
          <w:szCs w:val="16"/>
          <w:color w:val="auto"/>
        </w:rPr>
        <w:t>Group Company Boards -</w:t>
      </w:r>
    </w:p>
    <w:p>
      <w:pPr>
        <w:spacing w:after="0" w:line="166" w:lineRule="exact"/>
        <w:rPr>
          <w:sz w:val="20"/>
          <w:szCs w:val="20"/>
          <w:color w:val="auto"/>
        </w:rPr>
      </w:pPr>
    </w:p>
    <w:p>
      <w:pPr>
        <w:ind w:left="1207" w:right="360"/>
        <w:spacing w:after="0" w:line="255" w:lineRule="auto"/>
        <w:rPr>
          <w:sz w:val="20"/>
          <w:szCs w:val="20"/>
          <w:color w:val="auto"/>
        </w:rPr>
      </w:pPr>
      <w:r>
        <w:rPr>
          <w:rFonts w:ascii="Arial" w:cs="Arial" w:eastAsia="Arial" w:hAnsi="Arial"/>
          <w:sz w:val="16"/>
          <w:szCs w:val="16"/>
          <w:color w:val="auto"/>
        </w:rPr>
        <w:t>The Board of each company of the Group is responsible for aligning the risk management established by the Board of Grupo Crédito with the context of each one of them. For that, it establishes a framework for risk appetite, policies and guidelines.</w:t>
      </w:r>
    </w:p>
    <w:p>
      <w:pPr>
        <w:spacing w:after="0" w:line="28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(ii)  Credicorp Risk Committee -</w:t>
      </w:r>
    </w:p>
    <w:p>
      <w:pPr>
        <w:spacing w:after="0" w:line="167" w:lineRule="exact"/>
        <w:rPr>
          <w:sz w:val="20"/>
          <w:szCs w:val="20"/>
          <w:color w:val="auto"/>
        </w:rPr>
      </w:pPr>
    </w:p>
    <w:p>
      <w:pPr>
        <w:ind w:left="340" w:right="140"/>
        <w:spacing w:after="0" w:line="241" w:lineRule="auto"/>
        <w:rPr>
          <w:sz w:val="20"/>
          <w:szCs w:val="20"/>
          <w:color w:val="auto"/>
        </w:rPr>
      </w:pPr>
      <w:r>
        <w:rPr>
          <w:rFonts w:ascii="Arial" w:cs="Arial" w:eastAsia="Arial" w:hAnsi="Arial"/>
          <w:sz w:val="16"/>
          <w:szCs w:val="16"/>
          <w:color w:val="auto"/>
        </w:rPr>
        <w:t>Represents the Credicorp Board of Directors, proposes the levels of risk appetite for Credicorp Ltd. Also, it is aware of the level of compliance of the risk appetite and the level of exposure assumed by Grupo Crédito and Credicorp subsidiaries and the relevant improvements in integral management of risks of said entities.</w:t>
      </w:r>
    </w:p>
    <w:p>
      <w:pPr>
        <w:spacing w:after="0" w:line="146" w:lineRule="exact"/>
        <w:rPr>
          <w:sz w:val="20"/>
          <w:szCs w:val="20"/>
          <w:color w:val="auto"/>
        </w:rPr>
      </w:pPr>
    </w:p>
    <w:p>
      <w:pPr>
        <w:ind w:left="340" w:right="80"/>
        <w:spacing w:after="0" w:line="277" w:lineRule="auto"/>
        <w:rPr>
          <w:sz w:val="20"/>
          <w:szCs w:val="20"/>
          <w:color w:val="auto"/>
        </w:rPr>
      </w:pPr>
      <w:r>
        <w:rPr>
          <w:rFonts w:ascii="Arial" w:cs="Arial" w:eastAsia="Arial" w:hAnsi="Arial"/>
          <w:sz w:val="14"/>
          <w:szCs w:val="14"/>
          <w:color w:val="auto"/>
        </w:rPr>
        <w:t>The Committee will be made up of no less than three directors of Credicorp, at least one of which must be independent. Additionally, the Board of Directors may incorporate as a member one or more directors of Credicorp subsidiaries. Likewise, the coordinator of the Committee will be the Credicorp Risk Manager,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 criteria assist with the development of the session.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(iii) Grupo Crédito Risk Committee -</w:t>
      </w:r>
    </w:p>
    <w:p>
      <w:pPr>
        <w:spacing w:after="0" w:line="166" w:lineRule="exact"/>
        <w:rPr>
          <w:sz w:val="20"/>
          <w:szCs w:val="20"/>
          <w:color w:val="auto"/>
        </w:rPr>
      </w:pPr>
    </w:p>
    <w:p>
      <w:pPr>
        <w:ind w:left="340" w:right="20" w:hanging="7"/>
        <w:spacing w:after="0" w:line="241" w:lineRule="auto"/>
        <w:rPr>
          <w:sz w:val="20"/>
          <w:szCs w:val="20"/>
          <w:color w:val="auto"/>
        </w:rPr>
      </w:pPr>
      <w:r>
        <w:rPr>
          <w:rFonts w:ascii="Arial" w:cs="Arial" w:eastAsia="Arial" w:hAnsi="Arial"/>
          <w:sz w:val="16"/>
          <w:szCs w:val="16"/>
          <w:color w:val="auto"/>
        </w:rPr>
        <w:t>Represents the Board of Grupo Crédito in risk management decision-making. Furthermore, proposes to Grupo Crédito’s Board of Directors the levels of risk appetite. This Committee defines the strategies used for the adequate management of the different types of risks and the supervision of risk appetite. In addition to it, they establish principles, policies, and general limits to the Group.</w:t>
      </w:r>
    </w:p>
    <w:p>
      <w:pPr>
        <w:spacing w:after="0" w:line="146" w:lineRule="exact"/>
        <w:rPr>
          <w:sz w:val="20"/>
          <w:szCs w:val="20"/>
          <w:color w:val="auto"/>
        </w:rPr>
      </w:pPr>
    </w:p>
    <w:p>
      <w:pPr>
        <w:ind w:left="340" w:hanging="7"/>
        <w:spacing w:after="0" w:line="277" w:lineRule="auto"/>
        <w:rPr>
          <w:sz w:val="20"/>
          <w:szCs w:val="20"/>
          <w:color w:val="auto"/>
        </w:rPr>
      </w:pPr>
      <w:r>
        <w:rPr>
          <w:rFonts w:ascii="Arial" w:cs="Arial" w:eastAsia="Arial" w:hAnsi="Arial"/>
          <w:sz w:val="14"/>
          <w:szCs w:val="14"/>
          <w:color w:val="auto"/>
        </w:rPr>
        <w:t>The Risk Committee is presided by no less than three Board members of Grupo Crédito, at least one of which must be independent. Additionally, the Board of Directors may incorporate as a member one or more directors of the Group. Likewise, the coordinator of the Committee will be the Grupo Crédito Risk Manager, with the Internal Audit Manager as an observer member (without voice or vote). Finally, the following officials will attend the sessions as guests, according to the agenda of topics to be discussed and at the invitation of the coordinator: General Manager, Finance Manager, Manager of the Risk Management Division of BCP, and all those people who criteria assist with the development of the session.</w:t>
      </w:r>
    </w:p>
    <w:p>
      <w:pPr>
        <w:spacing w:after="0" w:line="121" w:lineRule="exact"/>
        <w:rPr>
          <w:sz w:val="20"/>
          <w:szCs w:val="20"/>
          <w:color w:val="auto"/>
        </w:rPr>
      </w:pPr>
    </w:p>
    <w:p>
      <w:pPr>
        <w:ind w:left="340" w:right="680"/>
        <w:spacing w:after="0" w:line="255" w:lineRule="auto"/>
        <w:rPr>
          <w:sz w:val="20"/>
          <w:szCs w:val="20"/>
          <w:color w:val="auto"/>
        </w:rPr>
      </w:pPr>
      <w:r>
        <w:rPr>
          <w:rFonts w:ascii="Arial" w:cs="Arial" w:eastAsia="Arial" w:hAnsi="Arial"/>
          <w:sz w:val="16"/>
          <w:szCs w:val="16"/>
          <w:color w:val="auto"/>
        </w:rPr>
        <w:t>In addition to effectively managing all the risks, the Grupo Crédito Risk Committee is supported by the following committees which report periodically on all relevant changes or issues relating to the risks being managed: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credit Risk Committees (retail and non-retail)-</w:t>
      </w:r>
    </w:p>
    <w:p>
      <w:pPr>
        <w:spacing w:after="0" w:line="166" w:lineRule="exact"/>
        <w:rPr>
          <w:sz w:val="20"/>
          <w:szCs w:val="20"/>
          <w:color w:val="auto"/>
        </w:rPr>
      </w:pPr>
    </w:p>
    <w:p>
      <w:pPr>
        <w:ind w:left="340" w:right="20"/>
        <w:spacing w:after="0" w:line="241" w:lineRule="auto"/>
        <w:rPr>
          <w:sz w:val="20"/>
          <w:szCs w:val="20"/>
          <w:color w:val="auto"/>
        </w:rPr>
      </w:pPr>
      <w:r>
        <w:rPr>
          <w:rFonts w:ascii="Arial" w:cs="Arial" w:eastAsia="Arial" w:hAnsi="Arial"/>
          <w:sz w:val="16"/>
          <w:szCs w:val="16"/>
          <w:color w:val="auto"/>
        </w:rPr>
        <w:t>The Corporate Credit Risk Committees (retail and non-retail) are responsible for proposing credit risk management guidelines within the framework of governance and organization for the comprehensive management of credit risks. Furthermore, the committees propose the approval of any changes to the credit risk management functions and report important findings to the Risk Committee.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Committee for Market, Structural, Trading and Liquidity Risk</w:t>
      </w:r>
    </w:p>
    <w:p>
      <w:pPr>
        <w:spacing w:after="0" w:line="166" w:lineRule="exact"/>
        <w:rPr>
          <w:sz w:val="20"/>
          <w:szCs w:val="20"/>
          <w:color w:val="auto"/>
        </w:rPr>
      </w:pPr>
    </w:p>
    <w:p>
      <w:pPr>
        <w:ind w:left="340" w:right="20"/>
        <w:spacing w:after="0" w:line="238" w:lineRule="auto"/>
        <w:rPr>
          <w:sz w:val="20"/>
          <w:szCs w:val="20"/>
          <w:color w:val="auto"/>
        </w:rPr>
      </w:pPr>
      <w:r>
        <w:rPr>
          <w:rFonts w:ascii="Arial" w:cs="Arial" w:eastAsia="Arial" w:hAnsi="Arial"/>
          <w:sz w:val="16"/>
          <w:szCs w:val="16"/>
          <w:color w:val="auto"/>
        </w:rPr>
        <w:t>The committee for Market, Structural, Trading and Liquidity Risks is in charge of analyzing and proposing corporate objectives, guidelines and policies for the Management of Market and Liquidity Risks of the Group and the Group's companies. As well as monitor the indicators, limits of the market risk and liquidity appetite and the implementation of corrective measures if deviations exist. Additionally, it is responsible for approving the integration into management of a corporate model implemented in the Group.</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Model Risk Committee –</w:t>
      </w:r>
    </w:p>
    <w:p>
      <w:pPr>
        <w:spacing w:after="0" w:line="166" w:lineRule="exact"/>
        <w:rPr>
          <w:sz w:val="20"/>
          <w:szCs w:val="20"/>
          <w:color w:val="auto"/>
        </w:rPr>
      </w:pPr>
    </w:p>
    <w:p>
      <w:pPr>
        <w:ind w:left="340" w:right="40"/>
        <w:spacing w:after="0" w:line="236" w:lineRule="auto"/>
        <w:rPr>
          <w:sz w:val="20"/>
          <w:szCs w:val="20"/>
          <w:color w:val="auto"/>
        </w:rPr>
      </w:pPr>
      <w:r>
        <w:rPr>
          <w:rFonts w:ascii="Arial" w:cs="Arial" w:eastAsia="Arial" w:hAnsi="Arial"/>
          <w:sz w:val="16"/>
          <w:szCs w:val="16"/>
          <w:color w:val="auto"/>
        </w:rPr>
        <w:t>The Corporate Model Risk Committee is responsible for analyzing and proposing the actions corrections in case there are deviations with respect to the degrees of exposure assumed in the Appetite for Model Risk. Likewise, it proposes the creation and/or modification of the government for model risk management, monitoring compliance with the same. The Model Risk Committee monitors the Group's data and analytical strategy and the health status of the model portfolio. They are also responsible to inform the Committee of Grupo Crédito Risks on exposures, related to model risk, which involve variations in the risk profile.</w:t>
      </w:r>
    </w:p>
    <w:p>
      <w:pPr>
        <w:spacing w:after="0" w:line="293"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36195</wp:posOffset>
            </wp:positionV>
            <wp:extent cx="7150735"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80"/>
          </w:cols>
          <w:pgMar w:left="1180" w:top="124" w:right="339" w:bottom="1440" w:gutter="0" w:footer="0" w:header="0"/>
        </w:sectPr>
      </w:pPr>
    </w:p>
    <w:bookmarkStart w:id="127" w:name="page128"/>
    <w:bookmarkEnd w:id="127"/>
    <w:p>
      <w:pPr>
        <w:ind w:left="340"/>
        <w:spacing w:after="0"/>
        <w:rPr>
          <w:sz w:val="20"/>
          <w:szCs w:val="20"/>
          <w:color w:val="auto"/>
        </w:rPr>
      </w:pPr>
      <w:r>
        <w:rPr>
          <w:rFonts w:ascii="Arial" w:cs="Arial" w:eastAsia="Arial" w:hAnsi="Arial"/>
          <w:sz w:val="16"/>
          <w:szCs w:val="16"/>
          <w:color w:val="auto"/>
        </w:rPr>
        <w:t>Corporate Operational Risk Methodology Committee -</w:t>
      </w:r>
    </w:p>
    <w:p>
      <w:pPr>
        <w:spacing w:after="0" w:line="167" w:lineRule="exact"/>
        <w:rPr>
          <w:sz w:val="20"/>
          <w:szCs w:val="20"/>
          <w:color w:val="auto"/>
        </w:rPr>
      </w:pPr>
    </w:p>
    <w:p>
      <w:pPr>
        <w:ind w:left="340" w:right="460"/>
        <w:spacing w:after="0" w:line="255" w:lineRule="auto"/>
        <w:rPr>
          <w:sz w:val="20"/>
          <w:szCs w:val="20"/>
          <w:color w:val="auto"/>
        </w:rPr>
      </w:pPr>
      <w:r>
        <w:rPr>
          <w:rFonts w:ascii="Arial" w:cs="Arial" w:eastAsia="Arial" w:hAnsi="Arial"/>
          <w:sz w:val="16"/>
          <w:szCs w:val="16"/>
          <w:color w:val="auto"/>
        </w:rPr>
        <w:t>The Corporate Operational Risk Methodology Committee has the primary responsibilities of sharing methodologies for Operational Risk and Business Continuity, as well as sharing best practices regarding the main challenges faced by the Group's companies.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(iv) Central Risk Management of Credicorp -</w:t>
      </w:r>
    </w:p>
    <w:p>
      <w:pPr>
        <w:spacing w:after="0" w:line="166" w:lineRule="exact"/>
        <w:rPr>
          <w:sz w:val="20"/>
          <w:szCs w:val="20"/>
          <w:color w:val="auto"/>
        </w:rPr>
      </w:pPr>
    </w:p>
    <w:p>
      <w:pPr>
        <w:ind w:left="340"/>
        <w:spacing w:after="0" w:line="293" w:lineRule="auto"/>
        <w:rPr>
          <w:sz w:val="20"/>
          <w:szCs w:val="20"/>
          <w:color w:val="auto"/>
        </w:rPr>
      </w:pPr>
      <w:r>
        <w:rPr>
          <w:rFonts w:ascii="Arial" w:cs="Arial" w:eastAsia="Arial" w:hAnsi="Arial"/>
          <w:sz w:val="14"/>
          <w:szCs w:val="14"/>
          <w:color w:val="auto"/>
        </w:rPr>
        <w:t>The Central Risk Management of Credicorp informs the Credicorp Risk Committee of the level of compliance of the risk appetite and the level of exposure assumed by Grupo Crédito and Credicorp subsidiaries. Likewise, it reports the relevant improvements in the integral risk management of Grupo Crédito and Credicorp subsidiaries. In addition, it proposes to the Credicorp Risk Committee the risk appetite levels for Credicorp Ltd.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(v) Central Risk Management of Grupo Crédito -</w:t>
      </w:r>
    </w:p>
    <w:p>
      <w:pPr>
        <w:spacing w:after="0" w:line="166" w:lineRule="exact"/>
        <w:rPr>
          <w:sz w:val="20"/>
          <w:szCs w:val="20"/>
          <w:color w:val="auto"/>
        </w:rPr>
      </w:pPr>
    </w:p>
    <w:p>
      <w:pPr>
        <w:ind w:left="340" w:right="160"/>
        <w:spacing w:after="0" w:line="236" w:lineRule="auto"/>
        <w:rPr>
          <w:sz w:val="20"/>
          <w:szCs w:val="20"/>
          <w:color w:val="auto"/>
        </w:rPr>
      </w:pPr>
      <w:r>
        <w:rPr>
          <w:rFonts w:ascii="Arial" w:cs="Arial" w:eastAsia="Arial" w:hAnsi="Arial"/>
          <w:sz w:val="16"/>
          <w:szCs w:val="16"/>
          <w:color w:val="auto"/>
        </w:rPr>
        <w:t>The Central Risk Management is responsible for the implementation of policies, procedures, methodologies, and the actions to be taken to identify, measure, monitor, mitigate, report and control the different types of risks to which the Group is exposed. In addition, it is responsible for participating in the design and definition of the strategic plans of the business units to ensure that they are aligned within the risk parameters approved by the Grupo Crédito Board of Directors. Likewise, it disseminates the importance of adequate risk management, specifying in each of the units, the role that corresponds to them in the timely identification and definition of the corresponding actions.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units of the Central Risk Management that manage risk at the corporate level are the following: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Credit Division -</w:t>
      </w:r>
    </w:p>
    <w:p>
      <w:pPr>
        <w:spacing w:after="0" w:line="166" w:lineRule="exact"/>
        <w:rPr>
          <w:sz w:val="20"/>
          <w:szCs w:val="20"/>
          <w:color w:val="auto"/>
        </w:rPr>
      </w:pPr>
    </w:p>
    <w:p>
      <w:pPr>
        <w:ind w:left="340" w:right="40"/>
        <w:spacing w:after="0" w:line="282" w:lineRule="auto"/>
        <w:rPr>
          <w:sz w:val="20"/>
          <w:szCs w:val="20"/>
          <w:color w:val="auto"/>
        </w:rPr>
      </w:pPr>
      <w:r>
        <w:rPr>
          <w:rFonts w:ascii="Arial" w:cs="Arial" w:eastAsia="Arial" w:hAnsi="Arial"/>
          <w:sz w:val="14"/>
          <w:szCs w:val="14"/>
          <w:color w:val="auto"/>
        </w:rPr>
        <w:t>The Credit Division proposes credit policies and evaluation criteria and credit risk management that the Group assumes with segment customers wholesaler. Evaluate and authorize loan proposals until their autonomy and propose their approval to the higher instances for those that exceed it. These guidelines are established on the basis of the policies set by the Grupo Crédito Board, respecting the laws and regulations in force. In addition, it assesses the evolution of the risk of wholesale clients and identifies problematic situations, taking actions to mitigate or resolve them.</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Risk Management Division -</w:t>
      </w:r>
    </w:p>
    <w:p>
      <w:pPr>
        <w:spacing w:after="0" w:line="166" w:lineRule="exact"/>
        <w:rPr>
          <w:sz w:val="20"/>
          <w:szCs w:val="20"/>
          <w:color w:val="auto"/>
        </w:rPr>
      </w:pPr>
    </w:p>
    <w:p>
      <w:pPr>
        <w:ind w:left="340" w:right="80"/>
        <w:spacing w:after="0" w:line="238" w:lineRule="auto"/>
        <w:rPr>
          <w:sz w:val="20"/>
          <w:szCs w:val="20"/>
          <w:color w:val="auto"/>
        </w:rPr>
      </w:pPr>
      <w:r>
        <w:rPr>
          <w:rFonts w:ascii="Arial" w:cs="Arial" w:eastAsia="Arial" w:hAnsi="Arial"/>
          <w:sz w:val="16"/>
          <w:szCs w:val="16"/>
          <w:color w:val="auto"/>
        </w:rPr>
        <w:t>The Risk Management Division is responsible for ensuring that risk management directives and policies comply with the established by the Board of Directors. In addition, it is responsible for supervising the process of risk management and for coordinating with the companies of Credicorp involved in the whole process, promoting homogeneous risk management and aligned with the best practices. It also has the task of informing Board of Directors regarding: global exposure and by type of risk, as well as the specific exposure of each Group company.</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Retail Banking Risk Division -</w:t>
      </w:r>
    </w:p>
    <w:p>
      <w:pPr>
        <w:spacing w:after="0" w:line="166" w:lineRule="exact"/>
        <w:rPr>
          <w:sz w:val="20"/>
          <w:szCs w:val="20"/>
          <w:color w:val="auto"/>
        </w:rPr>
      </w:pPr>
    </w:p>
    <w:p>
      <w:pPr>
        <w:ind w:left="340" w:right="420"/>
        <w:spacing w:after="0" w:line="238" w:lineRule="auto"/>
        <w:rPr>
          <w:sz w:val="20"/>
          <w:szCs w:val="20"/>
          <w:color w:val="auto"/>
        </w:rPr>
      </w:pPr>
      <w:r>
        <w:rPr>
          <w:rFonts w:ascii="Arial" w:cs="Arial" w:eastAsia="Arial" w:hAnsi="Arial"/>
          <w:sz w:val="16"/>
          <w:szCs w:val="16"/>
          <w:color w:val="auto"/>
        </w:rPr>
        <w:t>The Retail Banking Risk Division is responsible for managing the risk profile of the retail portfolio and developing credit policies that are in accordance with the guidelines and risk levels established by Grupo Crédito's Board of Directors. Likewise, it participates in the definition of products and campaigns aligned to these policies, as well as in the design, optimization and integration of credit evaluation tools and income estimation for credit management.</w:t>
      </w:r>
    </w:p>
    <w:p>
      <w:pPr>
        <w:spacing w:after="0" w:line="292"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36195</wp:posOffset>
            </wp:positionV>
            <wp:extent cx="7150735"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400"/>
          </w:cols>
          <w:pgMar w:left="1180" w:top="124" w:right="319" w:bottom="1440" w:gutter="0" w:footer="0" w:header="0"/>
        </w:sectPr>
      </w:pPr>
    </w:p>
    <w:bookmarkStart w:id="128" w:name="page129"/>
    <w:bookmarkEnd w:id="128"/>
    <w:p>
      <w:pPr>
        <w:jc w:val="both"/>
        <w:ind w:left="640" w:right="180"/>
        <w:spacing w:after="0" w:line="242" w:lineRule="auto"/>
        <w:rPr>
          <w:sz w:val="20"/>
          <w:szCs w:val="20"/>
          <w:color w:val="auto"/>
        </w:rPr>
      </w:pPr>
      <w:r>
        <w:rPr>
          <w:rFonts w:ascii="Arial" w:cs="Arial" w:eastAsia="Arial" w:hAnsi="Arial"/>
          <w:sz w:val="16"/>
          <w:szCs w:val="16"/>
          <w:color w:val="auto"/>
        </w:rPr>
        <w:t>Likewise, there is an active and recurring participation of the BCP Retail Banking Risk Division in the Credit Risk and Collections Committee of Mibanco and in the BCB Retail Banking Risk Committee to ensure alignment of best practices in terms of policies and guidelines. credit ratings, risk segmentation and credit risk models.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Non-financial Risks Division -</w:t>
      </w:r>
    </w:p>
    <w:p>
      <w:pPr>
        <w:spacing w:after="0" w:line="166" w:lineRule="exact"/>
        <w:rPr>
          <w:sz w:val="20"/>
          <w:szCs w:val="20"/>
          <w:color w:val="auto"/>
        </w:rPr>
      </w:pPr>
    </w:p>
    <w:p>
      <w:pPr>
        <w:ind w:left="640" w:right="20"/>
        <w:spacing w:after="0" w:line="236" w:lineRule="auto"/>
        <w:rPr>
          <w:sz w:val="20"/>
          <w:szCs w:val="20"/>
          <w:color w:val="auto"/>
        </w:rPr>
      </w:pPr>
      <w:r>
        <w:rPr>
          <w:rFonts w:ascii="Arial" w:cs="Arial" w:eastAsia="Arial" w:hAnsi="Arial"/>
          <w:sz w:val="16"/>
          <w:szCs w:val="16"/>
          <w:color w:val="auto"/>
        </w:rPr>
        <w:t>The Non-financial Risks Division is responsible for defining a strategy for non-financial risks that aligns with the objectives and risk appetite established by the Board of Grupo Crédito. This strategy aims to enhance the management process, generate synergies, optimize resources and achieve superior results among the units responsible for managing non-financial risks within the Group. Furthermore, to achieve the objectives outlined in the non-financial risk strategy, the Division is tasked with promoting a risk culture, developing talent, defining indicators, and generating and monitoring strategic projects and initiatives.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Credicorp's Pricing Center of Excellence</w:t>
      </w:r>
    </w:p>
    <w:p>
      <w:pPr>
        <w:spacing w:after="0" w:line="166" w:lineRule="exact"/>
        <w:rPr>
          <w:sz w:val="20"/>
          <w:szCs w:val="20"/>
          <w:color w:val="auto"/>
        </w:rPr>
      </w:pPr>
    </w:p>
    <w:p>
      <w:pPr>
        <w:ind w:left="640" w:right="400"/>
        <w:spacing w:after="0" w:line="255" w:lineRule="auto"/>
        <w:rPr>
          <w:sz w:val="20"/>
          <w:szCs w:val="20"/>
          <w:color w:val="auto"/>
        </w:rPr>
      </w:pPr>
      <w:r>
        <w:rPr>
          <w:rFonts w:ascii="Arial" w:cs="Arial" w:eastAsia="Arial" w:hAnsi="Arial"/>
          <w:sz w:val="16"/>
          <w:szCs w:val="16"/>
          <w:color w:val="auto"/>
        </w:rPr>
        <w:t>The main objective of the Group's Pricing Center of Excellence (CoE) is to efficiently scale the Pricing practice in the Group's business lines, identifying opportunities and deploying initiatives that allow the development of the Pricing practice.</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Risk Transformation Office</w:t>
      </w:r>
    </w:p>
    <w:p>
      <w:pPr>
        <w:spacing w:after="0" w:line="166" w:lineRule="exact"/>
        <w:rPr>
          <w:sz w:val="20"/>
          <w:szCs w:val="20"/>
          <w:color w:val="auto"/>
        </w:rPr>
      </w:pPr>
    </w:p>
    <w:p>
      <w:pPr>
        <w:ind w:left="640" w:right="200"/>
        <w:spacing w:after="0" w:line="255" w:lineRule="auto"/>
        <w:rPr>
          <w:sz w:val="20"/>
          <w:szCs w:val="20"/>
          <w:color w:val="auto"/>
        </w:rPr>
      </w:pPr>
      <w:r>
        <w:rPr>
          <w:rFonts w:ascii="Arial" w:cs="Arial" w:eastAsia="Arial" w:hAnsi="Arial"/>
          <w:sz w:val="16"/>
          <w:szCs w:val="16"/>
          <w:color w:val="auto"/>
        </w:rPr>
        <w:t>The Risk Transformation Office is responsible for turning risk management into a competitive advantage, enhancing the following capabilities: i) origination, ii) portfolio monitoring, iii) life cycle of credit models, iv) cybersecurity, and v) human talent.</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(vi) Internal Audit Division and Corporate Ethics and Compliance Division -</w:t>
      </w:r>
    </w:p>
    <w:p>
      <w:pPr>
        <w:spacing w:after="0" w:line="166" w:lineRule="exact"/>
        <w:rPr>
          <w:sz w:val="20"/>
          <w:szCs w:val="20"/>
          <w:color w:val="auto"/>
        </w:rPr>
      </w:pPr>
    </w:p>
    <w:p>
      <w:pPr>
        <w:ind w:left="640" w:right="320"/>
        <w:spacing w:after="0" w:line="236" w:lineRule="auto"/>
        <w:rPr>
          <w:sz w:val="20"/>
          <w:szCs w:val="20"/>
          <w:color w:val="auto"/>
        </w:rPr>
      </w:pPr>
      <w:r>
        <w:rPr>
          <w:rFonts w:ascii="Arial" w:cs="Arial" w:eastAsia="Arial" w:hAnsi="Arial"/>
          <w:sz w:val="16"/>
          <w:szCs w:val="16"/>
          <w:color w:val="auto"/>
        </w:rPr>
        <w:t>The Internal Audit Division is in charge of monitoring on an ongoing basis the effectiveness and efficiency of the Group´s risk management, control, and governance processes, verifying compliance with regulations, policies, objectives and guidelines set by the Board of Directors, providing agile and timely assurance, advice and analysis based on risks and data. On the other hand, it evaluates sufficiency and integration level of Group’s database and information systems. Finally, it ensures that independence is maintained between the functions of the risk management and business units, for each of the Group’s companies.</w:t>
      </w:r>
    </w:p>
    <w:p>
      <w:pPr>
        <w:spacing w:after="0" w:line="146" w:lineRule="exact"/>
        <w:rPr>
          <w:sz w:val="20"/>
          <w:szCs w:val="20"/>
          <w:color w:val="auto"/>
        </w:rPr>
      </w:pPr>
    </w:p>
    <w:p>
      <w:pPr>
        <w:ind w:left="640" w:right="460"/>
        <w:spacing w:after="0" w:line="255" w:lineRule="auto"/>
        <w:rPr>
          <w:sz w:val="20"/>
          <w:szCs w:val="20"/>
          <w:color w:val="auto"/>
        </w:rPr>
      </w:pPr>
      <w:r>
        <w:rPr>
          <w:rFonts w:ascii="Arial" w:cs="Arial" w:eastAsia="Arial" w:hAnsi="Arial"/>
          <w:sz w:val="16"/>
          <w:szCs w:val="16"/>
          <w:color w:val="auto"/>
        </w:rPr>
        <w:t>The Corporate Compliance and Ethics Division reports to the Board and is responsible for providing corporate policies to ensure that Group companies specifically comply with regulations that specified them, and the guidelines established in the Code of Ethics.</w:t>
      </w:r>
    </w:p>
    <w:p>
      <w:pPr>
        <w:spacing w:after="0" w:line="13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Risk measurement and reporting systems -</w:t>
      </w:r>
    </w:p>
    <w:p>
      <w:pPr>
        <w:spacing w:after="0" w:line="166" w:lineRule="exact"/>
        <w:rPr>
          <w:sz w:val="20"/>
          <w:szCs w:val="20"/>
          <w:color w:val="auto"/>
        </w:rPr>
      </w:pPr>
    </w:p>
    <w:p>
      <w:pPr>
        <w:ind w:left="320" w:right="40"/>
        <w:spacing w:after="0" w:line="241" w:lineRule="auto"/>
        <w:rPr>
          <w:sz w:val="20"/>
          <w:szCs w:val="20"/>
          <w:color w:val="auto"/>
        </w:rPr>
      </w:pPr>
      <w:r>
        <w:rPr>
          <w:rFonts w:ascii="Arial" w:cs="Arial" w:eastAsia="Arial" w:hAnsi="Arial"/>
          <w:sz w:val="16"/>
          <w:szCs w:val="16"/>
          <w:color w:val="auto"/>
        </w:rPr>
        <w:t>The risk is measured according to models and methodologies developed for the management of each type of risk. Risk reports that allow to monitor at the level added and detailed the different types of risks of each company which is exposed. The system provides the facility to meet the appetite review needs by risk requested by the committees and areas described above; as well as comply with regulatory requirements.</w:t>
      </w:r>
    </w:p>
    <w:p>
      <w:pPr>
        <w:spacing w:after="0" w:line="14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Risk mitigation -</w:t>
      </w:r>
    </w:p>
    <w:p>
      <w:pPr>
        <w:spacing w:after="0" w:line="166" w:lineRule="exact"/>
        <w:rPr>
          <w:sz w:val="20"/>
          <w:szCs w:val="20"/>
          <w:color w:val="auto"/>
        </w:rPr>
      </w:pPr>
    </w:p>
    <w:p>
      <w:pPr>
        <w:ind w:left="320"/>
        <w:spacing w:after="0" w:line="255" w:lineRule="auto"/>
        <w:rPr>
          <w:sz w:val="20"/>
          <w:szCs w:val="20"/>
          <w:color w:val="auto"/>
        </w:rPr>
      </w:pPr>
      <w:r>
        <w:rPr>
          <w:rFonts w:ascii="Arial" w:cs="Arial" w:eastAsia="Arial" w:hAnsi="Arial"/>
          <w:sz w:val="16"/>
          <w:szCs w:val="16"/>
          <w:color w:val="auto"/>
        </w:rPr>
        <w:t>Depending on the type of risk, mitigating instruments are used to reduce its exposure, such as guarantees, derivatives, controls and insurance, among others. Furthermore, it has policies linked to risk appetite and established procedures for each type of risk.</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Group actively uses guarantees to reduce its credit risks.</w:t>
      </w:r>
    </w:p>
    <w:p>
      <w:pPr>
        <w:spacing w:after="0" w:line="313"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60"/>
          </w:cols>
          <w:pgMar w:left="880" w:top="124" w:right="359" w:bottom="1440" w:gutter="0" w:footer="0" w:header="0"/>
        </w:sectPr>
      </w:pPr>
    </w:p>
    <w:bookmarkStart w:id="129" w:name="page130"/>
    <w:bookmarkEnd w:id="129"/>
    <w:p>
      <w:pPr>
        <w:ind w:left="560"/>
        <w:spacing w:after="0"/>
        <w:tabs>
          <w:tab w:leader="none" w:pos="8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Risk appetite -</w:t>
      </w:r>
    </w:p>
    <w:p>
      <w:pPr>
        <w:spacing w:after="0" w:line="167" w:lineRule="exact"/>
        <w:rPr>
          <w:sz w:val="20"/>
          <w:szCs w:val="20"/>
          <w:color w:val="auto"/>
        </w:rPr>
      </w:pPr>
    </w:p>
    <w:p>
      <w:pPr>
        <w:jc w:val="both"/>
        <w:ind w:left="880" w:right="220"/>
        <w:spacing w:after="0" w:line="241" w:lineRule="auto"/>
        <w:rPr>
          <w:sz w:val="20"/>
          <w:szCs w:val="20"/>
          <w:color w:val="auto"/>
        </w:rPr>
      </w:pPr>
      <w:r>
        <w:rPr>
          <w:rFonts w:ascii="Arial" w:cs="Arial" w:eastAsia="Arial" w:hAnsi="Arial"/>
          <w:sz w:val="16"/>
          <w:szCs w:val="16"/>
          <w:color w:val="auto"/>
        </w:rPr>
        <w:t>Based on corporate risk management, Grupo Crédito's Board of Directors approves the risk appetite framework to define the maximum level of risk that the organization is willing to take as it seeks its strategic and financial objectives, maintaining a corporate vision in individual decisions of each entity. This Risk Appetite framework is based on "core" and specific metrics:</w:t>
      </w:r>
    </w:p>
    <w:p>
      <w:pPr>
        <w:spacing w:after="0" w:line="146" w:lineRule="exact"/>
        <w:rPr>
          <w:sz w:val="20"/>
          <w:szCs w:val="20"/>
          <w:color w:val="auto"/>
        </w:rPr>
      </w:pPr>
    </w:p>
    <w:p>
      <w:pPr>
        <w:ind w:left="880" w:right="40"/>
        <w:spacing w:after="0" w:line="255" w:lineRule="auto"/>
        <w:rPr>
          <w:sz w:val="20"/>
          <w:szCs w:val="20"/>
          <w:color w:val="auto"/>
        </w:rPr>
      </w:pPr>
      <w:r>
        <w:rPr>
          <w:rFonts w:ascii="Arial" w:cs="Arial" w:eastAsia="Arial" w:hAnsi="Arial"/>
          <w:sz w:val="16"/>
          <w:szCs w:val="16"/>
          <w:color w:val="auto"/>
        </w:rPr>
        <w:t>Core metrics are intended to preserve the organization’s strategic pillars, defined as solvency, liquidity, profit and growth, income stability and balance sheet structure and cybersecurity risks.</w:t>
      </w:r>
    </w:p>
    <w:p>
      <w:pPr>
        <w:spacing w:after="0" w:line="134" w:lineRule="exact"/>
        <w:rPr>
          <w:sz w:val="20"/>
          <w:szCs w:val="20"/>
          <w:color w:val="auto"/>
        </w:rPr>
      </w:pPr>
    </w:p>
    <w:p>
      <w:pPr>
        <w:ind w:left="880" w:right="100"/>
        <w:spacing w:after="0" w:line="241" w:lineRule="auto"/>
        <w:rPr>
          <w:sz w:val="20"/>
          <w:szCs w:val="20"/>
          <w:color w:val="auto"/>
        </w:rPr>
      </w:pPr>
      <w:r>
        <w:rPr>
          <w:rFonts w:ascii="Arial" w:cs="Arial" w:eastAsia="Arial" w:hAnsi="Arial"/>
          <w:sz w:val="16"/>
          <w:szCs w:val="16"/>
          <w:color w:val="auto"/>
        </w:rPr>
        <w:t>Specific metrics objectives are intended to monitor on a qualitative and quantitative basis the various risks, to which the Group is exposed, as well as defining a tolerance threshold of each of those risks, so the risk profile set by the Board is preserved and any risk focus is anticipated on a more granular basis.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Risk appetite is measured based on the following guidelines:</w:t>
      </w:r>
    </w:p>
    <w:p>
      <w:pPr>
        <w:spacing w:after="0" w:line="166" w:lineRule="exact"/>
        <w:rPr>
          <w:sz w:val="20"/>
          <w:szCs w:val="20"/>
          <w:color w:val="auto"/>
        </w:rPr>
      </w:pPr>
    </w:p>
    <w:p>
      <w:pPr>
        <w:ind w:left="1100" w:hanging="220"/>
        <w:spacing w:after="0"/>
        <w:tabs>
          <w:tab w:leader="none" w:pos="11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Risk appetite statement: Establishes explicit general principles and the qualitative declarations which complement the risk strategy.</w:t>
      </w:r>
    </w:p>
    <w:p>
      <w:pPr>
        <w:spacing w:after="0" w:line="166" w:lineRule="exact"/>
        <w:rPr>
          <w:rFonts w:ascii="Arial" w:cs="Arial" w:eastAsia="Arial" w:hAnsi="Arial"/>
          <w:sz w:val="16"/>
          <w:szCs w:val="16"/>
          <w:color w:val="auto"/>
        </w:rPr>
      </w:pPr>
    </w:p>
    <w:p>
      <w:pPr>
        <w:ind w:left="1100" w:hanging="220"/>
        <w:spacing w:after="0"/>
        <w:tabs>
          <w:tab w:leader="none" w:pos="11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Metrics scorecards: These are used to define the levels of risk exposure in the different strategic pillars.</w:t>
      </w:r>
    </w:p>
    <w:p>
      <w:pPr>
        <w:spacing w:after="0" w:line="166" w:lineRule="exact"/>
        <w:rPr>
          <w:rFonts w:ascii="Arial" w:cs="Arial" w:eastAsia="Arial" w:hAnsi="Arial"/>
          <w:sz w:val="16"/>
          <w:szCs w:val="16"/>
          <w:color w:val="auto"/>
        </w:rPr>
      </w:pPr>
    </w:p>
    <w:p>
      <w:pPr>
        <w:ind w:left="1100" w:right="100" w:hanging="220"/>
        <w:spacing w:after="0" w:line="255" w:lineRule="auto"/>
        <w:tabs>
          <w:tab w:leader="none" w:pos="11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Limits: Allows control over the risk-taking process within the tolerance threshold established by the Board. They also provide accountability for the risk-taking process and define guidelines regarding the target risk profile.</w:t>
      </w:r>
    </w:p>
    <w:p>
      <w:pPr>
        <w:spacing w:after="0" w:line="134" w:lineRule="exact"/>
        <w:rPr>
          <w:rFonts w:ascii="Arial" w:cs="Arial" w:eastAsia="Arial" w:hAnsi="Arial"/>
          <w:sz w:val="16"/>
          <w:szCs w:val="16"/>
          <w:color w:val="auto"/>
        </w:rPr>
      </w:pPr>
    </w:p>
    <w:p>
      <w:pPr>
        <w:ind w:left="1100" w:hanging="220"/>
        <w:spacing w:after="0"/>
        <w:tabs>
          <w:tab w:leader="none" w:pos="110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Government scheme: Seeks to guarantee compliance of the framework through different roles and responsibilities assigned to the units involved.</w:t>
      </w:r>
    </w:p>
    <w:p>
      <w:pPr>
        <w:spacing w:after="0" w:line="189" w:lineRule="exact"/>
        <w:rPr>
          <w:sz w:val="20"/>
          <w:szCs w:val="20"/>
          <w:color w:val="auto"/>
        </w:rPr>
      </w:pPr>
    </w:p>
    <w:p>
      <w:pPr>
        <w:ind w:left="880" w:right="560"/>
        <w:spacing w:after="0" w:line="255" w:lineRule="auto"/>
        <w:rPr>
          <w:sz w:val="20"/>
          <w:szCs w:val="20"/>
          <w:color w:val="auto"/>
        </w:rPr>
      </w:pPr>
      <w:r>
        <w:rPr>
          <w:rFonts w:ascii="Arial" w:cs="Arial" w:eastAsia="Arial" w:hAnsi="Arial"/>
          <w:sz w:val="16"/>
          <w:szCs w:val="16"/>
          <w:color w:val="auto"/>
        </w:rPr>
        <w:t>The appetite is integrated into the processes of strategic and capital guidelines, as well as in the definition of the annual budget, facilitating the strategic decision making of the organization.</w:t>
      </w:r>
    </w:p>
    <w:p>
      <w:pPr>
        <w:spacing w:after="0" w:line="134" w:lineRule="exact"/>
        <w:rPr>
          <w:sz w:val="20"/>
          <w:szCs w:val="20"/>
          <w:color w:val="auto"/>
        </w:rPr>
      </w:pPr>
    </w:p>
    <w:p>
      <w:pPr>
        <w:ind w:left="560"/>
        <w:spacing w:after="0"/>
        <w:tabs>
          <w:tab w:leader="none" w:pos="82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4"/>
          <w:szCs w:val="14"/>
          <w:color w:val="auto"/>
        </w:rPr>
        <w:t>Risk concentration -</w:t>
      </w:r>
    </w:p>
    <w:p>
      <w:pPr>
        <w:spacing w:after="0" w:line="166" w:lineRule="exact"/>
        <w:rPr>
          <w:sz w:val="20"/>
          <w:szCs w:val="20"/>
          <w:color w:val="auto"/>
        </w:rPr>
      </w:pPr>
    </w:p>
    <w:p>
      <w:pPr>
        <w:ind w:left="880"/>
        <w:spacing w:after="0" w:line="255" w:lineRule="auto"/>
        <w:rPr>
          <w:sz w:val="20"/>
          <w:szCs w:val="20"/>
          <w:color w:val="auto"/>
        </w:rPr>
      </w:pPr>
      <w:r>
        <w:rPr>
          <w:rFonts w:ascii="Arial" w:cs="Arial" w:eastAsia="Arial" w:hAnsi="Arial"/>
          <w:sz w:val="16"/>
          <w:szCs w:val="16"/>
          <w:color w:val="auto"/>
        </w:rPr>
        <w:t>Concentrations arise when a reduced and representative number of all of the counterparties of the Group are engaged in similar business activities, or activities in the same geographic region, or have similar economic and political conditions among others.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 order to avoid excessive concentrations of risk, the policies and procedures include specific guidelines and limits to guarantee a diversified portfolio.</w:t>
      </w:r>
    </w:p>
    <w:p>
      <w:pPr>
        <w:spacing w:after="0" w:line="18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30.1</w:t>
      </w:r>
      <w:r>
        <w:rPr>
          <w:sz w:val="20"/>
          <w:szCs w:val="20"/>
          <w:color w:val="auto"/>
        </w:rPr>
        <w:tab/>
      </w:r>
      <w:r>
        <w:rPr>
          <w:rFonts w:ascii="Arial" w:cs="Arial" w:eastAsia="Arial" w:hAnsi="Arial"/>
          <w:sz w:val="14"/>
          <w:szCs w:val="14"/>
          <w:b w:val="1"/>
          <w:bCs w:val="1"/>
          <w:color w:val="auto"/>
        </w:rPr>
        <w:t>Credit risk -</w:t>
      </w:r>
    </w:p>
    <w:p>
      <w:pPr>
        <w:spacing w:after="0" w:line="168" w:lineRule="exact"/>
        <w:rPr>
          <w:sz w:val="20"/>
          <w:szCs w:val="20"/>
          <w:color w:val="auto"/>
        </w:rPr>
      </w:pPr>
    </w:p>
    <w:p>
      <w:pPr>
        <w:ind w:left="840" w:right="480" w:hanging="286"/>
        <w:spacing w:after="0" w:line="255" w:lineRule="auto"/>
        <w:tabs>
          <w:tab w:leader="none" w:pos="8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Group takes on exposure to credit risk, which is the probability of suffering losses caused by debtors or counterparties failing to comply with payment obligations in on or off the balance sheet exposures.</w:t>
      </w:r>
    </w:p>
    <w:p>
      <w:pPr>
        <w:spacing w:after="0" w:line="134" w:lineRule="exact"/>
        <w:rPr>
          <w:sz w:val="20"/>
          <w:szCs w:val="20"/>
          <w:color w:val="auto"/>
        </w:rPr>
      </w:pPr>
    </w:p>
    <w:p>
      <w:pPr>
        <w:ind w:left="880" w:right="60"/>
        <w:spacing w:after="0" w:line="236" w:lineRule="auto"/>
        <w:rPr>
          <w:sz w:val="20"/>
          <w:szCs w:val="20"/>
          <w:color w:val="auto"/>
        </w:rPr>
      </w:pPr>
      <w:r>
        <w:rPr>
          <w:rFonts w:ascii="Arial" w:cs="Arial" w:eastAsia="Arial" w:hAnsi="Arial"/>
          <w:sz w:val="16"/>
          <w:szCs w:val="16"/>
          <w:color w:val="auto"/>
        </w:rPr>
        <w:t>Credit risk is the most important risk for the Group’s business; therefore, Management carefully manages its exposure to credit risk. Credit exposures arise principally from lending activities that lead to direct loans; they also result from investment activities. There is also credit risk in off-balance sheet financial instruments, such as contingent credits (indirect loans), which expose Credicorp to risks similar to direct loans. Likewise, credit risk arises from derivative financial instruments that present positive fair values. Finally, all exposure to credit risk (direct or indirect) is mitigated by the control processes and policies.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30" w:name="page131"/>
    <w:bookmarkEnd w:id="130"/>
    <w:p>
      <w:pPr>
        <w:ind w:left="46" w:right="300"/>
        <w:spacing w:after="0" w:line="257" w:lineRule="auto"/>
        <w:rPr>
          <w:sz w:val="20"/>
          <w:szCs w:val="20"/>
          <w:color w:val="auto"/>
        </w:rPr>
      </w:pPr>
      <w:r>
        <w:rPr>
          <w:rFonts w:ascii="Arial" w:cs="Arial" w:eastAsia="Arial" w:hAnsi="Arial"/>
          <w:sz w:val="16"/>
          <w:szCs w:val="16"/>
          <w:color w:val="auto"/>
        </w:rPr>
        <w:t>As part of managing this type of risk, provisions for impairment of its portfolio are assigned as of the date of the consolidated statement of financial position.</w:t>
      </w:r>
    </w:p>
    <w:p>
      <w:pPr>
        <w:spacing w:after="0" w:line="132" w:lineRule="exact"/>
        <w:rPr>
          <w:sz w:val="20"/>
          <w:szCs w:val="20"/>
          <w:color w:val="auto"/>
        </w:rPr>
      </w:pPr>
    </w:p>
    <w:p>
      <w:pPr>
        <w:ind w:left="46" w:right="200"/>
        <w:spacing w:after="0" w:line="241" w:lineRule="auto"/>
        <w:rPr>
          <w:sz w:val="20"/>
          <w:szCs w:val="20"/>
          <w:color w:val="auto"/>
        </w:rPr>
      </w:pPr>
      <w:r>
        <w:rPr>
          <w:rFonts w:ascii="Arial" w:cs="Arial" w:eastAsia="Arial" w:hAnsi="Arial"/>
          <w:sz w:val="16"/>
          <w:szCs w:val="16"/>
          <w:color w:val="auto"/>
        </w:rPr>
        <w:t>Credit risk levels are defined based on risk exposure limits, which are frequently monitored. Said limits are established in relation to one borrower or group of borrowers, geographical and industry segments. Furthermore, the risk limits by product, industry sector and by geographical segment are approved by the Risk Committee of Credicorp.</w:t>
      </w:r>
    </w:p>
    <w:p>
      <w:pPr>
        <w:spacing w:after="0" w:line="146" w:lineRule="exact"/>
        <w:rPr>
          <w:sz w:val="20"/>
          <w:szCs w:val="20"/>
          <w:color w:val="auto"/>
        </w:rPr>
      </w:pPr>
    </w:p>
    <w:p>
      <w:pPr>
        <w:ind w:left="46" w:right="320"/>
        <w:spacing w:after="0" w:line="255" w:lineRule="auto"/>
        <w:rPr>
          <w:sz w:val="20"/>
          <w:szCs w:val="20"/>
          <w:color w:val="auto"/>
        </w:rPr>
      </w:pPr>
      <w:r>
        <w:rPr>
          <w:rFonts w:ascii="Arial" w:cs="Arial" w:eastAsia="Arial" w:hAnsi="Arial"/>
          <w:sz w:val="16"/>
          <w:szCs w:val="16"/>
          <w:color w:val="auto"/>
        </w:rPr>
        <w:t>Exposure to credit risk is managed through regular analysis of the ability of debtors and potential debtors to meet interest and principal repayment obligations and by changing the credit limits when it is appropriate. Other specific control measures are outlined below:</w:t>
      </w:r>
    </w:p>
    <w:p>
      <w:pPr>
        <w:spacing w:after="0" w:line="134" w:lineRule="exact"/>
        <w:rPr>
          <w:sz w:val="20"/>
          <w:szCs w:val="20"/>
          <w:color w:val="auto"/>
        </w:rPr>
      </w:pPr>
    </w:p>
    <w:p>
      <w:pPr>
        <w:ind w:left="326" w:hanging="326"/>
        <w:spacing w:after="0"/>
        <w:tabs>
          <w:tab w:leader="none" w:pos="32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Collateral -</w:t>
      </w:r>
    </w:p>
    <w:p>
      <w:pPr>
        <w:spacing w:after="0" w:line="166" w:lineRule="exact"/>
        <w:rPr>
          <w:sz w:val="20"/>
          <w:szCs w:val="20"/>
          <w:color w:val="auto"/>
        </w:rPr>
      </w:pPr>
    </w:p>
    <w:p>
      <w:pPr>
        <w:ind w:left="406" w:right="320"/>
        <w:spacing w:after="0" w:line="241" w:lineRule="auto"/>
        <w:rPr>
          <w:sz w:val="20"/>
          <w:szCs w:val="20"/>
          <w:color w:val="auto"/>
        </w:rPr>
      </w:pPr>
      <w:r>
        <w:rPr>
          <w:rFonts w:ascii="Arial" w:cs="Arial" w:eastAsia="Arial" w:hAnsi="Arial"/>
          <w:sz w:val="16"/>
          <w:szCs w:val="16"/>
          <w:color w:val="auto"/>
        </w:rPr>
        <w:t>The Group employs a range of policies and practices to mitigate credit risk. The most traditional of these is collateralization which is common practice. The Group implements guidelines on the acceptability of specific classes of collateral or credit risk mitigation. The main types of collateral obtained are as follows:</w:t>
      </w:r>
    </w:p>
    <w:p>
      <w:pPr>
        <w:spacing w:after="0" w:line="146" w:lineRule="exact"/>
        <w:rPr>
          <w:sz w:val="20"/>
          <w:szCs w:val="20"/>
          <w:color w:val="auto"/>
        </w:rPr>
      </w:pPr>
    </w:p>
    <w:p>
      <w:pPr>
        <w:ind w:left="606" w:right="380" w:hanging="210"/>
        <w:spacing w:after="0" w:line="255" w:lineRule="auto"/>
        <w:tabs>
          <w:tab w:leader="none" w:pos="60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For loans and advances, collateral includes, among others, mortgages on residential properties; liens on business assets such as plants, inventory and accounts receivable; and liens on financial instruments such as debt securities and equity securities.</w:t>
      </w:r>
    </w:p>
    <w:p>
      <w:pPr>
        <w:spacing w:after="0" w:line="134" w:lineRule="exact"/>
        <w:rPr>
          <w:rFonts w:ascii="Arial" w:cs="Arial" w:eastAsia="Arial" w:hAnsi="Arial"/>
          <w:sz w:val="16"/>
          <w:szCs w:val="16"/>
          <w:color w:val="auto"/>
        </w:rPr>
      </w:pPr>
    </w:p>
    <w:p>
      <w:pPr>
        <w:ind w:left="606" w:hanging="210"/>
        <w:spacing w:after="0" w:line="255" w:lineRule="auto"/>
        <w:tabs>
          <w:tab w:leader="none" w:pos="60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Long-term loans and financing to corporate entities are generally guaranteed. Loans to micro business generally have no collateral. In order to minimize credit loss, the Group will seek additional collateral from the counterparty as soon as impairment indicators arise.</w:t>
      </w:r>
    </w:p>
    <w:p>
      <w:pPr>
        <w:spacing w:after="0" w:line="134" w:lineRule="exact"/>
        <w:rPr>
          <w:rFonts w:ascii="Arial" w:cs="Arial" w:eastAsia="Arial" w:hAnsi="Arial"/>
          <w:sz w:val="16"/>
          <w:szCs w:val="16"/>
          <w:color w:val="auto"/>
        </w:rPr>
      </w:pPr>
    </w:p>
    <w:p>
      <w:pPr>
        <w:ind w:left="606" w:hanging="210"/>
        <w:spacing w:after="0"/>
        <w:tabs>
          <w:tab w:leader="none" w:pos="60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For repurchase agreements and securities lending, collateral consists of fixed income instruments, cash and loans.</w:t>
      </w:r>
    </w:p>
    <w:p>
      <w:pPr>
        <w:spacing w:after="0" w:line="166" w:lineRule="exact"/>
        <w:rPr>
          <w:sz w:val="20"/>
          <w:szCs w:val="20"/>
          <w:color w:val="auto"/>
        </w:rPr>
      </w:pPr>
    </w:p>
    <w:p>
      <w:pPr>
        <w:ind w:left="406" w:right="120"/>
        <w:spacing w:after="0" w:line="241" w:lineRule="auto"/>
        <w:rPr>
          <w:sz w:val="20"/>
          <w:szCs w:val="20"/>
          <w:color w:val="auto"/>
        </w:rPr>
      </w:pPr>
      <w:r>
        <w:rPr>
          <w:rFonts w:ascii="Arial" w:cs="Arial" w:eastAsia="Arial" w:hAnsi="Arial"/>
          <w:sz w:val="16"/>
          <w:szCs w:val="16"/>
          <w:color w:val="auto"/>
        </w:rPr>
        <w:t>Collateral held as security for financial assets other than loans is determined by the nature of the instrument. Debt securities, treasury and other eligible bills are generally unsecured, except for assets backed securities and similar instruments, which are secured by portfolios of financial instruments.</w:t>
      </w:r>
    </w:p>
    <w:p>
      <w:pPr>
        <w:spacing w:after="0" w:line="146" w:lineRule="exact"/>
        <w:rPr>
          <w:sz w:val="20"/>
          <w:szCs w:val="20"/>
          <w:color w:val="auto"/>
        </w:rPr>
      </w:pPr>
    </w:p>
    <w:p>
      <w:pPr>
        <w:ind w:left="406" w:right="140"/>
        <w:spacing w:after="0" w:line="238" w:lineRule="auto"/>
        <w:rPr>
          <w:sz w:val="20"/>
          <w:szCs w:val="20"/>
          <w:color w:val="auto"/>
        </w:rPr>
      </w:pPr>
      <w:r>
        <w:rPr>
          <w:rFonts w:ascii="Arial" w:cs="Arial" w:eastAsia="Arial" w:hAnsi="Arial"/>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As part of the Group's policies, the recovered assets are sold in seniority order. The proceeds of the sale are used to reduce or amortize the outstanding debt. In general, the Group doesn't use recovered assets for its operational purposes.</w:t>
      </w:r>
    </w:p>
    <w:p>
      <w:pPr>
        <w:spacing w:after="0" w:line="145"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4"/>
          <w:szCs w:val="14"/>
          <w:color w:val="auto"/>
        </w:rPr>
        <w:t>Derivatives -</w:t>
      </w:r>
    </w:p>
    <w:p>
      <w:pPr>
        <w:spacing w:after="0" w:line="166" w:lineRule="exact"/>
        <w:rPr>
          <w:sz w:val="20"/>
          <w:szCs w:val="20"/>
          <w:color w:val="auto"/>
        </w:rPr>
      </w:pPr>
    </w:p>
    <w:p>
      <w:pPr>
        <w:ind w:left="406" w:right="300"/>
        <w:spacing w:after="0" w:line="282" w:lineRule="auto"/>
        <w:rPr>
          <w:sz w:val="20"/>
          <w:szCs w:val="20"/>
          <w:color w:val="auto"/>
        </w:rPr>
      </w:pPr>
      <w:r>
        <w:rPr>
          <w:rFonts w:ascii="Arial" w:cs="Arial" w:eastAsia="Arial" w:hAnsi="Arial"/>
          <w:sz w:val="14"/>
          <w:szCs w:val="14"/>
          <w:color w:val="auto"/>
        </w:rPr>
        <w:t>The amount subject to credit risk is limited to the current and potential fair value of instruments that are favorable to the Group (fair value is positive). In the case of derivatives this is only a small fraction of the contract, or notional values used to express the volume of instruments outstanding. This credit risk exposure is managed as a portion of the total credit limits with customers, together with potential exposures from market movements. The credit risk of the derivative portfolio is reduced if the instrument is cleared through a clearing house.</w:t>
      </w:r>
    </w:p>
    <w:p>
      <w:pPr>
        <w:spacing w:after="0" w:line="265" w:lineRule="exact"/>
        <w:rPr>
          <w:sz w:val="20"/>
          <w:szCs w:val="20"/>
          <w:color w:val="auto"/>
        </w:rPr>
      </w:pPr>
    </w:p>
    <w:p>
      <w:pPr>
        <w:ind w:left="4646"/>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86"/>
          </w:cols>
          <w:pgMar w:left="1154" w:top="124" w:right="359" w:bottom="1440" w:gutter="0" w:footer="0" w:header="0"/>
        </w:sectPr>
      </w:pPr>
    </w:p>
    <w:bookmarkStart w:id="131" w:name="page132"/>
    <w:bookmarkEnd w:id="131"/>
    <w:p>
      <w:pPr>
        <w:ind w:left="286"/>
        <w:spacing w:after="0"/>
        <w:rPr>
          <w:sz w:val="20"/>
          <w:szCs w:val="20"/>
          <w:color w:val="auto"/>
        </w:rPr>
      </w:pPr>
      <w:r>
        <w:rPr>
          <w:rFonts w:ascii="Arial" w:cs="Arial" w:eastAsia="Arial" w:hAnsi="Arial"/>
          <w:sz w:val="16"/>
          <w:szCs w:val="16"/>
          <w:color w:val="auto"/>
        </w:rPr>
        <w:t>(iii)  Credit-related commitments -</w:t>
      </w:r>
    </w:p>
    <w:p>
      <w:pPr>
        <w:spacing w:after="0" w:line="167" w:lineRule="exact"/>
        <w:rPr>
          <w:sz w:val="20"/>
          <w:szCs w:val="20"/>
          <w:color w:val="auto"/>
        </w:rPr>
      </w:pPr>
    </w:p>
    <w:p>
      <w:pPr>
        <w:ind w:left="686" w:right="100"/>
        <w:spacing w:after="0" w:line="236" w:lineRule="auto"/>
        <w:rPr>
          <w:sz w:val="20"/>
          <w:szCs w:val="20"/>
          <w:color w:val="auto"/>
        </w:rPr>
      </w:pPr>
      <w:r>
        <w:rPr>
          <w:rFonts w:ascii="Arial" w:cs="Arial" w:eastAsia="Arial" w:hAnsi="Arial"/>
          <w:sz w:val="16"/>
          <w:szCs w:val="16"/>
          <w:color w:val="auto"/>
        </w:rPr>
        <w:t>The primary purpose of these instruments is to ensure that funds are available to a customer as required. Guarantees and letters of credit have the same credit risk as direct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46" w:lineRule="exact"/>
        <w:rPr>
          <w:sz w:val="20"/>
          <w:szCs w:val="20"/>
          <w:color w:val="auto"/>
        </w:rPr>
      </w:pPr>
    </w:p>
    <w:p>
      <w:pPr>
        <w:ind w:left="286" w:right="60" w:hanging="286"/>
        <w:spacing w:after="0" w:line="255" w:lineRule="auto"/>
        <w:tabs>
          <w:tab w:leader="none" w:pos="28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maximum exposure to credit risk as of December 31, 2024 and 2023, before the effect of mitigation through any collateral, is the carrying amount of each class of financial assets indicated in Notes 30.11(a), 30.11(b) and the contingent credits detailed in Note 18(a).</w:t>
      </w:r>
    </w:p>
    <w:p>
      <w:pPr>
        <w:spacing w:after="0" w:line="134" w:lineRule="exact"/>
        <w:rPr>
          <w:rFonts w:ascii="Arial" w:cs="Arial" w:eastAsia="Arial" w:hAnsi="Arial"/>
          <w:sz w:val="16"/>
          <w:szCs w:val="16"/>
          <w:color w:val="auto"/>
        </w:rPr>
      </w:pPr>
    </w:p>
    <w:p>
      <w:pPr>
        <w:ind w:left="286" w:hanging="286"/>
        <w:spacing w:after="0"/>
        <w:tabs>
          <w:tab w:leader="none" w:pos="28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Credit risk management for loans -</w:t>
      </w:r>
    </w:p>
    <w:p>
      <w:pPr>
        <w:spacing w:after="0" w:line="166" w:lineRule="exact"/>
        <w:rPr>
          <w:sz w:val="20"/>
          <w:szCs w:val="20"/>
          <w:color w:val="auto"/>
        </w:rPr>
      </w:pPr>
    </w:p>
    <w:p>
      <w:pPr>
        <w:ind w:left="326" w:right="120"/>
        <w:spacing w:after="0" w:line="238" w:lineRule="auto"/>
        <w:rPr>
          <w:sz w:val="20"/>
          <w:szCs w:val="20"/>
          <w:color w:val="auto"/>
        </w:rPr>
      </w:pPr>
      <w:r>
        <w:rPr>
          <w:rFonts w:ascii="Arial" w:cs="Arial" w:eastAsia="Arial" w:hAnsi="Arial"/>
          <w:sz w:val="16"/>
          <w:szCs w:val="16"/>
          <w:color w:val="auto"/>
        </w:rPr>
        <w:t>Credit risk management is mainly based on the rating and scoring internal models of each company of the Group. In Credicorp, quantitative and qualitative analysis are made for each client, regarding their financial position, credit behavior in the financial system and the market in which they operate or are located. This analysis is carried out continuously to characterize the risk profile of each operation and client with a loan position in the Group.</w:t>
      </w:r>
    </w:p>
    <w:p>
      <w:pPr>
        <w:spacing w:after="0" w:line="145" w:lineRule="exact"/>
        <w:rPr>
          <w:sz w:val="20"/>
          <w:szCs w:val="20"/>
          <w:color w:val="auto"/>
        </w:rPr>
      </w:pPr>
    </w:p>
    <w:p>
      <w:pPr>
        <w:ind w:left="326"/>
        <w:spacing w:after="0" w:line="255" w:lineRule="auto"/>
        <w:rPr>
          <w:sz w:val="20"/>
          <w:szCs w:val="20"/>
          <w:color w:val="auto"/>
        </w:rPr>
      </w:pPr>
      <w:r>
        <w:rPr>
          <w:rFonts w:ascii="Arial" w:cs="Arial" w:eastAsia="Arial" w:hAnsi="Arial"/>
          <w:sz w:val="16"/>
          <w:szCs w:val="16"/>
          <w:color w:val="auto"/>
        </w:rPr>
        <w:t>In the Group, a loan is internally classified as past due according to three criteria: the number of days past due based on the contractually agreed due date, the subsidiary and the type of loan. The detail is shown below:</w:t>
      </w:r>
    </w:p>
    <w:p>
      <w:pPr>
        <w:spacing w:after="0" w:line="134" w:lineRule="exact"/>
        <w:rPr>
          <w:sz w:val="20"/>
          <w:szCs w:val="20"/>
          <w:color w:val="auto"/>
        </w:rPr>
      </w:pPr>
    </w:p>
    <w:p>
      <w:pPr>
        <w:ind w:left="546" w:hanging="220"/>
        <w:spacing w:after="0"/>
        <w:tabs>
          <w:tab w:leader="none" w:pos="5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Banco de Crédito del Perú, Mibanco Perú and Solución Empresa Administradora Hipotecaria internally classify a loan as past due:</w:t>
      </w:r>
    </w:p>
    <w:p>
      <w:pPr>
        <w:spacing w:after="0" w:line="166" w:lineRule="exact"/>
        <w:rPr>
          <w:rFonts w:ascii="Arial" w:cs="Arial" w:eastAsia="Arial" w:hAnsi="Arial"/>
          <w:sz w:val="16"/>
          <w:szCs w:val="16"/>
          <w:color w:val="auto"/>
        </w:rPr>
      </w:pPr>
    </w:p>
    <w:p>
      <w:pPr>
        <w:ind w:left="746" w:hanging="140"/>
        <w:spacing w:after="0"/>
        <w:tabs>
          <w:tab w:leader="none" w:pos="7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corporate, large and medium companies, when it has more than 15 days in arrears.</w:t>
      </w:r>
    </w:p>
    <w:p>
      <w:pPr>
        <w:spacing w:after="0" w:line="5" w:lineRule="exact"/>
        <w:rPr>
          <w:rFonts w:ascii="Arial" w:cs="Arial" w:eastAsia="Arial" w:hAnsi="Arial"/>
          <w:sz w:val="16"/>
          <w:szCs w:val="16"/>
          <w:color w:val="auto"/>
        </w:rPr>
      </w:pPr>
    </w:p>
    <w:p>
      <w:pPr>
        <w:ind w:left="746" w:hanging="140"/>
        <w:spacing w:after="0" w:line="228" w:lineRule="auto"/>
        <w:tabs>
          <w:tab w:leader="none" w:pos="7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small and microbusiness when it has more than 30 days in arrears.</w:t>
      </w:r>
    </w:p>
    <w:p>
      <w:pPr>
        <w:ind w:left="746" w:hanging="140"/>
        <w:spacing w:after="0" w:line="228" w:lineRule="auto"/>
        <w:tabs>
          <w:tab w:leader="none" w:pos="7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overdrafts when it has more than 30 days in arrears.</w:t>
      </w:r>
    </w:p>
    <w:p>
      <w:pPr>
        <w:ind w:left="746" w:right="260" w:hanging="140"/>
        <w:spacing w:after="0" w:line="238" w:lineRule="auto"/>
        <w:tabs>
          <w:tab w:leader="none" w:pos="7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consumer, mortgage and leasing operations, installments are internally classified as past due when they are between 30 and 90 days in arrears; after 90 days, the pending loan balance is considered past due.</w:t>
      </w:r>
    </w:p>
    <w:p>
      <w:pPr>
        <w:spacing w:after="0" w:line="146" w:lineRule="exact"/>
        <w:rPr>
          <w:rFonts w:ascii="Arial" w:cs="Arial" w:eastAsia="Arial" w:hAnsi="Arial"/>
          <w:sz w:val="16"/>
          <w:szCs w:val="16"/>
          <w:color w:val="auto"/>
        </w:rPr>
      </w:pPr>
    </w:p>
    <w:p>
      <w:pPr>
        <w:ind w:left="546" w:hanging="220"/>
        <w:spacing w:after="0"/>
        <w:tabs>
          <w:tab w:leader="none" w:pos="5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Mibanco Colombia internally classifies a loan as past due:</w:t>
      </w:r>
    </w:p>
    <w:p>
      <w:pPr>
        <w:spacing w:after="0" w:line="166" w:lineRule="exact"/>
        <w:rPr>
          <w:rFonts w:ascii="Arial" w:cs="Arial" w:eastAsia="Arial" w:hAnsi="Arial"/>
          <w:sz w:val="16"/>
          <w:szCs w:val="16"/>
          <w:color w:val="auto"/>
        </w:rPr>
      </w:pPr>
    </w:p>
    <w:p>
      <w:pPr>
        <w:ind w:left="746" w:hanging="140"/>
        <w:spacing w:after="0"/>
        <w:tabs>
          <w:tab w:leader="none" w:pos="7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commercial loans when it has more than 90 days in arrears.</w:t>
      </w:r>
    </w:p>
    <w:p>
      <w:pPr>
        <w:spacing w:after="0" w:line="5" w:lineRule="exact"/>
        <w:rPr>
          <w:rFonts w:ascii="Arial" w:cs="Arial" w:eastAsia="Arial" w:hAnsi="Arial"/>
          <w:sz w:val="16"/>
          <w:szCs w:val="16"/>
          <w:color w:val="auto"/>
        </w:rPr>
      </w:pPr>
    </w:p>
    <w:p>
      <w:pPr>
        <w:ind w:left="746" w:hanging="140"/>
        <w:spacing w:after="0" w:line="228" w:lineRule="auto"/>
        <w:tabs>
          <w:tab w:leader="none" w:pos="7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microbusiness loans when it has more than 60 days in arrears.</w:t>
      </w:r>
    </w:p>
    <w:p>
      <w:pPr>
        <w:ind w:left="746" w:hanging="140"/>
        <w:spacing w:after="0" w:line="228" w:lineRule="auto"/>
        <w:tabs>
          <w:tab w:leader="none" w:pos="7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consumer loans when it has more than 60 days in arrears.</w:t>
      </w:r>
    </w:p>
    <w:p>
      <w:pPr>
        <w:ind w:left="746" w:hanging="140"/>
        <w:spacing w:after="0"/>
        <w:tabs>
          <w:tab w:leader="none" w:pos="746" w:val="left"/>
        </w:tabs>
        <w:numPr>
          <w:ilvl w:val="1"/>
          <w:numId w:val="159"/>
        </w:numPr>
        <w:rPr>
          <w:rFonts w:ascii="Arial" w:cs="Arial" w:eastAsia="Arial" w:hAnsi="Arial"/>
          <w:sz w:val="16"/>
          <w:szCs w:val="16"/>
          <w:color w:val="auto"/>
        </w:rPr>
      </w:pPr>
      <w:r>
        <w:rPr>
          <w:rFonts w:ascii="Arial" w:cs="Arial" w:eastAsia="Arial" w:hAnsi="Arial"/>
          <w:sz w:val="16"/>
          <w:szCs w:val="16"/>
          <w:color w:val="auto"/>
        </w:rPr>
        <w:t>For mortgage loans when it has more than 30 days in arrears.</w:t>
      </w:r>
    </w:p>
    <w:p>
      <w:pPr>
        <w:spacing w:after="0" w:line="152" w:lineRule="exact"/>
        <w:rPr>
          <w:rFonts w:ascii="Arial" w:cs="Arial" w:eastAsia="Arial" w:hAnsi="Arial"/>
          <w:sz w:val="16"/>
          <w:szCs w:val="16"/>
          <w:color w:val="auto"/>
        </w:rPr>
      </w:pPr>
    </w:p>
    <w:p>
      <w:pPr>
        <w:ind w:left="546" w:hanging="220"/>
        <w:spacing w:after="0"/>
        <w:tabs>
          <w:tab w:leader="none" w:pos="5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ASB Bank Corp. internally classifies a loan as past due when it has 1 or more days in arrears.</w:t>
      </w:r>
    </w:p>
    <w:p>
      <w:pPr>
        <w:spacing w:after="0" w:line="166" w:lineRule="exact"/>
        <w:rPr>
          <w:rFonts w:ascii="Arial" w:cs="Arial" w:eastAsia="Arial" w:hAnsi="Arial"/>
          <w:sz w:val="16"/>
          <w:szCs w:val="16"/>
          <w:color w:val="auto"/>
        </w:rPr>
      </w:pPr>
    </w:p>
    <w:p>
      <w:pPr>
        <w:ind w:left="546" w:hanging="220"/>
        <w:spacing w:after="0"/>
        <w:tabs>
          <w:tab w:leader="none" w:pos="5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Banco de Crédito de Bolivia internally classifies a loan as past due when it has 30 or more days in arrears.</w:t>
      </w:r>
    </w:p>
    <w:p>
      <w:pPr>
        <w:spacing w:after="0" w:line="313" w:lineRule="exact"/>
        <w:rPr>
          <w:sz w:val="20"/>
          <w:szCs w:val="20"/>
          <w:color w:val="auto"/>
        </w:rPr>
      </w:pPr>
    </w:p>
    <w:p>
      <w:pPr>
        <w:jc w:val="center"/>
        <w:ind w:right="454"/>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06"/>
          </w:cols>
          <w:pgMar w:left="874" w:top="124" w:right="41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Estimate of the expected credit loss -</w:t>
      </w:r>
    </w:p>
    <w:p>
      <w:pPr>
        <w:spacing w:after="0" w:line="167"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measurement of the expected credit loss is based on the product of the following risk parameters: (i) probability of default (PD), (ii) loss given default (LGD), and (iii) exposure at default (EAD); discounted at the reporting date, using the effective interest rate. The definition of the parameters is presented below:</w:t>
      </w:r>
    </w:p>
    <w:p>
      <w:pPr>
        <w:spacing w:after="0" w:line="146" w:lineRule="exact"/>
        <w:rPr>
          <w:sz w:val="20"/>
          <w:szCs w:val="20"/>
          <w:color w:val="auto"/>
        </w:rPr>
      </w:pPr>
    </w:p>
    <w:p>
      <w:pPr>
        <w:ind w:left="220" w:hanging="220"/>
        <w:spacing w:after="0"/>
        <w:tabs>
          <w:tab w:leader="none" w:pos="22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Probability of default (PD): is a credit rating measure that is given internally to a client with the objective of estimating its probability of default within</w:t>
      </w:r>
    </w:p>
    <w:p>
      <w:pPr>
        <w:spacing w:after="0" w:line="28" w:lineRule="exact"/>
        <w:rPr>
          <w:rFonts w:ascii="Arial" w:cs="Arial" w:eastAsia="Arial" w:hAnsi="Arial"/>
          <w:sz w:val="14"/>
          <w:szCs w:val="14"/>
          <w:color w:val="auto"/>
        </w:rPr>
      </w:pPr>
    </w:p>
    <w:p>
      <w:pPr>
        <w:ind w:left="220" w:right="340"/>
        <w:spacing w:after="0" w:line="235" w:lineRule="auto"/>
        <w:rPr>
          <w:rFonts w:ascii="Arial" w:cs="Arial" w:eastAsia="Arial" w:hAnsi="Arial"/>
          <w:sz w:val="14"/>
          <w:szCs w:val="14"/>
          <w:color w:val="auto"/>
        </w:rPr>
      </w:pPr>
      <w:r>
        <w:rPr>
          <w:rFonts w:ascii="Arial" w:cs="Arial" w:eastAsia="Arial" w:hAnsi="Arial"/>
          <w:sz w:val="16"/>
          <w:szCs w:val="16"/>
          <w:color w:val="auto"/>
        </w:rPr>
        <w:t>a specific time horizon. The process of obtaining the PD is carried out considering three main components: (i) the risk observed at the portfolio level, (ii) the macroeconomic perspectives of the main countries where Credicorp operates and (iii) the individual risk of each loan, which It is measured through rating and scoring tools.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Group considers that a financial instrument is in default if it meets the following conditions, according to the type of asset:</w:t>
      </w:r>
    </w:p>
    <w:p>
      <w:pPr>
        <w:spacing w:after="0" w:line="166" w:lineRule="exact"/>
        <w:rPr>
          <w:sz w:val="20"/>
          <w:szCs w:val="20"/>
          <w:color w:val="auto"/>
        </w:rPr>
      </w:pPr>
    </w:p>
    <w:p>
      <w:pPr>
        <w:ind w:left="500" w:right="380" w:hanging="220"/>
        <w:spacing w:after="0" w:line="255" w:lineRule="auto"/>
        <w:tabs>
          <w:tab w:leader="none" w:pos="5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Consumer products, credit card and SME: if the client, at some certain point, presents arrears equal to or greater than 60 days and/or has operations that are refinanced, restructured, in pre-judicial, judicial proceedings or written off.</w:t>
      </w:r>
    </w:p>
    <w:p>
      <w:pPr>
        <w:spacing w:after="0" w:line="134" w:lineRule="exact"/>
        <w:rPr>
          <w:rFonts w:ascii="Arial" w:cs="Arial" w:eastAsia="Arial" w:hAnsi="Arial"/>
          <w:sz w:val="16"/>
          <w:szCs w:val="16"/>
          <w:color w:val="auto"/>
        </w:rPr>
      </w:pPr>
    </w:p>
    <w:p>
      <w:pPr>
        <w:ind w:left="500" w:right="500" w:hanging="220"/>
        <w:spacing w:after="0" w:line="255" w:lineRule="auto"/>
        <w:tabs>
          <w:tab w:leader="none" w:pos="5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Mortgage products: if the client, at some certain point, presents arrears equal to or greater than 120 days and/or has operations that are refinanced, restructured, in pre-judicial, judicial proceedings or written off.</w:t>
      </w:r>
    </w:p>
    <w:p>
      <w:pPr>
        <w:spacing w:after="0" w:line="134" w:lineRule="exact"/>
        <w:rPr>
          <w:rFonts w:ascii="Arial" w:cs="Arial" w:eastAsia="Arial" w:hAnsi="Arial"/>
          <w:sz w:val="16"/>
          <w:szCs w:val="16"/>
          <w:color w:val="auto"/>
        </w:rPr>
      </w:pPr>
    </w:p>
    <w:p>
      <w:pPr>
        <w:ind w:left="500" w:hanging="220"/>
        <w:spacing w:after="0" w:line="277" w:lineRule="auto"/>
        <w:tabs>
          <w:tab w:leader="none" w:pos="500" w:val="left"/>
        </w:tabs>
        <w:numPr>
          <w:ilvl w:val="1"/>
          <w:numId w:val="161"/>
        </w:numPr>
        <w:rPr>
          <w:rFonts w:ascii="Arial" w:cs="Arial" w:eastAsia="Arial" w:hAnsi="Arial"/>
          <w:sz w:val="14"/>
          <w:szCs w:val="14"/>
          <w:color w:val="auto"/>
        </w:rPr>
      </w:pPr>
      <w:r>
        <w:rPr>
          <w:rFonts w:ascii="Arial" w:cs="Arial" w:eastAsia="Arial" w:hAnsi="Arial"/>
          <w:sz w:val="14"/>
          <w:szCs w:val="14"/>
          <w:color w:val="auto"/>
        </w:rPr>
        <w:t>Commercial banking products: if the client, at some certain point, is in the Collections portfolio, or has a risk classification of Deficient, Doubtful or Loss, or has operations that are refinanced, in pre-judicial, judicial proceedings or written off. Also, a client can be considered as default if it shows signs of significant qualitative impairment. It should be noted that, for commercial clients with the highest loan position that are classified in default, the Risk Management performs an individual review to determine the expected credit loss in each case, which considers the knowledge of the specific situation of the client, the coverage of real guarantees, and the financial information available of the company.</w:t>
      </w:r>
    </w:p>
    <w:p>
      <w:pPr>
        <w:spacing w:after="0" w:line="121" w:lineRule="exact"/>
        <w:rPr>
          <w:rFonts w:ascii="Arial" w:cs="Arial" w:eastAsia="Arial" w:hAnsi="Arial"/>
          <w:sz w:val="14"/>
          <w:szCs w:val="14"/>
          <w:color w:val="auto"/>
        </w:rPr>
      </w:pPr>
    </w:p>
    <w:p>
      <w:pPr>
        <w:ind w:left="500" w:right="20" w:hanging="220"/>
        <w:spacing w:after="0" w:line="238" w:lineRule="auto"/>
        <w:tabs>
          <w:tab w:leader="none" w:pos="5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Investments: if the instrument has a default rating according to external rating agencies such as Fitch, Standard &amp; Poors or Moody's, or if it has an indicator of arrears equal to or greater than 90 days. In addition, an issuer can be considered as default if it shows signs of significant qualitative impairment or if it is in default according to the Commercial banking definition. When an issuer is classified as default, all its instruments are also classified as default, that is, in stage 3.</w:t>
      </w:r>
    </w:p>
    <w:p>
      <w:pPr>
        <w:spacing w:after="0" w:line="145" w:lineRule="exact"/>
        <w:rPr>
          <w:rFonts w:ascii="Arial" w:cs="Arial" w:eastAsia="Arial" w:hAnsi="Arial"/>
          <w:sz w:val="16"/>
          <w:szCs w:val="16"/>
          <w:color w:val="auto"/>
        </w:rPr>
      </w:pPr>
    </w:p>
    <w:p>
      <w:pPr>
        <w:ind w:left="220" w:hanging="220"/>
        <w:spacing w:after="0" w:line="255" w:lineRule="auto"/>
        <w:tabs>
          <w:tab w:leader="none" w:pos="2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Loss given default (LGD): this is a measurement which estimates the severity of the loss that would be incurred at the time of the default. It has two approaches in the estimate of the severity of the loss, according to the stage of the client:</w:t>
      </w:r>
    </w:p>
    <w:p>
      <w:pPr>
        <w:spacing w:after="0" w:line="134" w:lineRule="exact"/>
        <w:rPr>
          <w:rFonts w:ascii="Arial" w:cs="Arial" w:eastAsia="Arial" w:hAnsi="Arial"/>
          <w:sz w:val="16"/>
          <w:szCs w:val="16"/>
          <w:color w:val="auto"/>
        </w:rPr>
      </w:pPr>
    </w:p>
    <w:p>
      <w:pPr>
        <w:ind w:left="500" w:right="360" w:hanging="220"/>
        <w:spacing w:after="0" w:line="255" w:lineRule="auto"/>
        <w:tabs>
          <w:tab w:leader="none" w:pos="5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LGD workout: is the real loss of clients who reached the default stage. To calculate this parameter, the recoveries and costs of each of the operations are included (includes open and closed recovery processes).</w:t>
      </w:r>
    </w:p>
    <w:p>
      <w:pPr>
        <w:spacing w:after="0" w:line="134" w:lineRule="exact"/>
        <w:rPr>
          <w:rFonts w:ascii="Arial" w:cs="Arial" w:eastAsia="Arial" w:hAnsi="Arial"/>
          <w:sz w:val="16"/>
          <w:szCs w:val="16"/>
          <w:color w:val="auto"/>
        </w:rPr>
      </w:pPr>
    </w:p>
    <w:p>
      <w:pPr>
        <w:ind w:left="500" w:right="20" w:hanging="220"/>
        <w:spacing w:after="0" w:line="255" w:lineRule="auto"/>
        <w:tabs>
          <w:tab w:leader="none" w:pos="50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LGD ELBE (expected loss best estimate): this is the loss of the contracts in a default situation based on the time in default of the operation (the longer the time in default, the higher the level of loss of the operation).</w:t>
      </w:r>
    </w:p>
    <w:p>
      <w:pPr>
        <w:spacing w:after="0" w:line="134" w:lineRule="exact"/>
        <w:rPr>
          <w:rFonts w:ascii="Arial" w:cs="Arial" w:eastAsia="Arial" w:hAnsi="Arial"/>
          <w:sz w:val="16"/>
          <w:szCs w:val="16"/>
          <w:color w:val="auto"/>
        </w:rPr>
      </w:pPr>
    </w:p>
    <w:p>
      <w:pPr>
        <w:ind w:left="220" w:right="240" w:hanging="220"/>
        <w:spacing w:after="0" w:line="255" w:lineRule="auto"/>
        <w:tabs>
          <w:tab w:leader="none" w:pos="22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Exposure at Default (EAD): this is a measurement which estimates the exposure at the time of the client’s default, considering changes in future exposure, for example, in the case of prepayments and/or greater utilization of unused credit lines.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estimate of the risk parameters considers information regarding the actual conditions, as well as the projections of future macroeconomic events and conditions in three scenarios (base, optimistic and pessimistic), which are weighted to obtain the expected credit loss.</w:t>
      </w:r>
    </w:p>
    <w:p>
      <w:pPr>
        <w:spacing w:after="0" w:line="281"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36195</wp:posOffset>
            </wp:positionV>
            <wp:extent cx="7150735"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20"/>
          </w:cols>
          <w:pgMar w:left="1200" w:top="124" w:right="379" w:bottom="1440" w:gutter="0" w:footer="0" w:header="0"/>
        </w:sectPr>
      </w:pPr>
    </w:p>
    <w:bookmarkStart w:id="133" w:name="page134"/>
    <w:bookmarkEnd w:id="133"/>
    <w:p>
      <w:pPr>
        <w:ind w:right="60"/>
        <w:spacing w:after="0" w:line="242" w:lineRule="auto"/>
        <w:rPr>
          <w:sz w:val="20"/>
          <w:szCs w:val="20"/>
          <w:color w:val="auto"/>
        </w:rPr>
      </w:pPr>
      <w:r>
        <w:rPr>
          <w:rFonts w:ascii="Arial" w:cs="Arial" w:eastAsia="Arial" w:hAnsi="Arial"/>
          <w:sz w:val="16"/>
          <w:szCs w:val="16"/>
          <w:color w:val="auto"/>
        </w:rPr>
        <w:t>The fundamental difference between the expected credit loss of a loan allocated in stage 1 or stage 2 is the PD’s time horizon. The estimates in stage 1 use a PD with a maximum time horizon of 12 months, while those in stage 2 use a PD measured for the remaining lifetime of the instrument. The estimates in stage 3 are carried out based on an LGD “best estimate”.</w:t>
      </w:r>
    </w:p>
    <w:p>
      <w:pPr>
        <w:spacing w:after="0" w:line="14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For those portfolios that are not material and/or do not have specific credit scoring models, the option was to extrapolate the expected credit loss ratio of portfolios with comparable characteristics.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main methodological calibrations made in the internal credit risk models during 2024 were:</w:t>
      </w:r>
    </w:p>
    <w:p>
      <w:pPr>
        <w:spacing w:after="0" w:line="166" w:lineRule="exact"/>
        <w:rPr>
          <w:sz w:val="20"/>
          <w:szCs w:val="20"/>
          <w:color w:val="auto"/>
        </w:rPr>
      </w:pPr>
    </w:p>
    <w:p>
      <w:pPr>
        <w:ind w:left="220" w:right="100" w:hanging="220"/>
        <w:spacing w:after="0" w:line="255" w:lineRule="auto"/>
        <w:tabs>
          <w:tab w:leader="none" w:pos="2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PD models: in accordance with our internal governance scheme, we continued monitoring the performance of PD models throughout the year and implemented the necessary calibrations to maintain an adequate measurement of the credit risk of our loan portfolio.</w:t>
      </w:r>
    </w:p>
    <w:p>
      <w:pPr>
        <w:spacing w:after="0" w:line="134" w:lineRule="exact"/>
        <w:rPr>
          <w:rFonts w:ascii="Arial" w:cs="Arial" w:eastAsia="Arial" w:hAnsi="Arial"/>
          <w:sz w:val="16"/>
          <w:szCs w:val="16"/>
          <w:color w:val="auto"/>
        </w:rPr>
      </w:pPr>
    </w:p>
    <w:p>
      <w:pPr>
        <w:ind w:left="220" w:right="200" w:hanging="220"/>
        <w:spacing w:after="0" w:line="255" w:lineRule="auto"/>
        <w:tabs>
          <w:tab w:leader="none" w:pos="2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LGD models: in accordance with our internal governance scheme, we continued monitoring the performance of LGD models throughout the year and implemented the necessary calibrations to maintain an adequate measurement of the credit risk of our loan portfolio.</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Prospective information -</w:t>
      </w:r>
    </w:p>
    <w:p>
      <w:pPr>
        <w:spacing w:after="0" w:line="166"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The measurement of the expected credit loss for each stage and the evaluation of significant increase in credit risk consider information on previous events and current conditions, as well as reasonable projections based on future events and macroeconomic conditions.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For the estimate of the risk parameters (PD, LGD, EAD), used in the calculation of the expected credit loss in stages 1 and 2, the significance of the macroeconomic variables (or their variations) that have the greatest influence on each portfolio was tested which provide a better prospective and systemic vision to the estimate, based on econometric techniques. Each macroeconomic scenario used in the estimate of the expected credit loss considers projections of relevant macroeconomic variables, such as the gross domestic product (GDP), terms of trade, inflation rate, among others, for a period of 3 years and a long-term projection.</w:t>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The expected credit loss is a weighted estimate that considers three future macroeconomic scenarios (baseline, optimistic, pessimistic). These scenarios, as well as the probability of occurrence of each one, are projections provided by the internal Economic Studies team and are approved by Senior Management; these projections are made for the main countries where Credicorp operates. The design of the scenarios is reviewed quarterly. All scenarios and their respective probabilities apply to portfolios subject to expected credit loss.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Changes from one stage to another -</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classification of an instrument as stage 1 or stage 2 depends on the concept of "significant increase in credit risk" at the reporting date compared to the origin date. This classification is updated monthly. As the IFRS 9 states, this classification depends on the following criteria:</w:t>
      </w:r>
    </w:p>
    <w:p>
      <w:pPr>
        <w:spacing w:after="0" w:line="134" w:lineRule="exact"/>
        <w:rPr>
          <w:sz w:val="20"/>
          <w:szCs w:val="20"/>
          <w:color w:val="auto"/>
        </w:rPr>
      </w:pPr>
    </w:p>
    <w:p>
      <w:pPr>
        <w:ind w:left="220" w:hanging="220"/>
        <w:spacing w:after="0"/>
        <w:tabs>
          <w:tab w:leader="none" w:pos="2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 account is classified in stage 2 if it has more than 30 days in arrears.</w:t>
      </w:r>
    </w:p>
    <w:p>
      <w:pPr>
        <w:spacing w:after="0" w:line="5" w:lineRule="exact"/>
        <w:rPr>
          <w:rFonts w:ascii="Arial" w:cs="Arial" w:eastAsia="Arial" w:hAnsi="Arial"/>
          <w:sz w:val="16"/>
          <w:szCs w:val="16"/>
          <w:color w:val="auto"/>
        </w:rPr>
      </w:pPr>
    </w:p>
    <w:p>
      <w:pPr>
        <w:ind w:left="220" w:right="180" w:hanging="220"/>
        <w:spacing w:after="0" w:line="228" w:lineRule="auto"/>
        <w:tabs>
          <w:tab w:leader="none" w:pos="2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Additionally, significant credit risk increase thresholds were established based on absolute and relative thresholds that depend on the risk level in which the instrument was originated. The thresholds differ for each of the portfolios considered.</w:t>
      </w:r>
    </w:p>
    <w:p>
      <w:pPr>
        <w:ind w:left="220" w:right="40" w:hanging="220"/>
        <w:spacing w:after="0" w:line="238" w:lineRule="auto"/>
        <w:tabs>
          <w:tab w:leader="none" w:pos="2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Additional qualitative reviews are carried out based on the risk segmentation used in the management of Retail Banking and an individual review is carried out in Wholesale Banking.</w:t>
      </w:r>
    </w:p>
    <w:p>
      <w:pPr>
        <w:spacing w:after="0" w:line="293"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36195</wp:posOffset>
            </wp:positionV>
            <wp:extent cx="7150735"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40"/>
          </w:cols>
          <w:pgMar w:left="1200" w:top="124" w:right="35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color w:val="auto"/>
        </w:rPr>
        <w:t>Additionally, all those accounts classified as default at the reporting date, according to the definition used by the Group, are considered as stage 3.</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Evaluations of significant increase in credit risk from initial recognition and credit impairment are carried out independently on each reporting date.</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Wholesale Banking assets can be moved in both directions from one stage to another; in this sense, a financial asset that migrated to stage 2 will return to stage 1 if its credit risk did not increase significantly from its initial recognition until a subsequent reporting period. Likewise, an asset that is in stage 3 will return to stage 2 if the asset is no longer considered to be impaired (according to our definition of default) for a certain number of subsequent reporting periods.</w:t>
      </w:r>
    </w:p>
    <w:p>
      <w:pPr>
        <w:spacing w:after="0" w:line="14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On the other hand, Retail Banking assets that migrated to stage 2 will return to stage 1 if their credit risk has not increased significantly since their initial recognition during a certain number of subsequent reporting periods (cure period). In the case of assets allocated in stage 3, these will not return to stage 2 except for refinanced loans, which will return to stage 2 if good payment behavior is demonstrated during a certain number of subsequent reporting periods.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w:t>
      </w:r>
    </w:p>
    <w:p>
      <w:pPr>
        <w:spacing w:after="0" w:line="166"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For the instruments in stage 2 or 3, the allowance for loan losses will cover the expected credit loss during the expected time of the remaining lifetime of the instrument. For most instruments, the expected life is limited to the remaining contractual life, adjusted by expected prepayments. In the case of revolving products, a statistical analysis was carried out to determine what would be the expected life period.</w:t>
      </w:r>
    </w:p>
    <w:p>
      <w:pPr>
        <w:spacing w:after="0" w:line="293"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36195</wp:posOffset>
            </wp:positionV>
            <wp:extent cx="7150735"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40"/>
          </w:cols>
          <w:pgMar w:left="1200" w:top="124" w:right="359" w:bottom="1440" w:gutter="0" w:footer="0" w:header="0"/>
        </w:sectPr>
      </w:pPr>
    </w:p>
    <w:bookmarkStart w:id="135" w:name="page136"/>
    <w:bookmarkEnd w:id="135"/>
    <w:p>
      <w:pPr>
        <w:jc w:val="both"/>
        <w:ind w:left="880" w:right="40"/>
        <w:spacing w:after="0" w:line="294" w:lineRule="auto"/>
        <w:rPr>
          <w:sz w:val="20"/>
          <w:szCs w:val="20"/>
          <w:color w:val="auto"/>
        </w:rPr>
      </w:pPr>
      <w:r>
        <w:rPr>
          <w:rFonts w:ascii="Arial" w:cs="Arial" w:eastAsia="Arial" w:hAnsi="Arial"/>
          <w:sz w:val="14"/>
          <w:szCs w:val="14"/>
          <w:color w:val="auto"/>
        </w:rPr>
        <w:t>The following is a summary of the direct loans (without interest) classified into three important groups and their respective allowance for loan losses for each type of loan; it is important to note that impaired loans are loans in default that are in stage 3. Additionally, it should be noted that, in accordance with IFRS 7, the total balance of the loan is considered overdue when the debtor has failed to make a payment at its contractual maturity.</w:t>
      </w:r>
    </w:p>
    <w:p>
      <w:pPr>
        <w:spacing w:after="0" w:line="110" w:lineRule="exact"/>
        <w:rPr>
          <w:sz w:val="20"/>
          <w:szCs w:val="20"/>
          <w:color w:val="auto"/>
        </w:rPr>
      </w:pPr>
    </w:p>
    <w:p>
      <w:pPr>
        <w:ind w:left="1160" w:right="120" w:hanging="326"/>
        <w:spacing w:after="0" w:line="237" w:lineRule="auto"/>
        <w:tabs>
          <w:tab w:leader="none" w:pos="11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Loans neither past due nor impaired, which comprise those direct loans which currently do not have characteristics of delinquency, and which are not in default.</w:t>
      </w:r>
    </w:p>
    <w:p>
      <w:pPr>
        <w:ind w:left="1160" w:right="20" w:hanging="326"/>
        <w:spacing w:after="0" w:line="228" w:lineRule="auto"/>
        <w:tabs>
          <w:tab w:leader="none" w:pos="11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Past due but not impaired loans, which comprise all of the direct loans of customers who are not in default but have failed to make a payment at its contractual maturity, according to IFRS 7.</w:t>
      </w:r>
    </w:p>
    <w:p>
      <w:pPr>
        <w:ind w:left="1160" w:hanging="326"/>
        <w:spacing w:after="0"/>
        <w:tabs>
          <w:tab w:leader="none" w:pos="11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Impaired loans, those direct loans considered to be in stage 3 or default, as detailed in Note 30.1(c).</w:t>
      </w: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2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Commercial loans</w:t>
            </w:r>
          </w:p>
        </w:tc>
        <w:tc>
          <w:tcPr>
            <w:tcW w:w="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00" w:type="dxa"/>
            <w:vAlign w:val="bottom"/>
            <w:gridSpan w:val="2"/>
            <w:vMerge w:val="continue"/>
          </w:tcPr>
          <w:p>
            <w:pPr>
              <w:spacing w:after="0"/>
              <w:rPr>
                <w:sz w:val="15"/>
                <w:szCs w:val="15"/>
                <w:color w:val="auto"/>
              </w:rPr>
            </w:pPr>
          </w:p>
        </w:tc>
        <w:tc>
          <w:tcPr>
            <w:tcW w:w="92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Stage 1</w:t>
            </w:r>
          </w:p>
        </w:tc>
        <w:tc>
          <w:tcPr>
            <w:tcW w:w="980" w:type="dxa"/>
            <w:vAlign w:val="bottom"/>
            <w:gridSpan w:val="3"/>
          </w:tcPr>
          <w:p>
            <w:pPr>
              <w:ind w:left="60"/>
              <w:spacing w:after="0" w:line="178" w:lineRule="exact"/>
              <w:rPr>
                <w:sz w:val="20"/>
                <w:szCs w:val="20"/>
                <w:color w:val="auto"/>
              </w:rPr>
            </w:pPr>
            <w:r>
              <w:rPr>
                <w:rFonts w:ascii="Arial" w:cs="Arial" w:eastAsia="Arial" w:hAnsi="Arial"/>
                <w:sz w:val="16"/>
                <w:szCs w:val="16"/>
                <w:b w:val="1"/>
                <w:bCs w:val="1"/>
                <w:color w:val="auto"/>
              </w:rPr>
              <w:t>Stage 2</w:t>
            </w:r>
          </w:p>
        </w:tc>
        <w:tc>
          <w:tcPr>
            <w:tcW w:w="1100" w:type="dxa"/>
            <w:vAlign w:val="bottom"/>
            <w:gridSpan w:val="3"/>
          </w:tcPr>
          <w:p>
            <w:pPr>
              <w:ind w:left="60"/>
              <w:spacing w:after="0" w:line="178" w:lineRule="exact"/>
              <w:rPr>
                <w:sz w:val="20"/>
                <w:szCs w:val="20"/>
                <w:color w:val="auto"/>
              </w:rPr>
            </w:pPr>
            <w:r>
              <w:rPr>
                <w:rFonts w:ascii="Arial" w:cs="Arial" w:eastAsia="Arial" w:hAnsi="Arial"/>
                <w:sz w:val="16"/>
                <w:szCs w:val="16"/>
                <w:b w:val="1"/>
                <w:bCs w:val="1"/>
                <w:color w:val="auto"/>
              </w:rPr>
              <w:t>Stage 3</w:t>
            </w:r>
          </w:p>
        </w:tc>
        <w:tc>
          <w:tcPr>
            <w:tcW w:w="940" w:type="dxa"/>
            <w:vAlign w:val="bottom"/>
            <w:gridSpan w:val="2"/>
          </w:tcPr>
          <w:p>
            <w:pPr>
              <w:ind w:left="60"/>
              <w:spacing w:after="0" w:line="178"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5"/>
                <w:szCs w:val="15"/>
                <w:color w:val="auto"/>
              </w:rPr>
            </w:pPr>
          </w:p>
        </w:tc>
        <w:tc>
          <w:tcPr>
            <w:tcW w:w="90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Stage 1</w:t>
            </w:r>
          </w:p>
        </w:tc>
        <w:tc>
          <w:tcPr>
            <w:tcW w:w="900" w:type="dxa"/>
            <w:vAlign w:val="bottom"/>
            <w:gridSpan w:val="3"/>
          </w:tcPr>
          <w:p>
            <w:pPr>
              <w:ind w:left="60"/>
              <w:spacing w:after="0" w:line="178" w:lineRule="exact"/>
              <w:rPr>
                <w:sz w:val="20"/>
                <w:szCs w:val="20"/>
                <w:color w:val="auto"/>
              </w:rPr>
            </w:pPr>
            <w:r>
              <w:rPr>
                <w:rFonts w:ascii="Arial" w:cs="Arial" w:eastAsia="Arial" w:hAnsi="Arial"/>
                <w:sz w:val="16"/>
                <w:szCs w:val="16"/>
                <w:b w:val="1"/>
                <w:bCs w:val="1"/>
                <w:color w:val="auto"/>
              </w:rPr>
              <w:t>Stage 2</w:t>
            </w:r>
          </w:p>
        </w:tc>
        <w:tc>
          <w:tcPr>
            <w:tcW w:w="960" w:type="dxa"/>
            <w:vAlign w:val="bottom"/>
            <w:gridSpan w:val="3"/>
          </w:tcPr>
          <w:p>
            <w:pPr>
              <w:ind w:left="60"/>
              <w:spacing w:after="0" w:line="178" w:lineRule="exact"/>
              <w:rPr>
                <w:sz w:val="20"/>
                <w:szCs w:val="20"/>
                <w:color w:val="auto"/>
              </w:rPr>
            </w:pPr>
            <w:r>
              <w:rPr>
                <w:rFonts w:ascii="Arial" w:cs="Arial" w:eastAsia="Arial" w:hAnsi="Arial"/>
                <w:sz w:val="16"/>
                <w:szCs w:val="16"/>
                <w:b w:val="1"/>
                <w:bCs w:val="1"/>
                <w:color w:val="auto"/>
              </w:rPr>
              <w:t>Stage 3</w:t>
            </w:r>
          </w:p>
        </w:tc>
        <w:tc>
          <w:tcPr>
            <w:tcW w:w="88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Neither past due nor impaired</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67,303,201</w:t>
            </w:r>
          </w:p>
        </w:tc>
        <w:tc>
          <w:tcPr>
            <w:tcW w:w="9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3,509,158</w:t>
            </w:r>
          </w:p>
        </w:tc>
        <w:tc>
          <w:tcPr>
            <w:tcW w:w="6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70,812,359</w:t>
            </w:r>
          </w:p>
        </w:tc>
        <w:tc>
          <w:tcPr>
            <w:tcW w:w="140" w:type="dxa"/>
            <w:vAlign w:val="bottom"/>
          </w:tcPr>
          <w:p>
            <w:pPr>
              <w:spacing w:after="0"/>
              <w:rPr>
                <w:sz w:val="15"/>
                <w:szCs w:val="15"/>
                <w:color w:val="auto"/>
              </w:rPr>
            </w:pPr>
          </w:p>
        </w:tc>
        <w:tc>
          <w:tcPr>
            <w:tcW w:w="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65,012,679</w:t>
            </w:r>
          </w:p>
        </w:tc>
        <w:tc>
          <w:tcPr>
            <w:tcW w:w="40" w:type="dxa"/>
            <w:vAlign w:val="bottom"/>
          </w:tcPr>
          <w:p>
            <w:pPr>
              <w:spacing w:after="0"/>
              <w:rPr>
                <w:sz w:val="15"/>
                <w:szCs w:val="15"/>
                <w:color w:val="auto"/>
              </w:rPr>
            </w:pPr>
          </w:p>
        </w:tc>
        <w:tc>
          <w:tcPr>
            <w:tcW w:w="9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4,076,777</w:t>
            </w:r>
          </w:p>
        </w:tc>
        <w:tc>
          <w:tcPr>
            <w:tcW w:w="60" w:type="dxa"/>
            <w:vAlign w:val="bottom"/>
          </w:tcPr>
          <w:p>
            <w:pPr>
              <w:spacing w:after="0"/>
              <w:rPr>
                <w:sz w:val="15"/>
                <w:szCs w:val="15"/>
                <w:color w:val="auto"/>
              </w:rPr>
            </w:pPr>
          </w:p>
        </w:tc>
        <w:tc>
          <w:tcPr>
            <w:tcW w:w="9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69,089,456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Past due but not impaired</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612,574</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468,459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1,081,033</w:t>
            </w:r>
          </w:p>
        </w:tc>
        <w:tc>
          <w:tcPr>
            <w:tcW w:w="9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937,720</w:t>
            </w:r>
          </w:p>
        </w:tc>
        <w:tc>
          <w:tcPr>
            <w:tcW w:w="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693,084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1,630,804</w:t>
            </w:r>
          </w:p>
        </w:tc>
        <w:tc>
          <w:tcPr>
            <w:tcW w:w="0" w:type="dxa"/>
            <w:vAlign w:val="bottom"/>
          </w:tcPr>
          <w:p>
            <w:pPr>
              <w:spacing w:after="0"/>
              <w:rPr>
                <w:sz w:val="1"/>
                <w:szCs w:val="1"/>
                <w:color w:val="auto"/>
              </w:rPr>
            </w:pPr>
          </w:p>
        </w:tc>
      </w:tr>
      <w:tr>
        <w:trPr>
          <w:trHeight w:val="201"/>
        </w:trPr>
        <w:tc>
          <w:tcPr>
            <w:tcW w:w="2700" w:type="dxa"/>
            <w:vAlign w:val="bottom"/>
            <w:gridSpan w:val="2"/>
          </w:tcPr>
          <w:p>
            <w:pPr>
              <w:spacing w:after="0"/>
              <w:rPr>
                <w:sz w:val="20"/>
                <w:szCs w:val="20"/>
                <w:color w:val="auto"/>
              </w:rPr>
            </w:pPr>
            <w:r>
              <w:rPr>
                <w:rFonts w:ascii="Arial" w:cs="Arial" w:eastAsia="Arial" w:hAnsi="Arial"/>
                <w:sz w:val="16"/>
                <w:szCs w:val="16"/>
                <w:color w:val="auto"/>
              </w:rPr>
              <w:t>Impaired</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5,028,223</w:t>
            </w:r>
          </w:p>
        </w:tc>
        <w:tc>
          <w:tcPr>
            <w:tcW w:w="1080" w:type="dxa"/>
            <w:vAlign w:val="bottom"/>
            <w:gridSpan w:val="3"/>
          </w:tcPr>
          <w:p>
            <w:pPr>
              <w:jc w:val="right"/>
              <w:ind w:right="140"/>
              <w:spacing w:after="0"/>
              <w:rPr>
                <w:sz w:val="20"/>
                <w:szCs w:val="20"/>
                <w:color w:val="auto"/>
              </w:rPr>
            </w:pPr>
            <w:r>
              <w:rPr>
                <w:rFonts w:ascii="Arial" w:cs="Arial" w:eastAsia="Arial" w:hAnsi="Arial"/>
                <w:sz w:val="16"/>
                <w:szCs w:val="16"/>
                <w:color w:val="auto"/>
              </w:rPr>
              <w:t>5,028,223</w:t>
            </w:r>
          </w:p>
        </w:tc>
        <w:tc>
          <w:tcPr>
            <w:tcW w:w="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6,100,142</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6,100,142</w:t>
            </w:r>
          </w:p>
        </w:tc>
        <w:tc>
          <w:tcPr>
            <w:tcW w:w="0" w:type="dxa"/>
            <w:vAlign w:val="bottom"/>
          </w:tcPr>
          <w:p>
            <w:pPr>
              <w:spacing w:after="0"/>
              <w:rPr>
                <w:sz w:val="1"/>
                <w:szCs w:val="1"/>
                <w:color w:val="auto"/>
              </w:rPr>
            </w:pPr>
          </w:p>
        </w:tc>
      </w:tr>
      <w:tr>
        <w:trPr>
          <w:trHeight w:val="152"/>
        </w:trPr>
        <w:tc>
          <w:tcPr>
            <w:tcW w:w="2700" w:type="dxa"/>
            <w:vAlign w:val="bottom"/>
            <w:gridSpan w:val="2"/>
          </w:tcPr>
          <w:p>
            <w:pPr>
              <w:spacing w:after="0" w:line="152" w:lineRule="exact"/>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67,915,775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3,977,617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5,028,223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76,921,615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65,950,399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4,769,861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6,100,142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76,820,402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700" w:type="dxa"/>
            <w:vAlign w:val="bottom"/>
            <w:gridSpan w:val="2"/>
          </w:tcPr>
          <w:p>
            <w:pPr>
              <w:spacing w:after="0"/>
              <w:rPr>
                <w:sz w:val="20"/>
                <w:szCs w:val="20"/>
                <w:color w:val="auto"/>
              </w:rPr>
            </w:pPr>
            <w:r>
              <w:rPr>
                <w:rFonts w:ascii="Arial" w:cs="Arial" w:eastAsia="Arial" w:hAnsi="Arial"/>
                <w:sz w:val="16"/>
                <w:szCs w:val="16"/>
                <w:color w:val="auto"/>
              </w:rPr>
              <w:t>Less: Allowance for loan losses</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493,130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291,963</w:t>
            </w:r>
          </w:p>
        </w:tc>
        <w:tc>
          <w:tcPr>
            <w:tcW w:w="40" w:type="dxa"/>
            <w:vAlign w:val="bottom"/>
          </w:tcPr>
          <w:p>
            <w:pPr>
              <w:spacing w:after="0"/>
              <w:rPr>
                <w:sz w:val="16"/>
                <w:szCs w:val="16"/>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2,159,115</w:t>
            </w:r>
          </w:p>
        </w:tc>
        <w:tc>
          <w:tcPr>
            <w:tcW w:w="1080" w:type="dxa"/>
            <w:vAlign w:val="bottom"/>
            <w:gridSpan w:val="3"/>
          </w:tcPr>
          <w:p>
            <w:pPr>
              <w:jc w:val="right"/>
              <w:ind w:right="140"/>
              <w:spacing w:after="0"/>
              <w:rPr>
                <w:sz w:val="20"/>
                <w:szCs w:val="20"/>
                <w:color w:val="auto"/>
              </w:rPr>
            </w:pPr>
            <w:r>
              <w:rPr>
                <w:rFonts w:ascii="Arial" w:cs="Arial" w:eastAsia="Arial" w:hAnsi="Arial"/>
                <w:sz w:val="16"/>
                <w:szCs w:val="16"/>
                <w:color w:val="auto"/>
              </w:rPr>
              <w:t>2,944,208</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489,706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394,868</w:t>
            </w:r>
          </w:p>
        </w:tc>
        <w:tc>
          <w:tcPr>
            <w:tcW w:w="4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2,330,978</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3,215,552</w:t>
            </w:r>
          </w:p>
        </w:tc>
        <w:tc>
          <w:tcPr>
            <w:tcW w:w="0" w:type="dxa"/>
            <w:vAlign w:val="bottom"/>
          </w:tcPr>
          <w:p>
            <w:pPr>
              <w:spacing w:after="0"/>
              <w:rPr>
                <w:sz w:val="1"/>
                <w:szCs w:val="1"/>
                <w:color w:val="auto"/>
              </w:rPr>
            </w:pP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 net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67,422,645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3,685,654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2,869,108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73,977,407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65,460,693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4,374,993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3,769,164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73,604,850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Residential mortgage loans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Stage 1</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2</w:t>
            </w: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3</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w:t>
            </w: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auto"/>
              </w:rPr>
              <w:t>Stage 1</w:t>
            </w:r>
          </w:p>
        </w:tc>
        <w:tc>
          <w:tcPr>
            <w:tcW w:w="90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2</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3</w:t>
            </w: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r>
      <w:tr>
        <w:trPr>
          <w:trHeight w:val="152"/>
        </w:trPr>
        <w:tc>
          <w:tcPr>
            <w:tcW w:w="2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Neither past due nor impaired</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18,451,482</w:t>
            </w:r>
          </w:p>
        </w:tc>
        <w:tc>
          <w:tcPr>
            <w:tcW w:w="9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3,819,271</w:t>
            </w:r>
          </w:p>
        </w:tc>
        <w:tc>
          <w:tcPr>
            <w:tcW w:w="6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22,270,753</w:t>
            </w:r>
          </w:p>
        </w:tc>
        <w:tc>
          <w:tcPr>
            <w:tcW w:w="60" w:type="dxa"/>
            <w:vAlign w:val="bottom"/>
          </w:tcPr>
          <w:p>
            <w:pPr>
              <w:spacing w:after="0"/>
              <w:rPr>
                <w:sz w:val="15"/>
                <w:szCs w:val="15"/>
                <w:color w:val="auto"/>
              </w:rPr>
            </w:pP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18,590,193</w:t>
            </w:r>
          </w:p>
        </w:tc>
        <w:tc>
          <w:tcPr>
            <w:tcW w:w="40" w:type="dxa"/>
            <w:vAlign w:val="bottom"/>
          </w:tcPr>
          <w:p>
            <w:pPr>
              <w:spacing w:after="0"/>
              <w:rPr>
                <w:sz w:val="15"/>
                <w:szCs w:val="15"/>
                <w:color w:val="auto"/>
              </w:rPr>
            </w:pPr>
          </w:p>
        </w:tc>
        <w:tc>
          <w:tcPr>
            <w:tcW w:w="9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2,952,908</w:t>
            </w:r>
          </w:p>
        </w:tc>
        <w:tc>
          <w:tcPr>
            <w:tcW w:w="60" w:type="dxa"/>
            <w:vAlign w:val="bottom"/>
          </w:tcPr>
          <w:p>
            <w:pPr>
              <w:spacing w:after="0"/>
              <w:rPr>
                <w:sz w:val="15"/>
                <w:szCs w:val="15"/>
                <w:color w:val="auto"/>
              </w:rPr>
            </w:pPr>
          </w:p>
        </w:tc>
        <w:tc>
          <w:tcPr>
            <w:tcW w:w="9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21,543,101</w:t>
            </w:r>
          </w:p>
        </w:tc>
        <w:tc>
          <w:tcPr>
            <w:tcW w:w="20" w:type="dxa"/>
            <w:vAlign w:val="bottom"/>
          </w:tcPr>
          <w:p>
            <w:pPr>
              <w:spacing w:after="0"/>
              <w:rPr>
                <w:sz w:val="15"/>
                <w:szCs w:val="15"/>
                <w:color w:val="auto"/>
              </w:rPr>
            </w:pP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Past due but not impaired</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505,016</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672,405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1,177,421</w:t>
            </w:r>
          </w:p>
        </w:tc>
        <w:tc>
          <w:tcPr>
            <w:tcW w:w="9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559,877</w:t>
            </w:r>
          </w:p>
        </w:tc>
        <w:tc>
          <w:tcPr>
            <w:tcW w:w="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605,193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1,165,070</w:t>
            </w:r>
          </w:p>
        </w:tc>
      </w:tr>
      <w:tr>
        <w:trPr>
          <w:trHeight w:val="201"/>
        </w:trPr>
        <w:tc>
          <w:tcPr>
            <w:tcW w:w="2700" w:type="dxa"/>
            <w:vAlign w:val="bottom"/>
            <w:gridSpan w:val="2"/>
          </w:tcPr>
          <w:p>
            <w:pPr>
              <w:spacing w:after="0"/>
              <w:rPr>
                <w:sz w:val="20"/>
                <w:szCs w:val="20"/>
                <w:color w:val="auto"/>
              </w:rPr>
            </w:pPr>
            <w:r>
              <w:rPr>
                <w:rFonts w:ascii="Arial" w:cs="Arial" w:eastAsia="Arial" w:hAnsi="Arial"/>
                <w:sz w:val="16"/>
                <w:szCs w:val="16"/>
                <w:color w:val="auto"/>
              </w:rPr>
              <w:t>Impaired</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1,643,883</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1,643,883</w:t>
            </w: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1,468,747</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1,468,747</w:t>
            </w:r>
          </w:p>
        </w:tc>
      </w:tr>
      <w:tr>
        <w:trPr>
          <w:trHeight w:val="152"/>
        </w:trPr>
        <w:tc>
          <w:tcPr>
            <w:tcW w:w="2700" w:type="dxa"/>
            <w:vAlign w:val="bottom"/>
            <w:gridSpan w:val="2"/>
          </w:tcPr>
          <w:p>
            <w:pPr>
              <w:spacing w:after="0" w:line="152" w:lineRule="exact"/>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18,956,498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4,491,676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1,643,883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25,092,057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19,150,070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3,558,101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1,468,747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24,176,918</w:t>
            </w:r>
          </w:p>
        </w:tc>
        <w:tc>
          <w:tcPr>
            <w:tcW w:w="20" w:type="dxa"/>
            <w:vAlign w:val="bottom"/>
          </w:tcPr>
          <w:p>
            <w:pPr>
              <w:spacing w:after="0"/>
              <w:rPr>
                <w:sz w:val="13"/>
                <w:szCs w:val="13"/>
                <w:color w:val="auto"/>
              </w:rPr>
            </w:pPr>
          </w:p>
        </w:tc>
      </w:tr>
      <w:tr>
        <w:trPr>
          <w:trHeight w:val="193"/>
        </w:trPr>
        <w:tc>
          <w:tcPr>
            <w:tcW w:w="2700" w:type="dxa"/>
            <w:vAlign w:val="bottom"/>
            <w:gridSpan w:val="2"/>
          </w:tcPr>
          <w:p>
            <w:pPr>
              <w:spacing w:after="0"/>
              <w:rPr>
                <w:sz w:val="20"/>
                <w:szCs w:val="20"/>
                <w:color w:val="auto"/>
              </w:rPr>
            </w:pPr>
            <w:r>
              <w:rPr>
                <w:rFonts w:ascii="Arial" w:cs="Arial" w:eastAsia="Arial" w:hAnsi="Arial"/>
                <w:sz w:val="16"/>
                <w:szCs w:val="16"/>
                <w:color w:val="auto"/>
              </w:rPr>
              <w:t>Less: Allowance for loan losses</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66,260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168,188</w:t>
            </w:r>
          </w:p>
        </w:tc>
        <w:tc>
          <w:tcPr>
            <w:tcW w:w="40" w:type="dxa"/>
            <w:vAlign w:val="bottom"/>
          </w:tcPr>
          <w:p>
            <w:pPr>
              <w:spacing w:after="0"/>
              <w:rPr>
                <w:sz w:val="16"/>
                <w:szCs w:val="16"/>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819,671</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1,054,119</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54,102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121,257</w:t>
            </w:r>
          </w:p>
        </w:tc>
        <w:tc>
          <w:tcPr>
            <w:tcW w:w="4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785,261</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960,620</w:t>
            </w: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 net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18,890,238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4,323,488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824,212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24,037,938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19,095,968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3,436,844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683,486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23,216,298</w:t>
            </w:r>
          </w:p>
        </w:tc>
        <w:tc>
          <w:tcPr>
            <w:tcW w:w="20" w:type="dxa"/>
            <w:vAlign w:val="bottom"/>
          </w:tcPr>
          <w:p>
            <w:pPr>
              <w:spacing w:after="0"/>
              <w:rPr>
                <w:sz w:val="15"/>
                <w:szCs w:val="15"/>
                <w:color w:val="auto"/>
              </w:rPr>
            </w:pPr>
          </w:p>
        </w:tc>
      </w:tr>
    </w:tbl>
    <w:p>
      <w:pPr>
        <w:spacing w:after="0" w:line="170"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Microbusiness loans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Stage 1</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2</w:t>
            </w: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3</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w:t>
            </w: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auto"/>
              </w:rPr>
              <w:t>Stage 1</w:t>
            </w:r>
          </w:p>
        </w:tc>
        <w:tc>
          <w:tcPr>
            <w:tcW w:w="90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2</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3</w:t>
            </w: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r>
      <w:tr>
        <w:trPr>
          <w:trHeight w:val="152"/>
        </w:trPr>
        <w:tc>
          <w:tcPr>
            <w:tcW w:w="2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Neither past due nor impaired</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16,589,516</w:t>
            </w:r>
          </w:p>
        </w:tc>
        <w:tc>
          <w:tcPr>
            <w:tcW w:w="9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3,670,678</w:t>
            </w:r>
          </w:p>
        </w:tc>
        <w:tc>
          <w:tcPr>
            <w:tcW w:w="6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20,260,194</w:t>
            </w:r>
          </w:p>
        </w:tc>
        <w:tc>
          <w:tcPr>
            <w:tcW w:w="60" w:type="dxa"/>
            <w:vAlign w:val="bottom"/>
          </w:tcPr>
          <w:p>
            <w:pPr>
              <w:spacing w:after="0"/>
              <w:rPr>
                <w:sz w:val="15"/>
                <w:szCs w:val="15"/>
                <w:color w:val="auto"/>
              </w:rPr>
            </w:pP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15,728,517</w:t>
            </w:r>
          </w:p>
        </w:tc>
        <w:tc>
          <w:tcPr>
            <w:tcW w:w="40" w:type="dxa"/>
            <w:vAlign w:val="bottom"/>
          </w:tcPr>
          <w:p>
            <w:pPr>
              <w:spacing w:after="0"/>
              <w:rPr>
                <w:sz w:val="15"/>
                <w:szCs w:val="15"/>
                <w:color w:val="auto"/>
              </w:rPr>
            </w:pPr>
          </w:p>
        </w:tc>
        <w:tc>
          <w:tcPr>
            <w:tcW w:w="9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3,862,859</w:t>
            </w:r>
          </w:p>
        </w:tc>
        <w:tc>
          <w:tcPr>
            <w:tcW w:w="60" w:type="dxa"/>
            <w:vAlign w:val="bottom"/>
          </w:tcPr>
          <w:p>
            <w:pPr>
              <w:spacing w:after="0"/>
              <w:rPr>
                <w:sz w:val="15"/>
                <w:szCs w:val="15"/>
                <w:color w:val="auto"/>
              </w:rPr>
            </w:pPr>
          </w:p>
        </w:tc>
        <w:tc>
          <w:tcPr>
            <w:tcW w:w="9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19,591,376</w:t>
            </w:r>
          </w:p>
        </w:tc>
        <w:tc>
          <w:tcPr>
            <w:tcW w:w="20" w:type="dxa"/>
            <w:vAlign w:val="bottom"/>
          </w:tcPr>
          <w:p>
            <w:pPr>
              <w:spacing w:after="0"/>
              <w:rPr>
                <w:sz w:val="15"/>
                <w:szCs w:val="15"/>
                <w:color w:val="auto"/>
              </w:rPr>
            </w:pP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Past due but not impaired</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257,476</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573,634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831,110</w:t>
            </w:r>
          </w:p>
        </w:tc>
        <w:tc>
          <w:tcPr>
            <w:tcW w:w="60" w:type="dxa"/>
            <w:vAlign w:val="bottom"/>
          </w:tcPr>
          <w:p>
            <w:pPr>
              <w:spacing w:after="0"/>
              <w:rPr>
                <w:sz w:val="15"/>
                <w:szCs w:val="15"/>
                <w:color w:val="auto"/>
              </w:rPr>
            </w:pPr>
          </w:p>
        </w:tc>
        <w:tc>
          <w:tcPr>
            <w:tcW w:w="9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264,477</w:t>
            </w:r>
          </w:p>
        </w:tc>
        <w:tc>
          <w:tcPr>
            <w:tcW w:w="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767,325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1,031,802</w:t>
            </w:r>
          </w:p>
        </w:tc>
      </w:tr>
      <w:tr>
        <w:trPr>
          <w:trHeight w:val="201"/>
        </w:trPr>
        <w:tc>
          <w:tcPr>
            <w:tcW w:w="2700" w:type="dxa"/>
            <w:vAlign w:val="bottom"/>
            <w:gridSpan w:val="2"/>
          </w:tcPr>
          <w:p>
            <w:pPr>
              <w:spacing w:after="0"/>
              <w:rPr>
                <w:sz w:val="20"/>
                <w:szCs w:val="20"/>
                <w:color w:val="auto"/>
              </w:rPr>
            </w:pPr>
            <w:r>
              <w:rPr>
                <w:rFonts w:ascii="Arial" w:cs="Arial" w:eastAsia="Arial" w:hAnsi="Arial"/>
                <w:sz w:val="16"/>
                <w:szCs w:val="16"/>
                <w:color w:val="auto"/>
              </w:rPr>
              <w:t>Impaired</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1,686,829</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1,686,829</w:t>
            </w: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1,802,572</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1,802,572</w:t>
            </w:r>
          </w:p>
        </w:tc>
      </w:tr>
      <w:tr>
        <w:trPr>
          <w:trHeight w:val="152"/>
        </w:trPr>
        <w:tc>
          <w:tcPr>
            <w:tcW w:w="2700" w:type="dxa"/>
            <w:vAlign w:val="bottom"/>
            <w:gridSpan w:val="2"/>
          </w:tcPr>
          <w:p>
            <w:pPr>
              <w:spacing w:after="0" w:line="152" w:lineRule="exact"/>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16,846,992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4,244,312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1,686,829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22,778,133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15,992,994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4,630,184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1,802,572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22,425,750</w:t>
            </w:r>
          </w:p>
        </w:tc>
        <w:tc>
          <w:tcPr>
            <w:tcW w:w="20" w:type="dxa"/>
            <w:vAlign w:val="bottom"/>
          </w:tcPr>
          <w:p>
            <w:pPr>
              <w:spacing w:after="0"/>
              <w:rPr>
                <w:sz w:val="13"/>
                <w:szCs w:val="13"/>
                <w:color w:val="auto"/>
              </w:rPr>
            </w:pPr>
          </w:p>
        </w:tc>
      </w:tr>
      <w:tr>
        <w:trPr>
          <w:trHeight w:val="193"/>
        </w:trPr>
        <w:tc>
          <w:tcPr>
            <w:tcW w:w="2700" w:type="dxa"/>
            <w:vAlign w:val="bottom"/>
            <w:gridSpan w:val="2"/>
          </w:tcPr>
          <w:p>
            <w:pPr>
              <w:spacing w:after="0"/>
              <w:rPr>
                <w:sz w:val="20"/>
                <w:szCs w:val="20"/>
                <w:color w:val="auto"/>
              </w:rPr>
            </w:pPr>
            <w:r>
              <w:rPr>
                <w:rFonts w:ascii="Arial" w:cs="Arial" w:eastAsia="Arial" w:hAnsi="Arial"/>
                <w:sz w:val="16"/>
                <w:szCs w:val="16"/>
                <w:color w:val="auto"/>
              </w:rPr>
              <w:t>Less: Allowance for loan losses</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384,145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396,678</w:t>
            </w:r>
          </w:p>
        </w:tc>
        <w:tc>
          <w:tcPr>
            <w:tcW w:w="40" w:type="dxa"/>
            <w:vAlign w:val="bottom"/>
          </w:tcPr>
          <w:p>
            <w:pPr>
              <w:spacing w:after="0"/>
              <w:rPr>
                <w:sz w:val="16"/>
                <w:szCs w:val="16"/>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1,167,311</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1,948,134</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347,783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431,278</w:t>
            </w:r>
          </w:p>
        </w:tc>
        <w:tc>
          <w:tcPr>
            <w:tcW w:w="4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1,288,068</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2,067,129</w:t>
            </w: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 net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16,462,847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3,847,634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519,518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20,829,999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15,645,211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4,198,906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514,504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20,358,621</w:t>
            </w:r>
          </w:p>
        </w:tc>
        <w:tc>
          <w:tcPr>
            <w:tcW w:w="20" w:type="dxa"/>
            <w:vAlign w:val="bottom"/>
          </w:tcPr>
          <w:p>
            <w:pPr>
              <w:spacing w:after="0"/>
              <w:rPr>
                <w:sz w:val="15"/>
                <w:szCs w:val="15"/>
                <w:color w:val="auto"/>
              </w:rPr>
            </w:pPr>
          </w:p>
        </w:tc>
      </w:tr>
    </w:tbl>
    <w:p>
      <w:pPr>
        <w:spacing w:after="0" w:line="170"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Consumer loans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Stage 1</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2</w:t>
            </w: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3</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w:t>
            </w: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auto"/>
              </w:rPr>
              <w:t>Stage 1</w:t>
            </w:r>
          </w:p>
        </w:tc>
        <w:tc>
          <w:tcPr>
            <w:tcW w:w="90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2</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3</w:t>
            </w: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r>
      <w:tr>
        <w:trPr>
          <w:trHeight w:val="152"/>
        </w:trPr>
        <w:tc>
          <w:tcPr>
            <w:tcW w:w="2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Neither past due nor impaired</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14,188,847</w:t>
            </w:r>
          </w:p>
        </w:tc>
        <w:tc>
          <w:tcPr>
            <w:tcW w:w="9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3,335,516</w:t>
            </w:r>
          </w:p>
        </w:tc>
        <w:tc>
          <w:tcPr>
            <w:tcW w:w="6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17,524,363</w:t>
            </w:r>
          </w:p>
        </w:tc>
        <w:tc>
          <w:tcPr>
            <w:tcW w:w="60" w:type="dxa"/>
            <w:vAlign w:val="bottom"/>
          </w:tcPr>
          <w:p>
            <w:pPr>
              <w:spacing w:after="0"/>
              <w:rPr>
                <w:sz w:val="15"/>
                <w:szCs w:val="15"/>
                <w:color w:val="auto"/>
              </w:rPr>
            </w:pP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14,934,631</w:t>
            </w:r>
          </w:p>
        </w:tc>
        <w:tc>
          <w:tcPr>
            <w:tcW w:w="40" w:type="dxa"/>
            <w:vAlign w:val="bottom"/>
          </w:tcPr>
          <w:p>
            <w:pPr>
              <w:spacing w:after="0"/>
              <w:rPr>
                <w:sz w:val="15"/>
                <w:szCs w:val="15"/>
                <w:color w:val="auto"/>
              </w:rPr>
            </w:pPr>
          </w:p>
        </w:tc>
        <w:tc>
          <w:tcPr>
            <w:tcW w:w="9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2,827,796</w:t>
            </w:r>
          </w:p>
        </w:tc>
        <w:tc>
          <w:tcPr>
            <w:tcW w:w="60" w:type="dxa"/>
            <w:vAlign w:val="bottom"/>
          </w:tcPr>
          <w:p>
            <w:pPr>
              <w:spacing w:after="0"/>
              <w:rPr>
                <w:sz w:val="15"/>
                <w:szCs w:val="15"/>
                <w:color w:val="auto"/>
              </w:rPr>
            </w:pPr>
          </w:p>
        </w:tc>
        <w:tc>
          <w:tcPr>
            <w:tcW w:w="9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17,762,427</w:t>
            </w:r>
          </w:p>
        </w:tc>
        <w:tc>
          <w:tcPr>
            <w:tcW w:w="20" w:type="dxa"/>
            <w:vAlign w:val="bottom"/>
          </w:tcPr>
          <w:p>
            <w:pPr>
              <w:spacing w:after="0"/>
              <w:rPr>
                <w:sz w:val="15"/>
                <w:szCs w:val="15"/>
                <w:color w:val="auto"/>
              </w:rPr>
            </w:pP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Past due but not impaired</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160,755</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383,227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543,982</w:t>
            </w:r>
          </w:p>
        </w:tc>
        <w:tc>
          <w:tcPr>
            <w:tcW w:w="98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261,414</w:t>
            </w:r>
          </w:p>
        </w:tc>
        <w:tc>
          <w:tcPr>
            <w:tcW w:w="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489,658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751,072</w:t>
            </w:r>
          </w:p>
        </w:tc>
      </w:tr>
      <w:tr>
        <w:trPr>
          <w:trHeight w:val="201"/>
        </w:trPr>
        <w:tc>
          <w:tcPr>
            <w:tcW w:w="2700" w:type="dxa"/>
            <w:vAlign w:val="bottom"/>
            <w:gridSpan w:val="2"/>
          </w:tcPr>
          <w:p>
            <w:pPr>
              <w:spacing w:after="0"/>
              <w:rPr>
                <w:sz w:val="20"/>
                <w:szCs w:val="20"/>
                <w:color w:val="auto"/>
              </w:rPr>
            </w:pPr>
            <w:r>
              <w:rPr>
                <w:rFonts w:ascii="Arial" w:cs="Arial" w:eastAsia="Arial" w:hAnsi="Arial"/>
                <w:sz w:val="16"/>
                <w:szCs w:val="16"/>
                <w:color w:val="auto"/>
              </w:rPr>
              <w:t>Impaired</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1,459,095</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1,459,095</w:t>
            </w: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1,546,685</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1,546,685</w:t>
            </w:r>
          </w:p>
        </w:tc>
      </w:tr>
      <w:tr>
        <w:trPr>
          <w:trHeight w:val="152"/>
        </w:trPr>
        <w:tc>
          <w:tcPr>
            <w:tcW w:w="2700" w:type="dxa"/>
            <w:vAlign w:val="bottom"/>
            <w:gridSpan w:val="2"/>
          </w:tcPr>
          <w:p>
            <w:pPr>
              <w:spacing w:after="0" w:line="152" w:lineRule="exact"/>
              <w:rPr>
                <w:sz w:val="20"/>
                <w:szCs w:val="20"/>
                <w:color w:val="auto"/>
              </w:rPr>
            </w:pPr>
            <w:r>
              <w:rPr>
                <w:rFonts w:ascii="Arial" w:cs="Arial" w:eastAsia="Arial" w:hAnsi="Arial"/>
                <w:sz w:val="16"/>
                <w:szCs w:val="16"/>
                <w:b w:val="1"/>
                <w:bCs w:val="1"/>
                <w:color w:val="auto"/>
              </w:rPr>
              <w:t>Gross</w:t>
            </w: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14,349,602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3,718,743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1,459,095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19,527,440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15,196,045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3,317,454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1,546,685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20,060,184</w:t>
            </w:r>
          </w:p>
        </w:tc>
        <w:tc>
          <w:tcPr>
            <w:tcW w:w="20" w:type="dxa"/>
            <w:vAlign w:val="bottom"/>
          </w:tcPr>
          <w:p>
            <w:pPr>
              <w:spacing w:after="0"/>
              <w:rPr>
                <w:sz w:val="13"/>
                <w:szCs w:val="13"/>
                <w:color w:val="auto"/>
              </w:rPr>
            </w:pPr>
          </w:p>
        </w:tc>
      </w:tr>
      <w:tr>
        <w:trPr>
          <w:trHeight w:val="193"/>
        </w:trPr>
        <w:tc>
          <w:tcPr>
            <w:tcW w:w="2700" w:type="dxa"/>
            <w:vAlign w:val="bottom"/>
            <w:gridSpan w:val="2"/>
          </w:tcPr>
          <w:p>
            <w:pPr>
              <w:spacing w:after="0"/>
              <w:rPr>
                <w:sz w:val="20"/>
                <w:szCs w:val="20"/>
                <w:color w:val="auto"/>
              </w:rPr>
            </w:pPr>
            <w:r>
              <w:rPr>
                <w:rFonts w:ascii="Arial" w:cs="Arial" w:eastAsia="Arial" w:hAnsi="Arial"/>
                <w:sz w:val="16"/>
                <w:szCs w:val="16"/>
                <w:color w:val="auto"/>
              </w:rPr>
              <w:t>Less: Allowance for loan losses</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331,011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514,255</w:t>
            </w:r>
          </w:p>
        </w:tc>
        <w:tc>
          <w:tcPr>
            <w:tcW w:w="40" w:type="dxa"/>
            <w:vAlign w:val="bottom"/>
          </w:tcPr>
          <w:p>
            <w:pPr>
              <w:spacing w:after="0"/>
              <w:rPr>
                <w:sz w:val="16"/>
                <w:szCs w:val="16"/>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1,203,250</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2,048,516</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285,091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435,151</w:t>
            </w:r>
          </w:p>
        </w:tc>
        <w:tc>
          <w:tcPr>
            <w:tcW w:w="4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1,314,373</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2,034,615</w:t>
            </w:r>
          </w:p>
        </w:tc>
      </w:tr>
      <w:tr>
        <w:trPr>
          <w:trHeight w:val="175"/>
        </w:trPr>
        <w:tc>
          <w:tcPr>
            <w:tcW w:w="27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 net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14,018,591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3,204,488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255,845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17,478,924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14,910,954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2,882,303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232,312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18,025,569</w:t>
            </w:r>
          </w:p>
        </w:tc>
        <w:tc>
          <w:tcPr>
            <w:tcW w:w="20" w:type="dxa"/>
            <w:vAlign w:val="bottom"/>
          </w:tcPr>
          <w:p>
            <w:pPr>
              <w:spacing w:after="0"/>
              <w:rPr>
                <w:sz w:val="15"/>
                <w:szCs w:val="15"/>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Consolidated of loans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Stage 1</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2</w:t>
            </w: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3</w:t>
            </w:r>
          </w:p>
        </w:tc>
        <w:tc>
          <w:tcPr>
            <w:tcW w:w="100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w:t>
            </w: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auto"/>
              </w:rPr>
              <w:t>Stage 1</w:t>
            </w:r>
          </w:p>
        </w:tc>
        <w:tc>
          <w:tcPr>
            <w:tcW w:w="90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2</w:t>
            </w: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Stage 3</w:t>
            </w: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r>
      <w:tr>
        <w:trPr>
          <w:trHeight w:val="152"/>
        </w:trPr>
        <w:tc>
          <w:tcPr>
            <w:tcW w:w="840" w:type="dxa"/>
            <w:vAlign w:val="bottom"/>
          </w:tcPr>
          <w:p>
            <w:pPr>
              <w:spacing w:after="0"/>
              <w:rPr>
                <w:sz w:val="13"/>
                <w:szCs w:val="13"/>
                <w:color w:val="auto"/>
              </w:rPr>
            </w:pPr>
          </w:p>
        </w:tc>
        <w:tc>
          <w:tcPr>
            <w:tcW w:w="2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88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r>
      <w:tr>
        <w:trPr>
          <w:trHeight w:val="175"/>
        </w:trPr>
        <w:tc>
          <w:tcPr>
            <w:tcW w:w="840" w:type="dxa"/>
            <w:vAlign w:val="bottom"/>
          </w:tcPr>
          <w:p>
            <w:pPr>
              <w:spacing w:after="0"/>
              <w:rPr>
                <w:sz w:val="15"/>
                <w:szCs w:val="15"/>
                <w:color w:val="auto"/>
              </w:rPr>
            </w:pPr>
          </w:p>
        </w:tc>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Total gross direct loans, Note 7(a)</w:t>
            </w:r>
          </w:p>
        </w:tc>
        <w:tc>
          <w:tcPr>
            <w:tcW w:w="9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6"/>
              </w:rPr>
              <w:t>118,068,867</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16,432,348</w:t>
            </w:r>
          </w:p>
        </w:tc>
        <w:tc>
          <w:tcPr>
            <w:tcW w:w="40" w:type="dxa"/>
            <w:vAlign w:val="bottom"/>
          </w:tcPr>
          <w:p>
            <w:pPr>
              <w:spacing w:after="0"/>
              <w:rPr>
                <w:sz w:val="15"/>
                <w:szCs w:val="15"/>
                <w:color w:val="auto"/>
              </w:rPr>
            </w:pPr>
          </w:p>
        </w:tc>
        <w:tc>
          <w:tcPr>
            <w:tcW w:w="11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9,818,030</w:t>
            </w:r>
          </w:p>
        </w:tc>
        <w:tc>
          <w:tcPr>
            <w:tcW w:w="100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144,319,245</w:t>
            </w:r>
          </w:p>
        </w:tc>
        <w:tc>
          <w:tcPr>
            <w:tcW w:w="9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116,289,508</w:t>
            </w:r>
          </w:p>
        </w:tc>
        <w:tc>
          <w:tcPr>
            <w:tcW w:w="40" w:type="dxa"/>
            <w:vAlign w:val="bottom"/>
          </w:tcPr>
          <w:p>
            <w:pPr>
              <w:spacing w:after="0"/>
              <w:rPr>
                <w:sz w:val="15"/>
                <w:szCs w:val="15"/>
                <w:color w:val="auto"/>
              </w:rPr>
            </w:pPr>
          </w:p>
        </w:tc>
        <w:tc>
          <w:tcPr>
            <w:tcW w:w="8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16,275,600</w:t>
            </w:r>
          </w:p>
        </w:tc>
        <w:tc>
          <w:tcPr>
            <w:tcW w:w="40" w:type="dxa"/>
            <w:vAlign w:val="bottom"/>
          </w:tcPr>
          <w:p>
            <w:pPr>
              <w:spacing w:after="0"/>
              <w:rPr>
                <w:sz w:val="15"/>
                <w:szCs w:val="15"/>
                <w:color w:val="auto"/>
              </w:rPr>
            </w:pPr>
          </w:p>
        </w:tc>
        <w:tc>
          <w:tcPr>
            <w:tcW w:w="960" w:type="dxa"/>
            <w:vAlign w:val="bottom"/>
            <w:gridSpan w:val="3"/>
          </w:tcPr>
          <w:p>
            <w:pPr>
              <w:jc w:val="right"/>
              <w:ind w:right="100"/>
              <w:spacing w:after="0" w:line="175" w:lineRule="exact"/>
              <w:rPr>
                <w:sz w:val="20"/>
                <w:szCs w:val="20"/>
                <w:color w:val="auto"/>
              </w:rPr>
            </w:pPr>
            <w:r>
              <w:rPr>
                <w:rFonts w:ascii="Arial" w:cs="Arial" w:eastAsia="Arial" w:hAnsi="Arial"/>
                <w:sz w:val="16"/>
                <w:szCs w:val="16"/>
                <w:color w:val="auto"/>
              </w:rPr>
              <w:t>10,918,146</w:t>
            </w:r>
          </w:p>
        </w:tc>
        <w:tc>
          <w:tcPr>
            <w:tcW w:w="9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w w:val="96"/>
              </w:rPr>
              <w:t>143,483,254</w:t>
            </w:r>
          </w:p>
        </w:tc>
      </w:tr>
      <w:tr>
        <w:trPr>
          <w:trHeight w:val="175"/>
        </w:trPr>
        <w:tc>
          <w:tcPr>
            <w:tcW w:w="840" w:type="dxa"/>
            <w:vAlign w:val="bottom"/>
          </w:tcPr>
          <w:p>
            <w:pPr>
              <w:spacing w:after="0"/>
              <w:rPr>
                <w:sz w:val="15"/>
                <w:szCs w:val="15"/>
                <w:color w:val="auto"/>
              </w:rPr>
            </w:pPr>
          </w:p>
        </w:tc>
        <w:tc>
          <w:tcPr>
            <w:tcW w:w="2700" w:type="dxa"/>
            <w:vAlign w:val="bottom"/>
            <w:gridSpan w:val="2"/>
          </w:tcPr>
          <w:p>
            <w:pPr>
              <w:spacing w:after="0" w:line="175" w:lineRule="exact"/>
              <w:rPr>
                <w:sz w:val="20"/>
                <w:szCs w:val="20"/>
                <w:color w:val="auto"/>
              </w:rPr>
            </w:pPr>
            <w:r>
              <w:rPr>
                <w:rFonts w:ascii="Arial" w:cs="Arial" w:eastAsia="Arial" w:hAnsi="Arial"/>
                <w:sz w:val="16"/>
                <w:szCs w:val="16"/>
                <w:color w:val="auto"/>
              </w:rPr>
              <w:t>Total allowance for direct loan losses,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840" w:type="dxa"/>
            <w:vAlign w:val="bottom"/>
          </w:tcPr>
          <w:p>
            <w:pPr>
              <w:spacing w:after="0"/>
              <w:rPr>
                <w:sz w:val="16"/>
                <w:szCs w:val="16"/>
                <w:color w:val="auto"/>
              </w:rPr>
            </w:pPr>
          </w:p>
        </w:tc>
        <w:tc>
          <w:tcPr>
            <w:tcW w:w="2700" w:type="dxa"/>
            <w:vAlign w:val="bottom"/>
            <w:gridSpan w:val="2"/>
          </w:tcPr>
          <w:p>
            <w:pPr>
              <w:spacing w:after="0"/>
              <w:rPr>
                <w:sz w:val="20"/>
                <w:szCs w:val="20"/>
                <w:color w:val="auto"/>
              </w:rPr>
            </w:pPr>
            <w:r>
              <w:rPr>
                <w:rFonts w:ascii="Arial" w:cs="Arial" w:eastAsia="Arial" w:hAnsi="Arial"/>
                <w:sz w:val="16"/>
                <w:szCs w:val="16"/>
                <w:color w:val="auto"/>
              </w:rPr>
              <w:t>Note 7(a)</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1,274,546</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1,371,084</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5,349,347</w:t>
            </w:r>
          </w:p>
        </w:tc>
        <w:tc>
          <w:tcPr>
            <w:tcW w:w="1000" w:type="dxa"/>
            <w:vAlign w:val="bottom"/>
            <w:gridSpan w:val="3"/>
          </w:tcPr>
          <w:p>
            <w:pPr>
              <w:jc w:val="right"/>
              <w:ind w:right="60"/>
              <w:spacing w:after="0"/>
              <w:rPr>
                <w:sz w:val="20"/>
                <w:szCs w:val="20"/>
                <w:color w:val="auto"/>
              </w:rPr>
            </w:pPr>
            <w:r>
              <w:rPr>
                <w:rFonts w:ascii="Arial" w:cs="Arial" w:eastAsia="Arial" w:hAnsi="Arial"/>
                <w:sz w:val="16"/>
                <w:szCs w:val="16"/>
                <w:color w:val="auto"/>
              </w:rPr>
              <w:t>7,994,977</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1,176,682</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1,382,554</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5,718,680</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8,277,916</w:t>
            </w:r>
          </w:p>
        </w:tc>
      </w:tr>
      <w:tr>
        <w:trPr>
          <w:trHeight w:val="178"/>
        </w:trPr>
        <w:tc>
          <w:tcPr>
            <w:tcW w:w="840" w:type="dxa"/>
            <w:vAlign w:val="bottom"/>
          </w:tcPr>
          <w:p>
            <w:pPr>
              <w:spacing w:after="0"/>
              <w:rPr>
                <w:sz w:val="15"/>
                <w:szCs w:val="15"/>
                <w:color w:val="auto"/>
              </w:rPr>
            </w:pPr>
          </w:p>
        </w:tc>
        <w:tc>
          <w:tcPr>
            <w:tcW w:w="27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Total net direct loans</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96"/>
              </w:rPr>
              <w:t>116,794,321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15,061,264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4,468,683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96"/>
              </w:rPr>
              <w:t>136,324,268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94"/>
              </w:rPr>
              <w:t>115,112,826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97"/>
              </w:rPr>
              <w:t>14,893,046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5,199,466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w w:val="94"/>
              </w:rPr>
              <w:t>135,205,338</w:t>
            </w:r>
          </w:p>
        </w:tc>
        <w:tc>
          <w:tcPr>
            <w:tcW w:w="20" w:type="dxa"/>
            <w:vAlign w:val="bottom"/>
            <w:tcBorders>
              <w:top w:val="single" w:sz="8" w:color="auto"/>
            </w:tcBorders>
          </w:tcPr>
          <w:p>
            <w:pPr>
              <w:spacing w:after="0"/>
              <w:rPr>
                <w:sz w:val="15"/>
                <w:szCs w:val="15"/>
                <w:color w:val="auto"/>
              </w:rPr>
            </w:pPr>
          </w:p>
        </w:tc>
      </w:tr>
      <w:tr>
        <w:trPr>
          <w:trHeight w:val="472"/>
        </w:trPr>
        <w:tc>
          <w:tcPr>
            <w:tcW w:w="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2"/>
          </w:tcPr>
          <w:p>
            <w:pPr>
              <w:jc w:val="right"/>
              <w:ind w:right="662"/>
              <w:spacing w:after="0"/>
              <w:rPr>
                <w:sz w:val="20"/>
                <w:szCs w:val="20"/>
                <w:color w:val="auto"/>
              </w:rPr>
            </w:pPr>
            <w:r>
              <w:rPr>
                <w:rFonts w:ascii="Arial" w:cs="Arial" w:eastAsia="Arial" w:hAnsi="Arial"/>
                <w:sz w:val="12"/>
                <w:szCs w:val="12"/>
                <w:color w:val="auto"/>
              </w:rPr>
              <w:t>-133-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8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136" w:name="page137"/>
    <w:bookmarkEnd w:id="136"/>
    <w:p>
      <w:pPr>
        <w:ind w:left="240" w:right="220"/>
        <w:spacing w:after="0" w:line="256" w:lineRule="auto"/>
        <w:rPr>
          <w:sz w:val="20"/>
          <w:szCs w:val="20"/>
          <w:color w:val="auto"/>
        </w:rPr>
      </w:pPr>
      <w:r>
        <w:rPr>
          <w:rFonts w:ascii="Arial" w:cs="Arial" w:eastAsia="Arial" w:hAnsi="Arial"/>
          <w:sz w:val="16"/>
          <w:szCs w:val="16"/>
          <w:color w:val="auto"/>
        </w:rPr>
        <w:t>At Credicorp, we separate renegotiated loans into two groups, focusing on operations that have suffered a significant increase in credit risk since their disbursement, which has generated modifications to the original loan agreement. Both groups are defined below:</w:t>
      </w:r>
    </w:p>
    <w:p>
      <w:pPr>
        <w:spacing w:after="0" w:line="134" w:lineRule="exact"/>
        <w:rPr>
          <w:sz w:val="20"/>
          <w:szCs w:val="20"/>
          <w:color w:val="auto"/>
        </w:rPr>
      </w:pPr>
    </w:p>
    <w:p>
      <w:pPr>
        <w:ind w:left="420" w:right="420" w:hanging="186"/>
        <w:spacing w:after="0" w:line="237" w:lineRule="auto"/>
        <w:tabs>
          <w:tab w:leader="none" w:pos="4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Refinanced loans: are those loans that have undergone modifications in the initial loan agreement (term and interest rate), according to the accounting definition.</w:t>
      </w:r>
    </w:p>
    <w:p>
      <w:pPr>
        <w:ind w:left="420" w:right="40" w:hanging="186"/>
        <w:spacing w:after="0" w:line="233" w:lineRule="auto"/>
        <w:tabs>
          <w:tab w:leader="none" w:pos="4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Renegotiated loans: are those loans for which, due to the pandemic during 2020 and 2021 and/or the Peruvian context of intense rain and social unrest during 2023, the SBS and other local regulators of the countries where Credicorp operates have established that certain benefits be granted, and that Credicorp has also voluntarily granted to its clients (grace periods, debt consolidation, etc.), which were not in the initial credit agreements.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Below is the amount of gross portfolio balance and allowance for loan losses for Credicorp's renegotiated loans. The presentation is made for each</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of the two groups defined above and by opening the balances by stage. It should be noted that for the construction of the tables, the information of</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three subsidiaries that concentrate more than 95.0 percent of the balance of renegotiated loans (BCP, Mibanco and BCB) has been considered.</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December 31, 2024, and 2023, renegotiated loans, refinanced loans and their expected loss are composed as follows:</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50"/>
        </w:trPr>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Allowance for loan</w:t>
            </w:r>
          </w:p>
        </w:tc>
        <w:tc>
          <w:tcPr>
            <w:tcW w:w="18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3"/>
          </w:tcPr>
          <w:p>
            <w:pPr>
              <w:spacing w:after="0" w:line="150" w:lineRule="exact"/>
              <w:rPr>
                <w:sz w:val="20"/>
                <w:szCs w:val="20"/>
                <w:color w:val="auto"/>
              </w:rPr>
            </w:pPr>
            <w:r>
              <w:rPr>
                <w:rFonts w:ascii="Arial" w:cs="Arial" w:eastAsia="Arial" w:hAnsi="Arial"/>
                <w:sz w:val="16"/>
                <w:szCs w:val="16"/>
                <w:b w:val="1"/>
                <w:bCs w:val="1"/>
                <w:color w:val="auto"/>
              </w:rPr>
              <w:t>Allowance for loan</w:t>
            </w:r>
          </w:p>
        </w:tc>
        <w:tc>
          <w:tcPr>
            <w:tcW w:w="120" w:type="dxa"/>
            <w:vAlign w:val="bottom"/>
            <w:tcBorders>
              <w:top w:val="single" w:sz="8" w:color="auto"/>
            </w:tcBorders>
          </w:tcPr>
          <w:p>
            <w:pPr>
              <w:spacing w:after="0"/>
              <w:rPr>
                <w:sz w:val="13"/>
                <w:szCs w:val="13"/>
                <w:color w:val="auto"/>
              </w:rPr>
            </w:pPr>
          </w:p>
        </w:tc>
      </w:tr>
      <w:tr>
        <w:trPr>
          <w:trHeight w:val="192"/>
        </w:trPr>
        <w:tc>
          <w:tcPr>
            <w:tcW w:w="1440" w:type="dxa"/>
            <w:vAlign w:val="bottom"/>
          </w:tcPr>
          <w:p>
            <w:pPr>
              <w:spacing w:after="0"/>
              <w:rPr>
                <w:sz w:val="16"/>
                <w:szCs w:val="16"/>
                <w:color w:val="auto"/>
              </w:rPr>
            </w:pPr>
          </w:p>
        </w:tc>
        <w:tc>
          <w:tcPr>
            <w:tcW w:w="1980" w:type="dxa"/>
            <w:vAlign w:val="bottom"/>
            <w:gridSpan w:val="3"/>
          </w:tcPr>
          <w:p>
            <w:pPr>
              <w:spacing w:after="0"/>
              <w:rPr>
                <w:sz w:val="20"/>
                <w:szCs w:val="20"/>
                <w:color w:val="auto"/>
              </w:rPr>
            </w:pPr>
            <w:r>
              <w:rPr>
                <w:rFonts w:ascii="Arial" w:cs="Arial" w:eastAsia="Arial" w:hAnsi="Arial"/>
                <w:sz w:val="16"/>
                <w:szCs w:val="16"/>
                <w:b w:val="1"/>
                <w:bCs w:val="1"/>
                <w:color w:val="auto"/>
              </w:rPr>
              <w:t>Refinanced loans</w:t>
            </w: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Refinanced loans</w:t>
            </w:r>
          </w:p>
        </w:tc>
        <w:tc>
          <w:tcPr>
            <w:tcW w:w="1860" w:type="dxa"/>
            <w:vAlign w:val="bottom"/>
            <w:gridSpan w:val="3"/>
          </w:tcPr>
          <w:p>
            <w:pPr>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6"/>
                <w:szCs w:val="16"/>
                <w:color w:val="auto"/>
              </w:rPr>
            </w:pPr>
          </w:p>
        </w:tc>
      </w:tr>
      <w:tr>
        <w:trPr>
          <w:trHeight w:val="206"/>
        </w:trPr>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96"/>
        </w:trPr>
        <w:tc>
          <w:tcPr>
            <w:tcW w:w="1440" w:type="dxa"/>
            <w:vAlign w:val="bottom"/>
          </w:tcPr>
          <w:p>
            <w:pPr>
              <w:spacing w:after="0"/>
              <w:rPr>
                <w:sz w:val="20"/>
                <w:szCs w:val="20"/>
                <w:color w:val="auto"/>
              </w:rPr>
            </w:pPr>
            <w:r>
              <w:rPr>
                <w:rFonts w:ascii="Arial" w:cs="Arial" w:eastAsia="Arial" w:hAnsi="Arial"/>
                <w:sz w:val="16"/>
                <w:szCs w:val="16"/>
                <w:color w:val="auto"/>
              </w:rPr>
              <w:t>Stage 1</w:t>
            </w:r>
          </w:p>
        </w:tc>
        <w:tc>
          <w:tcPr>
            <w:tcW w:w="1980" w:type="dxa"/>
            <w:vAlign w:val="bottom"/>
            <w:gridSpan w:val="3"/>
          </w:tcPr>
          <w:p>
            <w:pPr>
              <w:jc w:val="right"/>
              <w:ind w:right="140"/>
              <w:spacing w:after="0"/>
              <w:rPr>
                <w:sz w:val="20"/>
                <w:szCs w:val="20"/>
                <w:color w:val="auto"/>
              </w:rPr>
            </w:pPr>
            <w:r>
              <w:rPr>
                <w:rFonts w:ascii="Arial" w:cs="Arial" w:eastAsia="Arial" w:hAnsi="Arial"/>
                <w:sz w:val="16"/>
                <w:szCs w:val="16"/>
                <w:color w:val="auto"/>
              </w:rPr>
              <w:t>89,847</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5,961</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56,439</w:t>
            </w:r>
          </w:p>
        </w:tc>
        <w:tc>
          <w:tcPr>
            <w:tcW w:w="1860" w:type="dxa"/>
            <w:vAlign w:val="bottom"/>
            <w:gridSpan w:val="3"/>
          </w:tcPr>
          <w:p>
            <w:pPr>
              <w:jc w:val="right"/>
              <w:ind w:right="20"/>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24"/>
                <w:szCs w:val="24"/>
                <w:color w:val="auto"/>
              </w:rPr>
            </w:pPr>
          </w:p>
        </w:tc>
      </w:tr>
      <w:tr>
        <w:trPr>
          <w:trHeight w:val="175"/>
        </w:trPr>
        <w:tc>
          <w:tcPr>
            <w:tcW w:w="1440" w:type="dxa"/>
            <w:vAlign w:val="bottom"/>
          </w:tcPr>
          <w:p>
            <w:pPr>
              <w:spacing w:after="0" w:line="175" w:lineRule="exact"/>
              <w:rPr>
                <w:sz w:val="20"/>
                <w:szCs w:val="20"/>
                <w:color w:val="auto"/>
              </w:rPr>
            </w:pPr>
            <w:r>
              <w:rPr>
                <w:rFonts w:ascii="Arial" w:cs="Arial" w:eastAsia="Arial" w:hAnsi="Arial"/>
                <w:sz w:val="16"/>
                <w:szCs w:val="16"/>
                <w:color w:val="auto"/>
              </w:rPr>
              <w:t>Stage 2</w:t>
            </w:r>
          </w:p>
        </w:tc>
        <w:tc>
          <w:tcPr>
            <w:tcW w:w="19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60,494</w:t>
            </w:r>
          </w:p>
        </w:tc>
        <w:tc>
          <w:tcPr>
            <w:tcW w:w="198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9,968</w:t>
            </w:r>
          </w:p>
        </w:tc>
        <w:tc>
          <w:tcPr>
            <w:tcW w:w="198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41,380</w:t>
            </w:r>
          </w:p>
        </w:tc>
        <w:tc>
          <w:tcPr>
            <w:tcW w:w="18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5,984</w:t>
            </w:r>
          </w:p>
        </w:tc>
        <w:tc>
          <w:tcPr>
            <w:tcW w:w="120" w:type="dxa"/>
            <w:vAlign w:val="bottom"/>
          </w:tcPr>
          <w:p>
            <w:pPr>
              <w:spacing w:after="0"/>
              <w:rPr>
                <w:sz w:val="15"/>
                <w:szCs w:val="15"/>
                <w:color w:val="auto"/>
              </w:rPr>
            </w:pPr>
          </w:p>
        </w:tc>
      </w:tr>
      <w:tr>
        <w:trPr>
          <w:trHeight w:val="193"/>
        </w:trPr>
        <w:tc>
          <w:tcPr>
            <w:tcW w:w="1440" w:type="dxa"/>
            <w:vAlign w:val="bottom"/>
          </w:tcPr>
          <w:p>
            <w:pPr>
              <w:spacing w:after="0"/>
              <w:rPr>
                <w:sz w:val="20"/>
                <w:szCs w:val="20"/>
                <w:color w:val="auto"/>
              </w:rPr>
            </w:pPr>
            <w:r>
              <w:rPr>
                <w:rFonts w:ascii="Arial" w:cs="Arial" w:eastAsia="Arial" w:hAnsi="Arial"/>
                <w:sz w:val="16"/>
                <w:szCs w:val="16"/>
                <w:color w:val="auto"/>
              </w:rPr>
              <w:t>Stage 3</w:t>
            </w:r>
          </w:p>
        </w:tc>
        <w:tc>
          <w:tcPr>
            <w:tcW w:w="1980" w:type="dxa"/>
            <w:vAlign w:val="bottom"/>
            <w:gridSpan w:val="3"/>
          </w:tcPr>
          <w:p>
            <w:pPr>
              <w:jc w:val="right"/>
              <w:ind w:right="140"/>
              <w:spacing w:after="0"/>
              <w:rPr>
                <w:sz w:val="20"/>
                <w:szCs w:val="20"/>
                <w:color w:val="auto"/>
              </w:rPr>
            </w:pPr>
            <w:r>
              <w:rPr>
                <w:rFonts w:ascii="Arial" w:cs="Arial" w:eastAsia="Arial" w:hAnsi="Arial"/>
                <w:sz w:val="16"/>
                <w:szCs w:val="16"/>
                <w:color w:val="auto"/>
              </w:rPr>
              <w:t>2,059,690</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971,741</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2,288,349</w:t>
            </w:r>
          </w:p>
        </w:tc>
        <w:tc>
          <w:tcPr>
            <w:tcW w:w="1860" w:type="dxa"/>
            <w:vAlign w:val="bottom"/>
            <w:gridSpan w:val="3"/>
          </w:tcPr>
          <w:p>
            <w:pPr>
              <w:jc w:val="right"/>
              <w:ind w:right="20"/>
              <w:spacing w:after="0"/>
              <w:rPr>
                <w:sz w:val="20"/>
                <w:szCs w:val="20"/>
                <w:color w:val="auto"/>
              </w:rPr>
            </w:pPr>
            <w:r>
              <w:rPr>
                <w:rFonts w:ascii="Arial" w:cs="Arial" w:eastAsia="Arial" w:hAnsi="Arial"/>
                <w:sz w:val="16"/>
                <w:szCs w:val="16"/>
                <w:color w:val="auto"/>
              </w:rPr>
              <w:t>1,018,911</w:t>
            </w:r>
          </w:p>
        </w:tc>
        <w:tc>
          <w:tcPr>
            <w:tcW w:w="120" w:type="dxa"/>
            <w:vAlign w:val="bottom"/>
          </w:tcPr>
          <w:p>
            <w:pPr>
              <w:spacing w:after="0"/>
              <w:rPr>
                <w:sz w:val="16"/>
                <w:szCs w:val="16"/>
                <w:color w:val="auto"/>
              </w:rPr>
            </w:pPr>
          </w:p>
        </w:tc>
      </w:tr>
      <w:tr>
        <w:trPr>
          <w:trHeight w:val="178"/>
        </w:trPr>
        <w:tc>
          <w:tcPr>
            <w:tcW w:w="144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5"/>
                <w:szCs w:val="15"/>
                <w:color w:val="auto"/>
              </w:rPr>
            </w:pPr>
          </w:p>
        </w:tc>
        <w:tc>
          <w:tcPr>
            <w:tcW w:w="18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2,210,031</w:t>
            </w:r>
          </w:p>
        </w:tc>
        <w:tc>
          <w:tcPr>
            <w:tcW w:w="140" w:type="dxa"/>
            <w:vAlign w:val="bottom"/>
          </w:tcPr>
          <w:p>
            <w:pPr>
              <w:spacing w:after="0"/>
              <w:rPr>
                <w:sz w:val="15"/>
                <w:szCs w:val="15"/>
                <w:color w:val="auto"/>
              </w:rPr>
            </w:pPr>
          </w:p>
        </w:tc>
        <w:tc>
          <w:tcPr>
            <w:tcW w:w="18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987,670</w:t>
            </w:r>
          </w:p>
        </w:tc>
        <w:tc>
          <w:tcPr>
            <w:tcW w:w="140" w:type="dxa"/>
            <w:vAlign w:val="bottom"/>
          </w:tcPr>
          <w:p>
            <w:pPr>
              <w:spacing w:after="0"/>
              <w:rPr>
                <w:sz w:val="15"/>
                <w:szCs w:val="15"/>
                <w:color w:val="auto"/>
              </w:rPr>
            </w:pPr>
          </w:p>
        </w:tc>
        <w:tc>
          <w:tcPr>
            <w:tcW w:w="18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2,386,168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1,026,340</w:t>
            </w: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62"/>
        </w:trPr>
        <w:tc>
          <w:tcPr>
            <w:tcW w:w="1440" w:type="dxa"/>
            <w:vAlign w:val="bottom"/>
          </w:tcPr>
          <w:p>
            <w:pPr>
              <w:spacing w:after="0"/>
              <w:rPr>
                <w:sz w:val="24"/>
                <w:szCs w:val="24"/>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50"/>
        </w:trPr>
        <w:tc>
          <w:tcPr>
            <w:tcW w:w="1440" w:type="dxa"/>
            <w:vAlign w:val="bottom"/>
          </w:tcPr>
          <w:p>
            <w:pPr>
              <w:spacing w:after="0"/>
              <w:rPr>
                <w:sz w:val="13"/>
                <w:szCs w:val="13"/>
                <w:color w:val="auto"/>
              </w:rPr>
            </w:pPr>
          </w:p>
        </w:tc>
        <w:tc>
          <w:tcPr>
            <w:tcW w:w="1980" w:type="dxa"/>
            <w:vAlign w:val="bottom"/>
            <w:gridSpan w:val="3"/>
          </w:tcPr>
          <w:p>
            <w:pPr>
              <w:spacing w:after="0" w:line="150" w:lineRule="exact"/>
              <w:rPr>
                <w:sz w:val="20"/>
                <w:szCs w:val="20"/>
                <w:color w:val="auto"/>
              </w:rPr>
            </w:pPr>
            <w:r>
              <w:rPr>
                <w:rFonts w:ascii="Arial" w:cs="Arial" w:eastAsia="Arial" w:hAnsi="Arial"/>
                <w:sz w:val="16"/>
                <w:szCs w:val="16"/>
                <w:b w:val="1"/>
                <w:bCs w:val="1"/>
                <w:color w:val="auto"/>
              </w:rPr>
              <w:t>Renegotiated</w:t>
            </w:r>
          </w:p>
        </w:tc>
        <w:tc>
          <w:tcPr>
            <w:tcW w:w="198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Allowance for loan</w:t>
            </w:r>
          </w:p>
        </w:tc>
        <w:tc>
          <w:tcPr>
            <w:tcW w:w="198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Renegotiated</w:t>
            </w:r>
          </w:p>
        </w:tc>
        <w:tc>
          <w:tcPr>
            <w:tcW w:w="1860" w:type="dxa"/>
            <w:vAlign w:val="bottom"/>
            <w:gridSpan w:val="3"/>
          </w:tcPr>
          <w:p>
            <w:pPr>
              <w:spacing w:after="0" w:line="150" w:lineRule="exact"/>
              <w:rPr>
                <w:sz w:val="20"/>
                <w:szCs w:val="20"/>
                <w:color w:val="auto"/>
              </w:rPr>
            </w:pPr>
            <w:r>
              <w:rPr>
                <w:rFonts w:ascii="Arial" w:cs="Arial" w:eastAsia="Arial" w:hAnsi="Arial"/>
                <w:sz w:val="16"/>
                <w:szCs w:val="16"/>
                <w:b w:val="1"/>
                <w:bCs w:val="1"/>
                <w:color w:val="auto"/>
              </w:rPr>
              <w:t>Allowance for loan</w:t>
            </w:r>
          </w:p>
        </w:tc>
        <w:tc>
          <w:tcPr>
            <w:tcW w:w="120" w:type="dxa"/>
            <w:vAlign w:val="bottom"/>
          </w:tcPr>
          <w:p>
            <w:pPr>
              <w:spacing w:after="0"/>
              <w:rPr>
                <w:sz w:val="13"/>
                <w:szCs w:val="13"/>
                <w:color w:val="auto"/>
              </w:rPr>
            </w:pPr>
          </w:p>
        </w:tc>
      </w:tr>
      <w:tr>
        <w:trPr>
          <w:trHeight w:val="192"/>
        </w:trPr>
        <w:tc>
          <w:tcPr>
            <w:tcW w:w="1440" w:type="dxa"/>
            <w:vAlign w:val="bottom"/>
          </w:tcPr>
          <w:p>
            <w:pPr>
              <w:spacing w:after="0"/>
              <w:rPr>
                <w:sz w:val="16"/>
                <w:szCs w:val="16"/>
                <w:color w:val="auto"/>
              </w:rPr>
            </w:pPr>
          </w:p>
        </w:tc>
        <w:tc>
          <w:tcPr>
            <w:tcW w:w="1980" w:type="dxa"/>
            <w:vAlign w:val="bottom"/>
            <w:gridSpan w:val="3"/>
          </w:tcPr>
          <w:p>
            <w:pPr>
              <w:spacing w:after="0"/>
              <w:rPr>
                <w:sz w:val="20"/>
                <w:szCs w:val="20"/>
                <w:color w:val="auto"/>
              </w:rPr>
            </w:pPr>
            <w:r>
              <w:rPr>
                <w:rFonts w:ascii="Arial" w:cs="Arial" w:eastAsia="Arial" w:hAnsi="Arial"/>
                <w:sz w:val="16"/>
                <w:szCs w:val="16"/>
                <w:b w:val="1"/>
                <w:bCs w:val="1"/>
                <w:color w:val="auto"/>
              </w:rPr>
              <w:t>loans</w:t>
            </w: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loans</w:t>
            </w:r>
          </w:p>
        </w:tc>
        <w:tc>
          <w:tcPr>
            <w:tcW w:w="1860" w:type="dxa"/>
            <w:vAlign w:val="bottom"/>
            <w:gridSpan w:val="3"/>
          </w:tcPr>
          <w:p>
            <w:pPr>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6"/>
                <w:szCs w:val="16"/>
                <w:color w:val="auto"/>
              </w:rPr>
            </w:pPr>
          </w:p>
        </w:tc>
      </w:tr>
      <w:tr>
        <w:trPr>
          <w:trHeight w:val="206"/>
        </w:trPr>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40" w:type="dxa"/>
            <w:vAlign w:val="bottom"/>
          </w:tcPr>
          <w:p>
            <w:pPr>
              <w:spacing w:after="0"/>
              <w:rPr>
                <w:sz w:val="17"/>
                <w:szCs w:val="17"/>
                <w:color w:val="auto"/>
              </w:rPr>
            </w:pPr>
          </w:p>
        </w:tc>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96"/>
        </w:trPr>
        <w:tc>
          <w:tcPr>
            <w:tcW w:w="1440" w:type="dxa"/>
            <w:vAlign w:val="bottom"/>
          </w:tcPr>
          <w:p>
            <w:pPr>
              <w:spacing w:after="0"/>
              <w:rPr>
                <w:sz w:val="20"/>
                <w:szCs w:val="20"/>
                <w:color w:val="auto"/>
              </w:rPr>
            </w:pPr>
            <w:r>
              <w:rPr>
                <w:rFonts w:ascii="Arial" w:cs="Arial" w:eastAsia="Arial" w:hAnsi="Arial"/>
                <w:sz w:val="16"/>
                <w:szCs w:val="16"/>
                <w:color w:val="auto"/>
              </w:rPr>
              <w:t>Stage 1</w:t>
            </w:r>
          </w:p>
        </w:tc>
        <w:tc>
          <w:tcPr>
            <w:tcW w:w="1980" w:type="dxa"/>
            <w:vAlign w:val="bottom"/>
            <w:gridSpan w:val="3"/>
          </w:tcPr>
          <w:p>
            <w:pPr>
              <w:jc w:val="right"/>
              <w:ind w:right="140"/>
              <w:spacing w:after="0"/>
              <w:rPr>
                <w:sz w:val="20"/>
                <w:szCs w:val="20"/>
                <w:color w:val="auto"/>
              </w:rPr>
            </w:pPr>
            <w:r>
              <w:rPr>
                <w:rFonts w:ascii="Arial" w:cs="Arial" w:eastAsia="Arial" w:hAnsi="Arial"/>
                <w:sz w:val="16"/>
                <w:szCs w:val="16"/>
                <w:color w:val="auto"/>
              </w:rPr>
              <w:t>3,090,297</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23,513</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4,093,815</w:t>
            </w:r>
          </w:p>
        </w:tc>
        <w:tc>
          <w:tcPr>
            <w:tcW w:w="1860" w:type="dxa"/>
            <w:vAlign w:val="bottom"/>
            <w:gridSpan w:val="3"/>
          </w:tcPr>
          <w:p>
            <w:pPr>
              <w:jc w:val="right"/>
              <w:ind w:right="20"/>
              <w:spacing w:after="0"/>
              <w:rPr>
                <w:sz w:val="20"/>
                <w:szCs w:val="20"/>
                <w:color w:val="auto"/>
              </w:rPr>
            </w:pPr>
            <w:r>
              <w:rPr>
                <w:rFonts w:ascii="Arial" w:cs="Arial" w:eastAsia="Arial" w:hAnsi="Arial"/>
                <w:sz w:val="16"/>
                <w:szCs w:val="16"/>
                <w:color w:val="auto"/>
              </w:rPr>
              <w:t>36,800</w:t>
            </w:r>
          </w:p>
        </w:tc>
        <w:tc>
          <w:tcPr>
            <w:tcW w:w="120" w:type="dxa"/>
            <w:vAlign w:val="bottom"/>
          </w:tcPr>
          <w:p>
            <w:pPr>
              <w:spacing w:after="0"/>
              <w:rPr>
                <w:sz w:val="24"/>
                <w:szCs w:val="24"/>
                <w:color w:val="auto"/>
              </w:rPr>
            </w:pPr>
          </w:p>
        </w:tc>
      </w:tr>
      <w:tr>
        <w:trPr>
          <w:trHeight w:val="175"/>
        </w:trPr>
        <w:tc>
          <w:tcPr>
            <w:tcW w:w="1440" w:type="dxa"/>
            <w:vAlign w:val="bottom"/>
          </w:tcPr>
          <w:p>
            <w:pPr>
              <w:spacing w:after="0" w:line="175" w:lineRule="exact"/>
              <w:rPr>
                <w:sz w:val="20"/>
                <w:szCs w:val="20"/>
                <w:color w:val="auto"/>
              </w:rPr>
            </w:pPr>
            <w:r>
              <w:rPr>
                <w:rFonts w:ascii="Arial" w:cs="Arial" w:eastAsia="Arial" w:hAnsi="Arial"/>
                <w:sz w:val="16"/>
                <w:szCs w:val="16"/>
                <w:color w:val="auto"/>
              </w:rPr>
              <w:t>Stage 2</w:t>
            </w:r>
          </w:p>
        </w:tc>
        <w:tc>
          <w:tcPr>
            <w:tcW w:w="1980" w:type="dxa"/>
            <w:vAlign w:val="bottom"/>
            <w:gridSpan w:val="3"/>
          </w:tcPr>
          <w:p>
            <w:pPr>
              <w:jc w:val="right"/>
              <w:ind w:right="140"/>
              <w:spacing w:after="0" w:line="175" w:lineRule="exact"/>
              <w:rPr>
                <w:sz w:val="20"/>
                <w:szCs w:val="20"/>
                <w:color w:val="auto"/>
              </w:rPr>
            </w:pPr>
            <w:r>
              <w:rPr>
                <w:rFonts w:ascii="Arial" w:cs="Arial" w:eastAsia="Arial" w:hAnsi="Arial"/>
                <w:sz w:val="16"/>
                <w:szCs w:val="16"/>
                <w:color w:val="auto"/>
              </w:rPr>
              <w:t>579,176</w:t>
            </w:r>
          </w:p>
        </w:tc>
        <w:tc>
          <w:tcPr>
            <w:tcW w:w="198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55,208</w:t>
            </w:r>
          </w:p>
        </w:tc>
        <w:tc>
          <w:tcPr>
            <w:tcW w:w="1980" w:type="dxa"/>
            <w:vAlign w:val="bottom"/>
            <w:gridSpan w:val="2"/>
          </w:tcPr>
          <w:p>
            <w:pPr>
              <w:jc w:val="right"/>
              <w:ind w:right="140"/>
              <w:spacing w:after="0" w:line="175" w:lineRule="exact"/>
              <w:rPr>
                <w:sz w:val="20"/>
                <w:szCs w:val="20"/>
                <w:color w:val="auto"/>
              </w:rPr>
            </w:pPr>
            <w:r>
              <w:rPr>
                <w:rFonts w:ascii="Arial" w:cs="Arial" w:eastAsia="Arial" w:hAnsi="Arial"/>
                <w:sz w:val="16"/>
                <w:szCs w:val="16"/>
                <w:color w:val="auto"/>
              </w:rPr>
              <w:t>1,536,104</w:t>
            </w:r>
          </w:p>
        </w:tc>
        <w:tc>
          <w:tcPr>
            <w:tcW w:w="186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146,087</w:t>
            </w:r>
          </w:p>
        </w:tc>
        <w:tc>
          <w:tcPr>
            <w:tcW w:w="120" w:type="dxa"/>
            <w:vAlign w:val="bottom"/>
          </w:tcPr>
          <w:p>
            <w:pPr>
              <w:spacing w:after="0"/>
              <w:rPr>
                <w:sz w:val="15"/>
                <w:szCs w:val="15"/>
                <w:color w:val="auto"/>
              </w:rPr>
            </w:pPr>
          </w:p>
        </w:tc>
      </w:tr>
      <w:tr>
        <w:trPr>
          <w:trHeight w:val="193"/>
        </w:trPr>
        <w:tc>
          <w:tcPr>
            <w:tcW w:w="1440" w:type="dxa"/>
            <w:vAlign w:val="bottom"/>
          </w:tcPr>
          <w:p>
            <w:pPr>
              <w:spacing w:after="0"/>
              <w:rPr>
                <w:sz w:val="20"/>
                <w:szCs w:val="20"/>
                <w:color w:val="auto"/>
              </w:rPr>
            </w:pPr>
            <w:r>
              <w:rPr>
                <w:rFonts w:ascii="Arial" w:cs="Arial" w:eastAsia="Arial" w:hAnsi="Arial"/>
                <w:sz w:val="16"/>
                <w:szCs w:val="16"/>
                <w:color w:val="auto"/>
              </w:rPr>
              <w:t>Stage 3</w:t>
            </w:r>
          </w:p>
        </w:tc>
        <w:tc>
          <w:tcPr>
            <w:tcW w:w="1980" w:type="dxa"/>
            <w:vAlign w:val="bottom"/>
            <w:gridSpan w:val="3"/>
          </w:tcPr>
          <w:p>
            <w:pPr>
              <w:jc w:val="right"/>
              <w:ind w:right="140"/>
              <w:spacing w:after="0"/>
              <w:rPr>
                <w:sz w:val="20"/>
                <w:szCs w:val="20"/>
                <w:color w:val="auto"/>
              </w:rPr>
            </w:pPr>
            <w:r>
              <w:rPr>
                <w:rFonts w:ascii="Arial" w:cs="Arial" w:eastAsia="Arial" w:hAnsi="Arial"/>
                <w:sz w:val="16"/>
                <w:szCs w:val="16"/>
                <w:color w:val="auto"/>
              </w:rPr>
              <w:t>711,770</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417,017</w:t>
            </w: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1,366,287</w:t>
            </w:r>
          </w:p>
        </w:tc>
        <w:tc>
          <w:tcPr>
            <w:tcW w:w="1860" w:type="dxa"/>
            <w:vAlign w:val="bottom"/>
            <w:gridSpan w:val="3"/>
          </w:tcPr>
          <w:p>
            <w:pPr>
              <w:jc w:val="right"/>
              <w:ind w:right="20"/>
              <w:spacing w:after="0"/>
              <w:rPr>
                <w:sz w:val="20"/>
                <w:szCs w:val="20"/>
                <w:color w:val="auto"/>
              </w:rPr>
            </w:pPr>
            <w:r>
              <w:rPr>
                <w:rFonts w:ascii="Arial" w:cs="Arial" w:eastAsia="Arial" w:hAnsi="Arial"/>
                <w:sz w:val="16"/>
                <w:szCs w:val="16"/>
                <w:color w:val="auto"/>
              </w:rPr>
              <w:t>877,839</w:t>
            </w:r>
          </w:p>
        </w:tc>
        <w:tc>
          <w:tcPr>
            <w:tcW w:w="120" w:type="dxa"/>
            <w:vAlign w:val="bottom"/>
          </w:tcPr>
          <w:p>
            <w:pPr>
              <w:spacing w:after="0"/>
              <w:rPr>
                <w:sz w:val="16"/>
                <w:szCs w:val="16"/>
                <w:color w:val="auto"/>
              </w:rPr>
            </w:pPr>
          </w:p>
        </w:tc>
      </w:tr>
      <w:tr>
        <w:trPr>
          <w:trHeight w:val="178"/>
        </w:trPr>
        <w:tc>
          <w:tcPr>
            <w:tcW w:w="144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5"/>
                <w:szCs w:val="15"/>
                <w:color w:val="auto"/>
              </w:rPr>
            </w:pPr>
          </w:p>
        </w:tc>
        <w:tc>
          <w:tcPr>
            <w:tcW w:w="18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4,381,243</w:t>
            </w:r>
          </w:p>
        </w:tc>
        <w:tc>
          <w:tcPr>
            <w:tcW w:w="140" w:type="dxa"/>
            <w:vAlign w:val="bottom"/>
          </w:tcPr>
          <w:p>
            <w:pPr>
              <w:spacing w:after="0"/>
              <w:rPr>
                <w:sz w:val="15"/>
                <w:szCs w:val="15"/>
                <w:color w:val="auto"/>
              </w:rPr>
            </w:pPr>
          </w:p>
        </w:tc>
        <w:tc>
          <w:tcPr>
            <w:tcW w:w="18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495,738</w:t>
            </w:r>
          </w:p>
        </w:tc>
        <w:tc>
          <w:tcPr>
            <w:tcW w:w="140" w:type="dxa"/>
            <w:vAlign w:val="bottom"/>
          </w:tcPr>
          <w:p>
            <w:pPr>
              <w:spacing w:after="0"/>
              <w:rPr>
                <w:sz w:val="15"/>
                <w:szCs w:val="15"/>
                <w:color w:val="auto"/>
              </w:rPr>
            </w:pPr>
          </w:p>
        </w:tc>
        <w:tc>
          <w:tcPr>
            <w:tcW w:w="18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6,996,206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top w:val="single" w:sz="8" w:color="auto"/>
              <w:bottom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1,060,726</w:t>
            </w:r>
          </w:p>
        </w:tc>
        <w:tc>
          <w:tcPr>
            <w:tcW w:w="120" w:type="dxa"/>
            <w:vAlign w:val="bottom"/>
          </w:tcPr>
          <w:p>
            <w:pPr>
              <w:spacing w:after="0"/>
              <w:rPr>
                <w:sz w:val="15"/>
                <w:szCs w:val="15"/>
                <w:color w:val="auto"/>
              </w:rPr>
            </w:pPr>
          </w:p>
        </w:tc>
      </w:tr>
    </w:tbl>
    <w:p>
      <w:pPr>
        <w:spacing w:after="0" w:line="160" w:lineRule="exact"/>
        <w:rPr>
          <w:sz w:val="20"/>
          <w:szCs w:val="20"/>
          <w:color w:val="auto"/>
        </w:rPr>
      </w:pPr>
    </w:p>
    <w:p>
      <w:pPr>
        <w:ind w:left="240" w:right="240"/>
        <w:spacing w:after="0" w:line="255" w:lineRule="auto"/>
        <w:rPr>
          <w:sz w:val="20"/>
          <w:szCs w:val="20"/>
          <w:color w:val="auto"/>
        </w:rPr>
      </w:pPr>
      <w:r>
        <w:rPr>
          <w:rFonts w:ascii="Arial" w:cs="Arial" w:eastAsia="Arial" w:hAnsi="Arial"/>
          <w:sz w:val="16"/>
          <w:szCs w:val="16"/>
          <w:color w:val="auto"/>
        </w:rPr>
        <w:t>The detail of the gross amount of impaired direct loans by type of loan, together with the fair value of the related collateral and the amounts of its allowance for loan losses, are as follows:</w:t>
      </w:r>
    </w:p>
    <w:p>
      <w:pPr>
        <w:spacing w:after="0" w:line="150" w:lineRule="exact"/>
        <w:rPr>
          <w:sz w:val="20"/>
          <w:szCs w:val="20"/>
          <w:color w:val="auto"/>
        </w:rPr>
      </w:pPr>
    </w:p>
    <w:tbl>
      <w:tblPr>
        <w:tblLayout w:type="fixed"/>
        <w:tblInd w:w="1360" w:type="dxa"/>
        <w:tblCellMar>
          <w:top w:w="0" w:type="dxa"/>
          <w:left w:w="0" w:type="dxa"/>
          <w:bottom w:w="0" w:type="dxa"/>
          <w:right w:w="0" w:type="dxa"/>
        </w:tblCellMar>
      </w:tblPr>
      <w:tr>
        <w:trPr>
          <w:trHeight w:val="116"/>
        </w:trPr>
        <w:tc>
          <w:tcPr>
            <w:tcW w:w="820" w:type="dxa"/>
            <w:vAlign w:val="bottom"/>
          </w:tcPr>
          <w:p>
            <w:pPr>
              <w:spacing w:after="0"/>
              <w:rPr>
                <w:sz w:val="20"/>
                <w:szCs w:val="20"/>
                <w:color w:val="auto"/>
              </w:rPr>
            </w:pPr>
            <w:r>
              <w:rPr>
                <w:rFonts w:ascii="Arial" w:cs="Arial" w:eastAsia="Arial" w:hAnsi="Arial"/>
                <w:sz w:val="9"/>
                <w:szCs w:val="9"/>
                <w:b w:val="1"/>
                <w:bCs w:val="1"/>
                <w:color w:val="auto"/>
              </w:rPr>
              <w:t>2024</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2023</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98"/>
        </w:trPr>
        <w:tc>
          <w:tcPr>
            <w:tcW w:w="8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b w:val="1"/>
                <w:bCs w:val="1"/>
                <w:color w:val="auto"/>
              </w:rPr>
              <w:t>Residential</w:t>
            </w: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line="98" w:lineRule="exact"/>
              <w:rPr>
                <w:sz w:val="20"/>
                <w:szCs w:val="20"/>
                <w:color w:val="auto"/>
              </w:rPr>
            </w:pPr>
            <w:r>
              <w:rPr>
                <w:rFonts w:ascii="Arial" w:cs="Arial" w:eastAsia="Arial" w:hAnsi="Arial"/>
                <w:sz w:val="9"/>
                <w:szCs w:val="9"/>
                <w:b w:val="1"/>
                <w:bCs w:val="1"/>
                <w:color w:val="auto"/>
              </w:rPr>
              <w:t>Residential</w:t>
            </w: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r>
      <w:tr>
        <w:trPr>
          <w:trHeight w:val="105"/>
        </w:trPr>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Commercial</w:t>
            </w:r>
          </w:p>
        </w:tc>
        <w:tc>
          <w:tcPr>
            <w:tcW w:w="820" w:type="dxa"/>
            <w:vAlign w:val="bottom"/>
          </w:tcPr>
          <w:p>
            <w:pPr>
              <w:spacing w:after="0"/>
              <w:rPr>
                <w:sz w:val="20"/>
                <w:szCs w:val="20"/>
                <w:color w:val="auto"/>
              </w:rPr>
            </w:pPr>
            <w:r>
              <w:rPr>
                <w:rFonts w:ascii="Arial" w:cs="Arial" w:eastAsia="Arial" w:hAnsi="Arial"/>
                <w:sz w:val="9"/>
                <w:szCs w:val="9"/>
                <w:b w:val="1"/>
                <w:bCs w:val="1"/>
                <w:color w:val="auto"/>
              </w:rPr>
              <w:t>mortgage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Microbusiness</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Consumer</w:t>
            </w: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Commercial</w:t>
            </w:r>
          </w:p>
        </w:tc>
        <w:tc>
          <w:tcPr>
            <w:tcW w:w="820" w:type="dxa"/>
            <w:vAlign w:val="bottom"/>
          </w:tcPr>
          <w:p>
            <w:pPr>
              <w:spacing w:after="0"/>
              <w:rPr>
                <w:sz w:val="20"/>
                <w:szCs w:val="20"/>
                <w:color w:val="auto"/>
              </w:rPr>
            </w:pPr>
            <w:r>
              <w:rPr>
                <w:rFonts w:ascii="Arial" w:cs="Arial" w:eastAsia="Arial" w:hAnsi="Arial"/>
                <w:sz w:val="9"/>
                <w:szCs w:val="9"/>
                <w:b w:val="1"/>
                <w:bCs w:val="1"/>
                <w:color w:val="auto"/>
              </w:rPr>
              <w:t>mortgage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Microbusiness</w:t>
            </w:r>
          </w:p>
        </w:tc>
        <w:tc>
          <w:tcPr>
            <w:tcW w:w="1000" w:type="dxa"/>
            <w:vAlign w:val="bottom"/>
            <w:gridSpan w:val="3"/>
          </w:tcPr>
          <w:p>
            <w:pPr>
              <w:ind w:left="100"/>
              <w:spacing w:after="0"/>
              <w:rPr>
                <w:sz w:val="20"/>
                <w:szCs w:val="20"/>
                <w:color w:val="auto"/>
              </w:rPr>
            </w:pPr>
            <w:r>
              <w:rPr>
                <w:rFonts w:ascii="Arial" w:cs="Arial" w:eastAsia="Arial" w:hAnsi="Arial"/>
                <w:sz w:val="9"/>
                <w:szCs w:val="9"/>
                <w:b w:val="1"/>
                <w:bCs w:val="1"/>
                <w:color w:val="auto"/>
              </w:rPr>
              <w:t>Consumer</w:t>
            </w:r>
          </w:p>
        </w:tc>
        <w:tc>
          <w:tcPr>
            <w:tcW w:w="840" w:type="dxa"/>
            <w:vAlign w:val="bottom"/>
          </w:tcPr>
          <w:p>
            <w:pPr>
              <w:spacing w:after="0"/>
              <w:rPr>
                <w:sz w:val="9"/>
                <w:szCs w:val="9"/>
                <w:color w:val="auto"/>
              </w:rPr>
            </w:pPr>
          </w:p>
        </w:tc>
      </w:tr>
      <w:tr>
        <w:trPr>
          <w:trHeight w:val="116"/>
        </w:trPr>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loans</w:t>
            </w:r>
          </w:p>
        </w:tc>
        <w:tc>
          <w:tcPr>
            <w:tcW w:w="820" w:type="dxa"/>
            <w:vAlign w:val="bottom"/>
          </w:tcPr>
          <w:p>
            <w:pPr>
              <w:spacing w:after="0"/>
              <w:rPr>
                <w:sz w:val="20"/>
                <w:szCs w:val="20"/>
                <w:color w:val="auto"/>
              </w:rPr>
            </w:pPr>
            <w:r>
              <w:rPr>
                <w:rFonts w:ascii="Arial" w:cs="Arial" w:eastAsia="Arial" w:hAnsi="Arial"/>
                <w:sz w:val="9"/>
                <w:szCs w:val="9"/>
                <w:b w:val="1"/>
                <w:bCs w:val="1"/>
                <w:color w:val="auto"/>
              </w:rPr>
              <w:t>loans</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loans</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loans</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loans</w:t>
            </w:r>
          </w:p>
        </w:tc>
        <w:tc>
          <w:tcPr>
            <w:tcW w:w="820" w:type="dxa"/>
            <w:vAlign w:val="bottom"/>
          </w:tcPr>
          <w:p>
            <w:pPr>
              <w:spacing w:after="0"/>
              <w:rPr>
                <w:sz w:val="20"/>
                <w:szCs w:val="20"/>
                <w:color w:val="auto"/>
              </w:rPr>
            </w:pPr>
            <w:r>
              <w:rPr>
                <w:rFonts w:ascii="Arial" w:cs="Arial" w:eastAsia="Arial" w:hAnsi="Arial"/>
                <w:sz w:val="9"/>
                <w:szCs w:val="9"/>
                <w:b w:val="1"/>
                <w:bCs w:val="1"/>
                <w:color w:val="auto"/>
              </w:rPr>
              <w:t>loans</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loans</w:t>
            </w:r>
          </w:p>
        </w:tc>
        <w:tc>
          <w:tcPr>
            <w:tcW w:w="1000" w:type="dxa"/>
            <w:vAlign w:val="bottom"/>
            <w:gridSpan w:val="3"/>
          </w:tcPr>
          <w:p>
            <w:pPr>
              <w:ind w:left="100"/>
              <w:spacing w:after="0"/>
              <w:rPr>
                <w:sz w:val="20"/>
                <w:szCs w:val="20"/>
                <w:color w:val="auto"/>
              </w:rPr>
            </w:pPr>
            <w:r>
              <w:rPr>
                <w:rFonts w:ascii="Arial" w:cs="Arial" w:eastAsia="Arial" w:hAnsi="Arial"/>
                <w:sz w:val="9"/>
                <w:szCs w:val="9"/>
                <w:b w:val="1"/>
                <w:bCs w:val="1"/>
                <w:color w:val="auto"/>
              </w:rPr>
              <w:t>loans</w:t>
            </w:r>
          </w:p>
        </w:tc>
        <w:tc>
          <w:tcPr>
            <w:tcW w:w="840" w:type="dxa"/>
            <w:vAlign w:val="bottom"/>
          </w:tcPr>
          <w:p>
            <w:pPr>
              <w:spacing w:after="0"/>
              <w:rPr>
                <w:sz w:val="20"/>
                <w:szCs w:val="20"/>
                <w:color w:val="auto"/>
              </w:rPr>
            </w:pPr>
            <w:r>
              <w:rPr>
                <w:rFonts w:ascii="Arial" w:cs="Arial" w:eastAsia="Arial" w:hAnsi="Arial"/>
                <w:sz w:val="9"/>
                <w:szCs w:val="9"/>
                <w:b w:val="1"/>
                <w:bCs w:val="1"/>
                <w:color w:val="auto"/>
              </w:rPr>
              <w:t>Total</w:t>
            </w:r>
          </w:p>
        </w:tc>
      </w:tr>
      <w:tr>
        <w:trPr>
          <w:trHeight w:val="94"/>
        </w:trPr>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10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r>
    </w:tbl>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97"/>
        </w:trPr>
        <w:tc>
          <w:tcPr>
            <w:tcW w:w="1220" w:type="dxa"/>
            <w:vAlign w:val="bottom"/>
          </w:tcPr>
          <w:p>
            <w:pPr>
              <w:spacing w:after="0" w:line="98" w:lineRule="exact"/>
              <w:rPr>
                <w:sz w:val="20"/>
                <w:szCs w:val="20"/>
                <w:color w:val="auto"/>
              </w:rPr>
            </w:pPr>
            <w:r>
              <w:rPr>
                <w:rFonts w:ascii="Arial" w:cs="Arial" w:eastAsia="Arial" w:hAnsi="Arial"/>
                <w:sz w:val="9"/>
                <w:szCs w:val="9"/>
                <w:color w:val="auto"/>
              </w:rPr>
              <w:t>Impaired loans</w:t>
            </w:r>
          </w:p>
        </w:tc>
        <w:tc>
          <w:tcPr>
            <w:tcW w:w="960" w:type="dxa"/>
            <w:vAlign w:val="bottom"/>
          </w:tcPr>
          <w:p>
            <w:pPr>
              <w:jc w:val="right"/>
              <w:ind w:right="193"/>
              <w:spacing w:after="0" w:line="98" w:lineRule="exact"/>
              <w:rPr>
                <w:sz w:val="20"/>
                <w:szCs w:val="20"/>
                <w:color w:val="auto"/>
              </w:rPr>
            </w:pPr>
            <w:r>
              <w:rPr>
                <w:rFonts w:ascii="Arial" w:cs="Arial" w:eastAsia="Arial" w:hAnsi="Arial"/>
                <w:sz w:val="9"/>
                <w:szCs w:val="9"/>
                <w:color w:val="auto"/>
              </w:rPr>
              <w:t>5,028,223</w:t>
            </w:r>
          </w:p>
        </w:tc>
        <w:tc>
          <w:tcPr>
            <w:tcW w:w="900" w:type="dxa"/>
            <w:vAlign w:val="bottom"/>
          </w:tcPr>
          <w:p>
            <w:pPr>
              <w:jc w:val="right"/>
              <w:ind w:right="193"/>
              <w:spacing w:after="0" w:line="98" w:lineRule="exact"/>
              <w:rPr>
                <w:sz w:val="20"/>
                <w:szCs w:val="20"/>
                <w:color w:val="auto"/>
              </w:rPr>
            </w:pPr>
            <w:r>
              <w:rPr>
                <w:rFonts w:ascii="Arial" w:cs="Arial" w:eastAsia="Arial" w:hAnsi="Arial"/>
                <w:sz w:val="9"/>
                <w:szCs w:val="9"/>
                <w:color w:val="auto"/>
              </w:rPr>
              <w:t>1,643,883</w:t>
            </w:r>
          </w:p>
        </w:tc>
        <w:tc>
          <w:tcPr>
            <w:tcW w:w="920" w:type="dxa"/>
            <w:vAlign w:val="bottom"/>
          </w:tcPr>
          <w:p>
            <w:pPr>
              <w:jc w:val="right"/>
              <w:ind w:right="193"/>
              <w:spacing w:after="0" w:line="98" w:lineRule="exact"/>
              <w:rPr>
                <w:sz w:val="20"/>
                <w:szCs w:val="20"/>
                <w:color w:val="auto"/>
              </w:rPr>
            </w:pPr>
            <w:r>
              <w:rPr>
                <w:rFonts w:ascii="Arial" w:cs="Arial" w:eastAsia="Arial" w:hAnsi="Arial"/>
                <w:sz w:val="9"/>
                <w:szCs w:val="9"/>
                <w:color w:val="auto"/>
              </w:rPr>
              <w:t>1,686,829</w:t>
            </w:r>
          </w:p>
        </w:tc>
        <w:tc>
          <w:tcPr>
            <w:tcW w:w="900" w:type="dxa"/>
            <w:vAlign w:val="bottom"/>
          </w:tcPr>
          <w:p>
            <w:pPr>
              <w:jc w:val="right"/>
              <w:ind w:right="193"/>
              <w:spacing w:after="0" w:line="98" w:lineRule="exact"/>
              <w:rPr>
                <w:sz w:val="20"/>
                <w:szCs w:val="20"/>
                <w:color w:val="auto"/>
              </w:rPr>
            </w:pPr>
            <w:r>
              <w:rPr>
                <w:rFonts w:ascii="Arial" w:cs="Arial" w:eastAsia="Arial" w:hAnsi="Arial"/>
                <w:sz w:val="9"/>
                <w:szCs w:val="9"/>
                <w:color w:val="auto"/>
              </w:rPr>
              <w:t>1,459,095</w:t>
            </w:r>
          </w:p>
        </w:tc>
        <w:tc>
          <w:tcPr>
            <w:tcW w:w="920" w:type="dxa"/>
            <w:vAlign w:val="bottom"/>
          </w:tcPr>
          <w:p>
            <w:pPr>
              <w:jc w:val="right"/>
              <w:ind w:right="193"/>
              <w:spacing w:after="0" w:line="98" w:lineRule="exact"/>
              <w:rPr>
                <w:sz w:val="20"/>
                <w:szCs w:val="20"/>
                <w:color w:val="auto"/>
              </w:rPr>
            </w:pPr>
            <w:r>
              <w:rPr>
                <w:rFonts w:ascii="Arial" w:cs="Arial" w:eastAsia="Arial" w:hAnsi="Arial"/>
                <w:sz w:val="9"/>
                <w:szCs w:val="9"/>
                <w:color w:val="auto"/>
              </w:rPr>
              <w:t>9,818,030</w:t>
            </w:r>
          </w:p>
        </w:tc>
        <w:tc>
          <w:tcPr>
            <w:tcW w:w="900" w:type="dxa"/>
            <w:vAlign w:val="bottom"/>
          </w:tcPr>
          <w:p>
            <w:pPr>
              <w:jc w:val="right"/>
              <w:ind w:right="193"/>
              <w:spacing w:after="0" w:line="98" w:lineRule="exact"/>
              <w:rPr>
                <w:sz w:val="20"/>
                <w:szCs w:val="20"/>
                <w:color w:val="auto"/>
              </w:rPr>
            </w:pPr>
            <w:r>
              <w:rPr>
                <w:rFonts w:ascii="Arial" w:cs="Arial" w:eastAsia="Arial" w:hAnsi="Arial"/>
                <w:sz w:val="9"/>
                <w:szCs w:val="9"/>
                <w:color w:val="auto"/>
              </w:rPr>
              <w:t>6,100,142</w:t>
            </w:r>
          </w:p>
        </w:tc>
        <w:tc>
          <w:tcPr>
            <w:tcW w:w="920" w:type="dxa"/>
            <w:vAlign w:val="bottom"/>
          </w:tcPr>
          <w:p>
            <w:pPr>
              <w:jc w:val="right"/>
              <w:ind w:right="193"/>
              <w:spacing w:after="0" w:line="98" w:lineRule="exact"/>
              <w:rPr>
                <w:sz w:val="20"/>
                <w:szCs w:val="20"/>
                <w:color w:val="auto"/>
              </w:rPr>
            </w:pPr>
            <w:r>
              <w:rPr>
                <w:rFonts w:ascii="Arial" w:cs="Arial" w:eastAsia="Arial" w:hAnsi="Arial"/>
                <w:sz w:val="9"/>
                <w:szCs w:val="9"/>
                <w:color w:val="auto"/>
              </w:rPr>
              <w:t>1,468,747</w:t>
            </w:r>
          </w:p>
        </w:tc>
        <w:tc>
          <w:tcPr>
            <w:tcW w:w="920" w:type="dxa"/>
            <w:vAlign w:val="bottom"/>
          </w:tcPr>
          <w:p>
            <w:pPr>
              <w:jc w:val="right"/>
              <w:ind w:right="213"/>
              <w:spacing w:after="0" w:line="98" w:lineRule="exact"/>
              <w:rPr>
                <w:sz w:val="20"/>
                <w:szCs w:val="20"/>
                <w:color w:val="auto"/>
              </w:rPr>
            </w:pPr>
            <w:r>
              <w:rPr>
                <w:rFonts w:ascii="Arial" w:cs="Arial" w:eastAsia="Arial" w:hAnsi="Arial"/>
                <w:sz w:val="9"/>
                <w:szCs w:val="9"/>
                <w:color w:val="auto"/>
              </w:rPr>
              <w:t>1,802,572</w:t>
            </w:r>
          </w:p>
        </w:tc>
        <w:tc>
          <w:tcPr>
            <w:tcW w:w="880" w:type="dxa"/>
            <w:vAlign w:val="bottom"/>
          </w:tcPr>
          <w:p>
            <w:pPr>
              <w:jc w:val="right"/>
              <w:ind w:right="173"/>
              <w:spacing w:after="0" w:line="98" w:lineRule="exact"/>
              <w:rPr>
                <w:sz w:val="20"/>
                <w:szCs w:val="20"/>
                <w:color w:val="auto"/>
              </w:rPr>
            </w:pPr>
            <w:r>
              <w:rPr>
                <w:rFonts w:ascii="Arial" w:cs="Arial" w:eastAsia="Arial" w:hAnsi="Arial"/>
                <w:sz w:val="9"/>
                <w:szCs w:val="9"/>
                <w:color w:val="auto"/>
              </w:rPr>
              <w:t>1,546,685</w:t>
            </w:r>
          </w:p>
        </w:tc>
        <w:tc>
          <w:tcPr>
            <w:tcW w:w="700" w:type="dxa"/>
            <w:vAlign w:val="bottom"/>
          </w:tcPr>
          <w:p>
            <w:pPr>
              <w:jc w:val="right"/>
              <w:spacing w:after="0" w:line="98" w:lineRule="exact"/>
              <w:rPr>
                <w:sz w:val="20"/>
                <w:szCs w:val="20"/>
                <w:color w:val="auto"/>
              </w:rPr>
            </w:pPr>
            <w:r>
              <w:rPr>
                <w:rFonts w:ascii="Arial" w:cs="Arial" w:eastAsia="Arial" w:hAnsi="Arial"/>
                <w:sz w:val="9"/>
                <w:szCs w:val="9"/>
                <w:color w:val="auto"/>
              </w:rPr>
              <w:t>10,918,146</w:t>
            </w:r>
          </w:p>
        </w:tc>
      </w:tr>
      <w:tr>
        <w:trPr>
          <w:trHeight w:val="105"/>
        </w:trPr>
        <w:tc>
          <w:tcPr>
            <w:tcW w:w="1220" w:type="dxa"/>
            <w:vAlign w:val="bottom"/>
          </w:tcPr>
          <w:p>
            <w:pPr>
              <w:spacing w:after="0"/>
              <w:rPr>
                <w:sz w:val="20"/>
                <w:szCs w:val="20"/>
                <w:color w:val="auto"/>
              </w:rPr>
            </w:pPr>
            <w:r>
              <w:rPr>
                <w:rFonts w:ascii="Arial" w:cs="Arial" w:eastAsia="Arial" w:hAnsi="Arial"/>
                <w:sz w:val="9"/>
                <w:szCs w:val="9"/>
                <w:color w:val="auto"/>
              </w:rPr>
              <w:t>Fair value of collateral</w:t>
            </w:r>
          </w:p>
        </w:tc>
        <w:tc>
          <w:tcPr>
            <w:tcW w:w="960" w:type="dxa"/>
            <w:vAlign w:val="bottom"/>
          </w:tcPr>
          <w:p>
            <w:pPr>
              <w:jc w:val="right"/>
              <w:ind w:right="193"/>
              <w:spacing w:after="0"/>
              <w:rPr>
                <w:sz w:val="20"/>
                <w:szCs w:val="20"/>
                <w:color w:val="auto"/>
              </w:rPr>
            </w:pPr>
            <w:r>
              <w:rPr>
                <w:rFonts w:ascii="Arial" w:cs="Arial" w:eastAsia="Arial" w:hAnsi="Arial"/>
                <w:sz w:val="9"/>
                <w:szCs w:val="9"/>
                <w:color w:val="auto"/>
              </w:rPr>
              <w:t>3,979,625</w:t>
            </w:r>
          </w:p>
        </w:tc>
        <w:tc>
          <w:tcPr>
            <w:tcW w:w="900" w:type="dxa"/>
            <w:vAlign w:val="bottom"/>
          </w:tcPr>
          <w:p>
            <w:pPr>
              <w:jc w:val="right"/>
              <w:ind w:right="193"/>
              <w:spacing w:after="0"/>
              <w:rPr>
                <w:sz w:val="20"/>
                <w:szCs w:val="20"/>
                <w:color w:val="auto"/>
              </w:rPr>
            </w:pPr>
            <w:r>
              <w:rPr>
                <w:rFonts w:ascii="Arial" w:cs="Arial" w:eastAsia="Arial" w:hAnsi="Arial"/>
                <w:sz w:val="9"/>
                <w:szCs w:val="9"/>
                <w:color w:val="auto"/>
              </w:rPr>
              <w:t>1,401,503</w:t>
            </w:r>
          </w:p>
        </w:tc>
        <w:tc>
          <w:tcPr>
            <w:tcW w:w="920" w:type="dxa"/>
            <w:vAlign w:val="bottom"/>
          </w:tcPr>
          <w:p>
            <w:pPr>
              <w:jc w:val="right"/>
              <w:ind w:right="193"/>
              <w:spacing w:after="0"/>
              <w:rPr>
                <w:sz w:val="20"/>
                <w:szCs w:val="20"/>
                <w:color w:val="auto"/>
              </w:rPr>
            </w:pPr>
            <w:r>
              <w:rPr>
                <w:rFonts w:ascii="Arial" w:cs="Arial" w:eastAsia="Arial" w:hAnsi="Arial"/>
                <w:sz w:val="9"/>
                <w:szCs w:val="9"/>
                <w:color w:val="auto"/>
              </w:rPr>
              <w:t>388,752</w:t>
            </w:r>
          </w:p>
        </w:tc>
        <w:tc>
          <w:tcPr>
            <w:tcW w:w="900" w:type="dxa"/>
            <w:vAlign w:val="bottom"/>
          </w:tcPr>
          <w:p>
            <w:pPr>
              <w:jc w:val="right"/>
              <w:ind w:right="193"/>
              <w:spacing w:after="0"/>
              <w:rPr>
                <w:sz w:val="20"/>
                <w:szCs w:val="20"/>
                <w:color w:val="auto"/>
              </w:rPr>
            </w:pPr>
            <w:r>
              <w:rPr>
                <w:rFonts w:ascii="Arial" w:cs="Arial" w:eastAsia="Arial" w:hAnsi="Arial"/>
                <w:sz w:val="9"/>
                <w:szCs w:val="9"/>
                <w:color w:val="auto"/>
              </w:rPr>
              <w:t>439,736</w:t>
            </w:r>
          </w:p>
        </w:tc>
        <w:tc>
          <w:tcPr>
            <w:tcW w:w="920" w:type="dxa"/>
            <w:vAlign w:val="bottom"/>
          </w:tcPr>
          <w:p>
            <w:pPr>
              <w:jc w:val="right"/>
              <w:ind w:right="193"/>
              <w:spacing w:after="0"/>
              <w:rPr>
                <w:sz w:val="20"/>
                <w:szCs w:val="20"/>
                <w:color w:val="auto"/>
              </w:rPr>
            </w:pPr>
            <w:r>
              <w:rPr>
                <w:rFonts w:ascii="Arial" w:cs="Arial" w:eastAsia="Arial" w:hAnsi="Arial"/>
                <w:sz w:val="9"/>
                <w:szCs w:val="9"/>
                <w:color w:val="auto"/>
              </w:rPr>
              <w:t>6,209,616</w:t>
            </w:r>
          </w:p>
        </w:tc>
        <w:tc>
          <w:tcPr>
            <w:tcW w:w="900" w:type="dxa"/>
            <w:vAlign w:val="bottom"/>
          </w:tcPr>
          <w:p>
            <w:pPr>
              <w:jc w:val="right"/>
              <w:ind w:right="193"/>
              <w:spacing w:after="0"/>
              <w:rPr>
                <w:sz w:val="20"/>
                <w:szCs w:val="20"/>
                <w:color w:val="auto"/>
              </w:rPr>
            </w:pPr>
            <w:r>
              <w:rPr>
                <w:rFonts w:ascii="Arial" w:cs="Arial" w:eastAsia="Arial" w:hAnsi="Arial"/>
                <w:sz w:val="9"/>
                <w:szCs w:val="9"/>
                <w:color w:val="auto"/>
              </w:rPr>
              <w:t>5,013,453</w:t>
            </w:r>
          </w:p>
        </w:tc>
        <w:tc>
          <w:tcPr>
            <w:tcW w:w="920" w:type="dxa"/>
            <w:vAlign w:val="bottom"/>
          </w:tcPr>
          <w:p>
            <w:pPr>
              <w:jc w:val="right"/>
              <w:ind w:right="193"/>
              <w:spacing w:after="0"/>
              <w:rPr>
                <w:sz w:val="20"/>
                <w:szCs w:val="20"/>
                <w:color w:val="auto"/>
              </w:rPr>
            </w:pPr>
            <w:r>
              <w:rPr>
                <w:rFonts w:ascii="Arial" w:cs="Arial" w:eastAsia="Arial" w:hAnsi="Arial"/>
                <w:sz w:val="9"/>
                <w:szCs w:val="9"/>
                <w:color w:val="auto"/>
              </w:rPr>
              <w:t>1,257,251</w:t>
            </w:r>
          </w:p>
        </w:tc>
        <w:tc>
          <w:tcPr>
            <w:tcW w:w="920" w:type="dxa"/>
            <w:vAlign w:val="bottom"/>
          </w:tcPr>
          <w:p>
            <w:pPr>
              <w:jc w:val="right"/>
              <w:ind w:right="213"/>
              <w:spacing w:after="0"/>
              <w:rPr>
                <w:sz w:val="20"/>
                <w:szCs w:val="20"/>
                <w:color w:val="auto"/>
              </w:rPr>
            </w:pPr>
            <w:r>
              <w:rPr>
                <w:rFonts w:ascii="Arial" w:cs="Arial" w:eastAsia="Arial" w:hAnsi="Arial"/>
                <w:sz w:val="9"/>
                <w:szCs w:val="9"/>
                <w:color w:val="auto"/>
              </w:rPr>
              <w:t>347,343</w:t>
            </w:r>
          </w:p>
        </w:tc>
        <w:tc>
          <w:tcPr>
            <w:tcW w:w="880" w:type="dxa"/>
            <w:vAlign w:val="bottom"/>
          </w:tcPr>
          <w:p>
            <w:pPr>
              <w:jc w:val="right"/>
              <w:ind w:right="173"/>
              <w:spacing w:after="0"/>
              <w:rPr>
                <w:sz w:val="20"/>
                <w:szCs w:val="20"/>
                <w:color w:val="auto"/>
              </w:rPr>
            </w:pPr>
            <w:r>
              <w:rPr>
                <w:rFonts w:ascii="Arial" w:cs="Arial" w:eastAsia="Arial" w:hAnsi="Arial"/>
                <w:sz w:val="9"/>
                <w:szCs w:val="9"/>
                <w:color w:val="auto"/>
              </w:rPr>
              <w:t>370,790</w:t>
            </w:r>
          </w:p>
        </w:tc>
        <w:tc>
          <w:tcPr>
            <w:tcW w:w="700" w:type="dxa"/>
            <w:vAlign w:val="bottom"/>
          </w:tcPr>
          <w:p>
            <w:pPr>
              <w:jc w:val="right"/>
              <w:spacing w:after="0"/>
              <w:rPr>
                <w:sz w:val="20"/>
                <w:szCs w:val="20"/>
                <w:color w:val="auto"/>
              </w:rPr>
            </w:pPr>
            <w:r>
              <w:rPr>
                <w:rFonts w:ascii="Arial" w:cs="Arial" w:eastAsia="Arial" w:hAnsi="Arial"/>
                <w:sz w:val="9"/>
                <w:szCs w:val="9"/>
                <w:color w:val="auto"/>
              </w:rPr>
              <w:t>6,988,837</w:t>
            </w:r>
          </w:p>
        </w:tc>
      </w:tr>
      <w:tr>
        <w:trPr>
          <w:trHeight w:val="105"/>
        </w:trPr>
        <w:tc>
          <w:tcPr>
            <w:tcW w:w="1220" w:type="dxa"/>
            <w:vAlign w:val="bottom"/>
          </w:tcPr>
          <w:p>
            <w:pPr>
              <w:spacing w:after="0"/>
              <w:rPr>
                <w:sz w:val="20"/>
                <w:szCs w:val="20"/>
                <w:color w:val="auto"/>
              </w:rPr>
            </w:pPr>
            <w:r>
              <w:rPr>
                <w:rFonts w:ascii="Arial" w:cs="Arial" w:eastAsia="Arial" w:hAnsi="Arial"/>
                <w:sz w:val="9"/>
                <w:szCs w:val="9"/>
                <w:color w:val="auto"/>
              </w:rPr>
              <w:t>Allowance for loan</w:t>
            </w: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22"/>
        </w:trPr>
        <w:tc>
          <w:tcPr>
            <w:tcW w:w="1220" w:type="dxa"/>
            <w:vAlign w:val="bottom"/>
          </w:tcPr>
          <w:p>
            <w:pPr>
              <w:spacing w:after="0"/>
              <w:rPr>
                <w:sz w:val="20"/>
                <w:szCs w:val="20"/>
                <w:color w:val="auto"/>
              </w:rPr>
            </w:pPr>
            <w:r>
              <w:rPr>
                <w:rFonts w:ascii="Arial" w:cs="Arial" w:eastAsia="Arial" w:hAnsi="Arial"/>
                <w:sz w:val="9"/>
                <w:szCs w:val="9"/>
                <w:color w:val="auto"/>
              </w:rPr>
              <w:t>losses</w:t>
            </w:r>
          </w:p>
        </w:tc>
        <w:tc>
          <w:tcPr>
            <w:tcW w:w="960" w:type="dxa"/>
            <w:vAlign w:val="bottom"/>
          </w:tcPr>
          <w:p>
            <w:pPr>
              <w:jc w:val="right"/>
              <w:ind w:right="193"/>
              <w:spacing w:after="0"/>
              <w:rPr>
                <w:sz w:val="20"/>
                <w:szCs w:val="20"/>
                <w:color w:val="auto"/>
              </w:rPr>
            </w:pPr>
            <w:r>
              <w:rPr>
                <w:rFonts w:ascii="Arial" w:cs="Arial" w:eastAsia="Arial" w:hAnsi="Arial"/>
                <w:sz w:val="9"/>
                <w:szCs w:val="9"/>
                <w:color w:val="auto"/>
              </w:rPr>
              <w:t>2,159,115</w:t>
            </w:r>
          </w:p>
        </w:tc>
        <w:tc>
          <w:tcPr>
            <w:tcW w:w="900" w:type="dxa"/>
            <w:vAlign w:val="bottom"/>
          </w:tcPr>
          <w:p>
            <w:pPr>
              <w:jc w:val="right"/>
              <w:ind w:right="193"/>
              <w:spacing w:after="0"/>
              <w:rPr>
                <w:sz w:val="20"/>
                <w:szCs w:val="20"/>
                <w:color w:val="auto"/>
              </w:rPr>
            </w:pPr>
            <w:r>
              <w:rPr>
                <w:rFonts w:ascii="Arial" w:cs="Arial" w:eastAsia="Arial" w:hAnsi="Arial"/>
                <w:sz w:val="9"/>
                <w:szCs w:val="9"/>
                <w:color w:val="auto"/>
              </w:rPr>
              <w:t>819,671</w:t>
            </w:r>
          </w:p>
        </w:tc>
        <w:tc>
          <w:tcPr>
            <w:tcW w:w="920" w:type="dxa"/>
            <w:vAlign w:val="bottom"/>
          </w:tcPr>
          <w:p>
            <w:pPr>
              <w:jc w:val="right"/>
              <w:ind w:right="193"/>
              <w:spacing w:after="0"/>
              <w:rPr>
                <w:sz w:val="20"/>
                <w:szCs w:val="20"/>
                <w:color w:val="auto"/>
              </w:rPr>
            </w:pPr>
            <w:r>
              <w:rPr>
                <w:rFonts w:ascii="Arial" w:cs="Arial" w:eastAsia="Arial" w:hAnsi="Arial"/>
                <w:sz w:val="9"/>
                <w:szCs w:val="9"/>
                <w:color w:val="auto"/>
              </w:rPr>
              <w:t>1,167,311</w:t>
            </w:r>
          </w:p>
        </w:tc>
        <w:tc>
          <w:tcPr>
            <w:tcW w:w="900" w:type="dxa"/>
            <w:vAlign w:val="bottom"/>
          </w:tcPr>
          <w:p>
            <w:pPr>
              <w:jc w:val="right"/>
              <w:ind w:right="193"/>
              <w:spacing w:after="0"/>
              <w:rPr>
                <w:sz w:val="20"/>
                <w:szCs w:val="20"/>
                <w:color w:val="auto"/>
              </w:rPr>
            </w:pPr>
            <w:r>
              <w:rPr>
                <w:rFonts w:ascii="Arial" w:cs="Arial" w:eastAsia="Arial" w:hAnsi="Arial"/>
                <w:sz w:val="9"/>
                <w:szCs w:val="9"/>
                <w:color w:val="auto"/>
              </w:rPr>
              <w:t>1,203,250</w:t>
            </w:r>
          </w:p>
        </w:tc>
        <w:tc>
          <w:tcPr>
            <w:tcW w:w="920" w:type="dxa"/>
            <w:vAlign w:val="bottom"/>
          </w:tcPr>
          <w:p>
            <w:pPr>
              <w:jc w:val="right"/>
              <w:ind w:right="193"/>
              <w:spacing w:after="0"/>
              <w:rPr>
                <w:sz w:val="20"/>
                <w:szCs w:val="20"/>
                <w:color w:val="auto"/>
              </w:rPr>
            </w:pPr>
            <w:r>
              <w:rPr>
                <w:rFonts w:ascii="Arial" w:cs="Arial" w:eastAsia="Arial" w:hAnsi="Arial"/>
                <w:sz w:val="9"/>
                <w:szCs w:val="9"/>
                <w:color w:val="auto"/>
              </w:rPr>
              <w:t>5,349,347</w:t>
            </w:r>
          </w:p>
        </w:tc>
        <w:tc>
          <w:tcPr>
            <w:tcW w:w="900" w:type="dxa"/>
            <w:vAlign w:val="bottom"/>
          </w:tcPr>
          <w:p>
            <w:pPr>
              <w:jc w:val="right"/>
              <w:ind w:right="193"/>
              <w:spacing w:after="0"/>
              <w:rPr>
                <w:sz w:val="20"/>
                <w:szCs w:val="20"/>
                <w:color w:val="auto"/>
              </w:rPr>
            </w:pPr>
            <w:r>
              <w:rPr>
                <w:rFonts w:ascii="Arial" w:cs="Arial" w:eastAsia="Arial" w:hAnsi="Arial"/>
                <w:sz w:val="9"/>
                <w:szCs w:val="9"/>
                <w:color w:val="auto"/>
              </w:rPr>
              <w:t>2,330,978</w:t>
            </w:r>
          </w:p>
        </w:tc>
        <w:tc>
          <w:tcPr>
            <w:tcW w:w="920" w:type="dxa"/>
            <w:vAlign w:val="bottom"/>
          </w:tcPr>
          <w:p>
            <w:pPr>
              <w:jc w:val="right"/>
              <w:ind w:right="193"/>
              <w:spacing w:after="0"/>
              <w:rPr>
                <w:sz w:val="20"/>
                <w:szCs w:val="20"/>
                <w:color w:val="auto"/>
              </w:rPr>
            </w:pPr>
            <w:r>
              <w:rPr>
                <w:rFonts w:ascii="Arial" w:cs="Arial" w:eastAsia="Arial" w:hAnsi="Arial"/>
                <w:sz w:val="9"/>
                <w:szCs w:val="9"/>
                <w:color w:val="auto"/>
              </w:rPr>
              <w:t>785,261</w:t>
            </w:r>
          </w:p>
        </w:tc>
        <w:tc>
          <w:tcPr>
            <w:tcW w:w="920" w:type="dxa"/>
            <w:vAlign w:val="bottom"/>
          </w:tcPr>
          <w:p>
            <w:pPr>
              <w:jc w:val="right"/>
              <w:ind w:right="213"/>
              <w:spacing w:after="0"/>
              <w:rPr>
                <w:sz w:val="20"/>
                <w:szCs w:val="20"/>
                <w:color w:val="auto"/>
              </w:rPr>
            </w:pPr>
            <w:r>
              <w:rPr>
                <w:rFonts w:ascii="Arial" w:cs="Arial" w:eastAsia="Arial" w:hAnsi="Arial"/>
                <w:sz w:val="9"/>
                <w:szCs w:val="9"/>
                <w:color w:val="auto"/>
              </w:rPr>
              <w:t>1,288,068</w:t>
            </w:r>
          </w:p>
        </w:tc>
        <w:tc>
          <w:tcPr>
            <w:tcW w:w="880" w:type="dxa"/>
            <w:vAlign w:val="bottom"/>
          </w:tcPr>
          <w:p>
            <w:pPr>
              <w:jc w:val="right"/>
              <w:ind w:right="173"/>
              <w:spacing w:after="0"/>
              <w:rPr>
                <w:sz w:val="20"/>
                <w:szCs w:val="20"/>
                <w:color w:val="auto"/>
              </w:rPr>
            </w:pPr>
            <w:r>
              <w:rPr>
                <w:rFonts w:ascii="Arial" w:cs="Arial" w:eastAsia="Arial" w:hAnsi="Arial"/>
                <w:sz w:val="9"/>
                <w:szCs w:val="9"/>
                <w:color w:val="auto"/>
              </w:rPr>
              <w:t>1,314,373</w:t>
            </w:r>
          </w:p>
        </w:tc>
        <w:tc>
          <w:tcPr>
            <w:tcW w:w="700" w:type="dxa"/>
            <w:vAlign w:val="bottom"/>
          </w:tcPr>
          <w:p>
            <w:pPr>
              <w:jc w:val="right"/>
              <w:spacing w:after="0"/>
              <w:rPr>
                <w:sz w:val="20"/>
                <w:szCs w:val="20"/>
                <w:color w:val="auto"/>
              </w:rPr>
            </w:pPr>
            <w:r>
              <w:rPr>
                <w:rFonts w:ascii="Arial" w:cs="Arial" w:eastAsia="Arial" w:hAnsi="Arial"/>
                <w:sz w:val="9"/>
                <w:szCs w:val="9"/>
                <w:color w:val="auto"/>
              </w:rPr>
              <w:t>5,718,680</w:t>
            </w: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addition, the breakdown of direct loans classified by maturity is shown below, according to the following criteria:</w:t>
      </w:r>
    </w:p>
    <w:p>
      <w:pPr>
        <w:spacing w:after="0" w:line="166" w:lineRule="exact"/>
        <w:rPr>
          <w:sz w:val="20"/>
          <w:szCs w:val="20"/>
          <w:color w:val="auto"/>
        </w:rPr>
      </w:pPr>
    </w:p>
    <w:p>
      <w:pPr>
        <w:ind w:left="560" w:right="80" w:hanging="326"/>
        <w:spacing w:after="0" w:line="237" w:lineRule="auto"/>
        <w:tabs>
          <w:tab w:leader="none" w:pos="5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Current loans, which comprise those direct loans which do not currently have characteristics of delinquency, nor are they in default or stage 3, according to the rules of IFRS 9.</w:t>
      </w:r>
    </w:p>
    <w:p>
      <w:pPr>
        <w:ind w:left="560" w:right="140" w:hanging="326"/>
        <w:spacing w:after="0" w:line="228" w:lineRule="auto"/>
        <w:tabs>
          <w:tab w:leader="none" w:pos="5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Current but impaired loans, which comprise those direct loans which do not currently have characteristics of delinquency, but are in default or stage 3, according to IFRS 9.</w:t>
      </w:r>
    </w:p>
    <w:p>
      <w:pPr>
        <w:ind w:left="560" w:right="60" w:hanging="326"/>
        <w:spacing w:after="0" w:line="228" w:lineRule="auto"/>
        <w:tabs>
          <w:tab w:leader="none" w:pos="5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Loans with payment delay of one day or more but that are not past due according to our internal guidelines, which comprise those direct loans of customers who have failed to make a payment at its contractual maturity, that is, with at least one day past due. However, the days of delinquency are insufficient to be considered as past due under the Group’s internal criteria.</w:t>
      </w:r>
    </w:p>
    <w:p>
      <w:pPr>
        <w:ind w:left="560" w:hanging="326"/>
        <w:spacing w:after="0"/>
        <w:tabs>
          <w:tab w:leader="none" w:pos="5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Past due loans under internal criteria.</w:t>
      </w:r>
    </w:p>
    <w:p>
      <w:pPr>
        <w:spacing w:after="0" w:line="152"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The total of the following reflects all overdue loans according to IFRS 7: (i) loans with payment delays of one day or more but that are not considered overdue under internal criteria and (ii) overdue loans under internal criteria.</w:t>
      </w:r>
    </w:p>
    <w:p>
      <w:pPr>
        <w:spacing w:after="0" w:line="150" w:lineRule="exact"/>
        <w:rPr>
          <w:sz w:val="20"/>
          <w:szCs w:val="20"/>
          <w:color w:val="auto"/>
        </w:rPr>
      </w:pPr>
    </w:p>
    <w:tbl>
      <w:tblPr>
        <w:tblLayout w:type="fixed"/>
        <w:tblInd w:w="960" w:type="dxa"/>
        <w:tblCellMar>
          <w:top w:w="0" w:type="dxa"/>
          <w:left w:w="0" w:type="dxa"/>
          <w:bottom w:w="0" w:type="dxa"/>
          <w:right w:w="0" w:type="dxa"/>
        </w:tblCellMar>
      </w:tblPr>
      <w:tr>
        <w:trPr>
          <w:trHeight w:val="116"/>
        </w:trPr>
        <w:tc>
          <w:tcPr>
            <w:tcW w:w="6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2024</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2023</w:t>
            </w: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r>
        <w:trPr>
          <w:trHeight w:val="86"/>
        </w:trPr>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spacing w:after="0" w:line="86" w:lineRule="exact"/>
              <w:rPr>
                <w:sz w:val="20"/>
                <w:szCs w:val="20"/>
                <w:color w:val="auto"/>
              </w:rPr>
            </w:pPr>
            <w:r>
              <w:rPr>
                <w:rFonts w:ascii="Arial" w:cs="Arial" w:eastAsia="Arial" w:hAnsi="Arial"/>
                <w:sz w:val="9"/>
                <w:szCs w:val="9"/>
                <w:b w:val="1"/>
                <w:bCs w:val="1"/>
                <w:color w:val="auto"/>
              </w:rPr>
              <w:t>Loans with</w:t>
            </w: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Loans with</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05"/>
        </w:trPr>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delays in</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delays in</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5"/>
        </w:trPr>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payments of</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payments of</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5"/>
        </w:trPr>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one day or more</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one day or more</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5"/>
        </w:trPr>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but not</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but not</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5"/>
        </w:trPr>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Current but</w:t>
            </w: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considered</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Total past</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considered</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20"/>
                <w:szCs w:val="20"/>
                <w:color w:val="auto"/>
              </w:rPr>
            </w:pPr>
            <w:r>
              <w:rPr>
                <w:rFonts w:ascii="Arial" w:cs="Arial" w:eastAsia="Arial" w:hAnsi="Arial"/>
                <w:sz w:val="9"/>
                <w:szCs w:val="9"/>
                <w:b w:val="1"/>
                <w:bCs w:val="1"/>
                <w:color w:val="auto"/>
              </w:rPr>
              <w:t>Total past</w:t>
            </w:r>
          </w:p>
        </w:tc>
      </w:tr>
      <w:tr>
        <w:trPr>
          <w:trHeight w:val="105"/>
        </w:trPr>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impaired</w:t>
            </w: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internal overdue</w:t>
            </w: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Internal</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due under</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20"/>
                <w:szCs w:val="20"/>
                <w:color w:val="auto"/>
              </w:rPr>
            </w:pPr>
            <w:r>
              <w:rPr>
                <w:rFonts w:ascii="Arial" w:cs="Arial" w:eastAsia="Arial" w:hAnsi="Arial"/>
                <w:sz w:val="9"/>
                <w:szCs w:val="9"/>
                <w:b w:val="1"/>
                <w:bCs w:val="1"/>
                <w:color w:val="auto"/>
              </w:rPr>
              <w:t>Current but</w:t>
            </w: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internal overdue</w:t>
            </w: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Internal</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20"/>
                <w:szCs w:val="20"/>
                <w:color w:val="auto"/>
              </w:rPr>
            </w:pPr>
            <w:r>
              <w:rPr>
                <w:rFonts w:ascii="Arial" w:cs="Arial" w:eastAsia="Arial" w:hAnsi="Arial"/>
                <w:sz w:val="9"/>
                <w:szCs w:val="9"/>
                <w:b w:val="1"/>
                <w:bCs w:val="1"/>
                <w:color w:val="auto"/>
              </w:rPr>
              <w:t>due under</w:t>
            </w:r>
          </w:p>
        </w:tc>
      </w:tr>
      <w:tr>
        <w:trPr>
          <w:trHeight w:val="116"/>
        </w:trPr>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Current loans</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loans</w:t>
            </w: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loans</w:t>
            </w: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overdue loans</w:t>
            </w:r>
          </w:p>
        </w:tc>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Total</w:t>
            </w: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IFRS 7</w:t>
            </w: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Current loans</w:t>
            </w:r>
          </w:p>
        </w:tc>
        <w:tc>
          <w:tcPr>
            <w:tcW w:w="740" w:type="dxa"/>
            <w:vAlign w:val="bottom"/>
          </w:tcPr>
          <w:p>
            <w:pPr>
              <w:spacing w:after="0"/>
              <w:rPr>
                <w:sz w:val="20"/>
                <w:szCs w:val="20"/>
                <w:color w:val="auto"/>
              </w:rPr>
            </w:pPr>
            <w:r>
              <w:rPr>
                <w:rFonts w:ascii="Arial" w:cs="Arial" w:eastAsia="Arial" w:hAnsi="Arial"/>
                <w:sz w:val="9"/>
                <w:szCs w:val="9"/>
                <w:b w:val="1"/>
                <w:bCs w:val="1"/>
                <w:color w:val="auto"/>
              </w:rPr>
              <w:t>impaired loans</w:t>
            </w: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loans</w:t>
            </w:r>
          </w:p>
        </w:tc>
        <w:tc>
          <w:tcPr>
            <w:tcW w:w="800" w:type="dxa"/>
            <w:vAlign w:val="bottom"/>
            <w:gridSpan w:val="2"/>
          </w:tcPr>
          <w:p>
            <w:pPr>
              <w:ind w:left="80"/>
              <w:spacing w:after="0"/>
              <w:rPr>
                <w:sz w:val="20"/>
                <w:szCs w:val="20"/>
                <w:color w:val="auto"/>
              </w:rPr>
            </w:pPr>
            <w:r>
              <w:rPr>
                <w:rFonts w:ascii="Arial" w:cs="Arial" w:eastAsia="Arial" w:hAnsi="Arial"/>
                <w:sz w:val="9"/>
                <w:szCs w:val="9"/>
                <w:b w:val="1"/>
                <w:bCs w:val="1"/>
                <w:color w:val="auto"/>
              </w:rPr>
              <w:t>overdue loans</w:t>
            </w:r>
          </w:p>
        </w:tc>
        <w:tc>
          <w:tcPr>
            <w:tcW w:w="900" w:type="dxa"/>
            <w:vAlign w:val="bottom"/>
            <w:gridSpan w:val="3"/>
          </w:tcPr>
          <w:p>
            <w:pPr>
              <w:ind w:left="80"/>
              <w:spacing w:after="0"/>
              <w:rPr>
                <w:sz w:val="20"/>
                <w:szCs w:val="20"/>
                <w:color w:val="auto"/>
              </w:rPr>
            </w:pPr>
            <w:r>
              <w:rPr>
                <w:rFonts w:ascii="Arial" w:cs="Arial" w:eastAsia="Arial" w:hAnsi="Arial"/>
                <w:sz w:val="9"/>
                <w:szCs w:val="9"/>
                <w:b w:val="1"/>
                <w:bCs w:val="1"/>
                <w:color w:val="auto"/>
              </w:rPr>
              <w:t>Total</w:t>
            </w:r>
          </w:p>
        </w:tc>
        <w:tc>
          <w:tcPr>
            <w:tcW w:w="760" w:type="dxa"/>
            <w:vAlign w:val="bottom"/>
          </w:tcPr>
          <w:p>
            <w:pPr>
              <w:spacing w:after="0"/>
              <w:rPr>
                <w:sz w:val="20"/>
                <w:szCs w:val="20"/>
                <w:color w:val="auto"/>
              </w:rPr>
            </w:pPr>
            <w:r>
              <w:rPr>
                <w:rFonts w:ascii="Arial" w:cs="Arial" w:eastAsia="Arial" w:hAnsi="Arial"/>
                <w:sz w:val="9"/>
                <w:szCs w:val="9"/>
                <w:b w:val="1"/>
                <w:bCs w:val="1"/>
                <w:color w:val="auto"/>
              </w:rPr>
              <w:t>IFRS 7</w:t>
            </w:r>
          </w:p>
        </w:tc>
      </w:tr>
      <w:tr>
        <w:trPr>
          <w:trHeight w:val="94"/>
        </w:trPr>
        <w:tc>
          <w:tcPr>
            <w:tcW w:w="6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7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7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7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7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7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76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r>
    </w:tbl>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97"/>
        </w:trPr>
        <w:tc>
          <w:tcPr>
            <w:tcW w:w="720" w:type="dxa"/>
            <w:vAlign w:val="bottom"/>
          </w:tcPr>
          <w:p>
            <w:pPr>
              <w:spacing w:after="0" w:line="98" w:lineRule="exact"/>
              <w:rPr>
                <w:sz w:val="20"/>
                <w:szCs w:val="20"/>
                <w:color w:val="auto"/>
              </w:rPr>
            </w:pPr>
            <w:r>
              <w:rPr>
                <w:rFonts w:ascii="Arial" w:cs="Arial" w:eastAsia="Arial" w:hAnsi="Arial"/>
                <w:sz w:val="9"/>
                <w:szCs w:val="9"/>
                <w:color w:val="auto"/>
              </w:rPr>
              <w:t>Neither past due</w:t>
            </w: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105"/>
        </w:trPr>
        <w:tc>
          <w:tcPr>
            <w:tcW w:w="720" w:type="dxa"/>
            <w:vAlign w:val="bottom"/>
          </w:tcPr>
          <w:p>
            <w:pPr>
              <w:spacing w:after="0"/>
              <w:rPr>
                <w:sz w:val="20"/>
                <w:szCs w:val="20"/>
                <w:color w:val="auto"/>
              </w:rPr>
            </w:pPr>
            <w:r>
              <w:rPr>
                <w:rFonts w:ascii="Arial" w:cs="Arial" w:eastAsia="Arial" w:hAnsi="Arial"/>
                <w:sz w:val="9"/>
                <w:szCs w:val="9"/>
                <w:color w:val="auto"/>
              </w:rPr>
              <w:t>nor</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5"/>
        </w:trPr>
        <w:tc>
          <w:tcPr>
            <w:tcW w:w="720" w:type="dxa"/>
            <w:vAlign w:val="bottom"/>
          </w:tcPr>
          <w:p>
            <w:pPr>
              <w:spacing w:after="0"/>
              <w:rPr>
                <w:sz w:val="20"/>
                <w:szCs w:val="20"/>
                <w:color w:val="auto"/>
              </w:rPr>
            </w:pPr>
            <w:r>
              <w:rPr>
                <w:rFonts w:ascii="Arial" w:cs="Arial" w:eastAsia="Arial" w:hAnsi="Arial"/>
                <w:sz w:val="9"/>
                <w:szCs w:val="9"/>
                <w:color w:val="auto"/>
              </w:rPr>
              <w:t>impaired</w:t>
            </w:r>
          </w:p>
        </w:tc>
        <w:tc>
          <w:tcPr>
            <w:tcW w:w="620" w:type="dxa"/>
            <w:vAlign w:val="bottom"/>
          </w:tcPr>
          <w:p>
            <w:pPr>
              <w:jc w:val="right"/>
              <w:spacing w:after="0"/>
              <w:rPr>
                <w:sz w:val="20"/>
                <w:szCs w:val="20"/>
                <w:color w:val="auto"/>
              </w:rPr>
            </w:pPr>
            <w:r>
              <w:rPr>
                <w:rFonts w:ascii="Arial" w:cs="Arial" w:eastAsia="Arial" w:hAnsi="Arial"/>
                <w:sz w:val="9"/>
                <w:szCs w:val="9"/>
                <w:color w:val="auto"/>
              </w:rPr>
              <w:t>130,867,669</w:t>
            </w:r>
          </w:p>
        </w:tc>
        <w:tc>
          <w:tcPr>
            <w:tcW w:w="80" w:type="dxa"/>
            <w:vAlign w:val="bottom"/>
          </w:tcPr>
          <w:p>
            <w:pPr>
              <w:spacing w:after="0"/>
              <w:rPr>
                <w:sz w:val="9"/>
                <w:szCs w:val="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130,867,669</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127,986,360</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127,986,360</w:t>
            </w:r>
          </w:p>
        </w:tc>
        <w:tc>
          <w:tcPr>
            <w:tcW w:w="8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05"/>
        </w:trPr>
        <w:tc>
          <w:tcPr>
            <w:tcW w:w="720" w:type="dxa"/>
            <w:vAlign w:val="bottom"/>
          </w:tcPr>
          <w:p>
            <w:pPr>
              <w:spacing w:after="0"/>
              <w:rPr>
                <w:sz w:val="20"/>
                <w:szCs w:val="20"/>
                <w:color w:val="auto"/>
              </w:rPr>
            </w:pPr>
            <w:r>
              <w:rPr>
                <w:rFonts w:ascii="Arial" w:cs="Arial" w:eastAsia="Arial" w:hAnsi="Arial"/>
                <w:sz w:val="9"/>
                <w:szCs w:val="9"/>
                <w:color w:val="auto"/>
              </w:rPr>
              <w:t>Past due but not</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05"/>
        </w:trPr>
        <w:tc>
          <w:tcPr>
            <w:tcW w:w="720" w:type="dxa"/>
            <w:vAlign w:val="bottom"/>
          </w:tcPr>
          <w:p>
            <w:pPr>
              <w:spacing w:after="0"/>
              <w:rPr>
                <w:sz w:val="20"/>
                <w:szCs w:val="20"/>
                <w:color w:val="auto"/>
              </w:rPr>
            </w:pPr>
            <w:r>
              <w:rPr>
                <w:rFonts w:ascii="Arial" w:cs="Arial" w:eastAsia="Arial" w:hAnsi="Arial"/>
                <w:sz w:val="9"/>
                <w:szCs w:val="9"/>
                <w:color w:val="auto"/>
              </w:rPr>
              <w:t>impaired</w:t>
            </w: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3,189,089</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444,457</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3,633,546</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3,633,546</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4,067,581</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511,167</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4,578,748</w:t>
            </w:r>
          </w:p>
        </w:tc>
        <w:tc>
          <w:tcPr>
            <w:tcW w:w="760" w:type="dxa"/>
            <w:vAlign w:val="bottom"/>
          </w:tcPr>
          <w:p>
            <w:pPr>
              <w:jc w:val="right"/>
              <w:spacing w:after="0"/>
              <w:rPr>
                <w:sz w:val="20"/>
                <w:szCs w:val="20"/>
                <w:color w:val="auto"/>
              </w:rPr>
            </w:pPr>
            <w:r>
              <w:rPr>
                <w:rFonts w:ascii="Arial" w:cs="Arial" w:eastAsia="Arial" w:hAnsi="Arial"/>
                <w:sz w:val="9"/>
                <w:szCs w:val="9"/>
                <w:color w:val="auto"/>
              </w:rPr>
              <w:t>4,578,748</w:t>
            </w:r>
          </w:p>
        </w:tc>
      </w:tr>
      <w:tr>
        <w:trPr>
          <w:trHeight w:val="119"/>
        </w:trPr>
        <w:tc>
          <w:tcPr>
            <w:tcW w:w="720" w:type="dxa"/>
            <w:vAlign w:val="bottom"/>
          </w:tcPr>
          <w:p>
            <w:pPr>
              <w:spacing w:after="0"/>
              <w:rPr>
                <w:sz w:val="20"/>
                <w:szCs w:val="20"/>
                <w:color w:val="auto"/>
              </w:rPr>
            </w:pPr>
            <w:r>
              <w:rPr>
                <w:rFonts w:ascii="Arial" w:cs="Arial" w:eastAsia="Arial" w:hAnsi="Arial"/>
                <w:sz w:val="9"/>
                <w:szCs w:val="9"/>
                <w:color w:val="auto"/>
              </w:rPr>
              <w:t>Impaired debt</w:t>
            </w: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3,802,650</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1,029,703</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4,985,677</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9,818,030</w:t>
            </w:r>
          </w:p>
        </w:tc>
        <w:tc>
          <w:tcPr>
            <w:tcW w:w="800" w:type="dxa"/>
            <w:vAlign w:val="bottom"/>
            <w:gridSpan w:val="2"/>
          </w:tcPr>
          <w:p>
            <w:pPr>
              <w:jc w:val="right"/>
              <w:ind w:right="80"/>
              <w:spacing w:after="0"/>
              <w:rPr>
                <w:sz w:val="20"/>
                <w:szCs w:val="20"/>
                <w:color w:val="auto"/>
              </w:rPr>
            </w:pPr>
            <w:r>
              <w:rPr>
                <w:rFonts w:ascii="Arial" w:cs="Arial" w:eastAsia="Arial" w:hAnsi="Arial"/>
                <w:sz w:val="9"/>
                <w:szCs w:val="9"/>
                <w:color w:val="auto"/>
              </w:rPr>
              <w:t>6,015,380</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9"/>
                <w:szCs w:val="9"/>
                <w:color w:val="auto"/>
              </w:rPr>
              <w:t>4,303,045</w:t>
            </w: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993,101</w:t>
            </w:r>
          </w:p>
        </w:tc>
        <w:tc>
          <w:tcPr>
            <w:tcW w:w="720" w:type="dxa"/>
            <w:vAlign w:val="bottom"/>
          </w:tcPr>
          <w:p>
            <w:pPr>
              <w:jc w:val="right"/>
              <w:spacing w:after="0"/>
              <w:rPr>
                <w:sz w:val="20"/>
                <w:szCs w:val="20"/>
                <w:color w:val="auto"/>
              </w:rPr>
            </w:pPr>
            <w:r>
              <w:rPr>
                <w:rFonts w:ascii="Arial" w:cs="Arial" w:eastAsia="Arial" w:hAnsi="Arial"/>
                <w:sz w:val="9"/>
                <w:szCs w:val="9"/>
                <w:color w:val="auto"/>
              </w:rPr>
              <w:t>5,622,000</w:t>
            </w:r>
          </w:p>
        </w:tc>
        <w:tc>
          <w:tcPr>
            <w:tcW w:w="80" w:type="dxa"/>
            <w:vAlign w:val="bottom"/>
          </w:tcPr>
          <w:p>
            <w:pPr>
              <w:spacing w:after="0"/>
              <w:rPr>
                <w:sz w:val="10"/>
                <w:szCs w:val="1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9"/>
                <w:szCs w:val="9"/>
                <w:color w:val="auto"/>
              </w:rPr>
              <w:t>10,918,146</w:t>
            </w:r>
          </w:p>
        </w:tc>
        <w:tc>
          <w:tcPr>
            <w:tcW w:w="760" w:type="dxa"/>
            <w:vAlign w:val="bottom"/>
          </w:tcPr>
          <w:p>
            <w:pPr>
              <w:jc w:val="right"/>
              <w:spacing w:after="0"/>
              <w:rPr>
                <w:sz w:val="20"/>
                <w:szCs w:val="20"/>
                <w:color w:val="auto"/>
              </w:rPr>
            </w:pPr>
            <w:r>
              <w:rPr>
                <w:rFonts w:ascii="Arial" w:cs="Arial" w:eastAsia="Arial" w:hAnsi="Arial"/>
                <w:sz w:val="9"/>
                <w:szCs w:val="9"/>
                <w:color w:val="auto"/>
              </w:rPr>
              <w:t>6,615,101</w:t>
            </w:r>
          </w:p>
        </w:tc>
      </w:tr>
      <w:tr>
        <w:trPr>
          <w:trHeight w:val="108"/>
        </w:trPr>
        <w:tc>
          <w:tcPr>
            <w:tcW w:w="720" w:type="dxa"/>
            <w:vAlign w:val="bottom"/>
          </w:tcPr>
          <w:p>
            <w:pPr>
              <w:spacing w:after="0"/>
              <w:rPr>
                <w:sz w:val="20"/>
                <w:szCs w:val="20"/>
                <w:color w:val="auto"/>
              </w:rPr>
            </w:pPr>
            <w:r>
              <w:rPr>
                <w:rFonts w:ascii="Arial" w:cs="Arial" w:eastAsia="Arial" w:hAnsi="Arial"/>
                <w:sz w:val="9"/>
                <w:szCs w:val="9"/>
                <w:b w:val="1"/>
                <w:bCs w:val="1"/>
                <w:color w:val="auto"/>
              </w:rPr>
              <w:t>Total</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130,867,669</w:t>
            </w:r>
          </w:p>
        </w:tc>
        <w:tc>
          <w:tcPr>
            <w:tcW w:w="8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3,802,650</w:t>
            </w:r>
          </w:p>
        </w:tc>
        <w:tc>
          <w:tcPr>
            <w:tcW w:w="8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4,218,792</w:t>
            </w:r>
          </w:p>
        </w:tc>
        <w:tc>
          <w:tcPr>
            <w:tcW w:w="6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5,430,134</w:t>
            </w:r>
          </w:p>
        </w:tc>
        <w:tc>
          <w:tcPr>
            <w:tcW w:w="6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144,319,245</w:t>
            </w:r>
          </w:p>
        </w:tc>
        <w:tc>
          <w:tcPr>
            <w:tcW w:w="80" w:type="dxa"/>
            <w:vAlign w:val="bottom"/>
          </w:tcPr>
          <w:p>
            <w:pPr>
              <w:spacing w:after="0"/>
              <w:rPr>
                <w:sz w:val="9"/>
                <w:szCs w:val="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9,648,926</w:t>
            </w:r>
          </w:p>
        </w:tc>
        <w:tc>
          <w:tcPr>
            <w:tcW w:w="8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127,986,360</w:t>
            </w:r>
          </w:p>
        </w:tc>
        <w:tc>
          <w:tcPr>
            <w:tcW w:w="6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4,303,045</w:t>
            </w:r>
          </w:p>
        </w:tc>
        <w:tc>
          <w:tcPr>
            <w:tcW w:w="6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5,060,682</w:t>
            </w:r>
          </w:p>
        </w:tc>
        <w:tc>
          <w:tcPr>
            <w:tcW w:w="80" w:type="dxa"/>
            <w:vAlign w:val="bottom"/>
          </w:tcPr>
          <w:p>
            <w:pPr>
              <w:spacing w:after="0"/>
              <w:rPr>
                <w:sz w:val="9"/>
                <w:szCs w:val="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6,133,167</w:t>
            </w:r>
          </w:p>
        </w:tc>
        <w:tc>
          <w:tcPr>
            <w:tcW w:w="80" w:type="dxa"/>
            <w:vAlign w:val="bottom"/>
          </w:tcPr>
          <w:p>
            <w:pPr>
              <w:spacing w:after="0"/>
              <w:rPr>
                <w:sz w:val="9"/>
                <w:szCs w:val="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143,483,254</w:t>
            </w:r>
          </w:p>
        </w:tc>
        <w:tc>
          <w:tcPr>
            <w:tcW w:w="80" w:type="dxa"/>
            <w:vAlign w:val="bottom"/>
          </w:tcPr>
          <w:p>
            <w:pPr>
              <w:spacing w:after="0"/>
              <w:rPr>
                <w:sz w:val="9"/>
                <w:szCs w:val="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11,193,849</w:t>
            </w:r>
          </w:p>
        </w:tc>
      </w:tr>
    </w:tbl>
    <w:p>
      <w:pPr>
        <w:spacing w:after="0" w:line="307"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36195</wp:posOffset>
            </wp:positionV>
            <wp:extent cx="7150735"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80"/>
          </w:cols>
          <w:pgMar w:left="1200" w:top="124" w:right="319" w:bottom="1440" w:gutter="0" w:footer="0" w:header="0"/>
        </w:sectPr>
      </w:pPr>
    </w:p>
    <w:bookmarkStart w:id="137" w:name="page138"/>
    <w:bookmarkEnd w:id="137"/>
    <w:p>
      <w:pPr>
        <w:ind w:left="46"/>
        <w:spacing w:after="0"/>
        <w:rPr>
          <w:sz w:val="20"/>
          <w:szCs w:val="20"/>
          <w:color w:val="auto"/>
        </w:rPr>
      </w:pPr>
      <w:r>
        <w:rPr>
          <w:rFonts w:ascii="Arial" w:cs="Arial" w:eastAsia="Arial" w:hAnsi="Arial"/>
          <w:sz w:val="16"/>
          <w:szCs w:val="16"/>
          <w:color w:val="auto"/>
        </w:rPr>
        <w:t>The classification of direct loans by type of loan and type of maturity is shown below:</w:t>
      </w:r>
    </w:p>
    <w:p>
      <w:pPr>
        <w:spacing w:after="0" w:line="183" w:lineRule="exact"/>
        <w:rPr>
          <w:sz w:val="20"/>
          <w:szCs w:val="20"/>
          <w:color w:val="auto"/>
        </w:rPr>
      </w:pPr>
    </w:p>
    <w:tbl>
      <w:tblPr>
        <w:tblLayout w:type="fixed"/>
        <w:tblInd w:w="1426" w:type="dxa"/>
        <w:tblCellMar>
          <w:top w:w="0" w:type="dxa"/>
          <w:left w:w="0" w:type="dxa"/>
          <w:bottom w:w="0" w:type="dxa"/>
          <w:right w:w="0" w:type="dxa"/>
        </w:tblCellMar>
      </w:tblPr>
      <w:tr>
        <w:trPr>
          <w:trHeight w:val="119"/>
        </w:trPr>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2024</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9"/>
                <w:szCs w:val="9"/>
                <w:b w:val="1"/>
                <w:bCs w:val="1"/>
                <w:color w:val="auto"/>
              </w:rPr>
              <w:t>2023</w:t>
            </w: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94"/>
        </w:trPr>
        <w:tc>
          <w:tcPr>
            <w:tcW w:w="2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3"/>
          </w:tcPr>
          <w:p>
            <w:pPr>
              <w:ind w:left="80"/>
              <w:spacing w:after="0" w:line="94" w:lineRule="exact"/>
              <w:rPr>
                <w:sz w:val="20"/>
                <w:szCs w:val="20"/>
                <w:color w:val="auto"/>
              </w:rPr>
            </w:pPr>
            <w:r>
              <w:rPr>
                <w:rFonts w:ascii="Arial" w:cs="Arial" w:eastAsia="Arial" w:hAnsi="Arial"/>
                <w:sz w:val="9"/>
                <w:szCs w:val="9"/>
                <w:b w:val="1"/>
                <w:bCs w:val="1"/>
                <w:color w:val="auto"/>
              </w:rPr>
              <w:t>Loans with delays</w:t>
            </w:r>
          </w:p>
        </w:tc>
        <w:tc>
          <w:tcPr>
            <w:tcW w:w="8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tcPr>
          <w:p>
            <w:pPr>
              <w:ind w:left="80"/>
              <w:spacing w:after="0" w:line="94" w:lineRule="exact"/>
              <w:rPr>
                <w:sz w:val="20"/>
                <w:szCs w:val="20"/>
                <w:color w:val="auto"/>
              </w:rPr>
            </w:pPr>
            <w:r>
              <w:rPr>
                <w:rFonts w:ascii="Arial" w:cs="Arial" w:eastAsia="Arial" w:hAnsi="Arial"/>
                <w:sz w:val="9"/>
                <w:szCs w:val="9"/>
                <w:b w:val="1"/>
                <w:bCs w:val="1"/>
                <w:color w:val="auto"/>
              </w:rPr>
              <w:t>Loans with delays</w:t>
            </w:r>
          </w:p>
        </w:tc>
        <w:tc>
          <w:tcPr>
            <w:tcW w:w="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r>
      <w:tr>
        <w:trPr>
          <w:trHeight w:val="105"/>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gridSpan w:val="3"/>
          </w:tcPr>
          <w:p>
            <w:pPr>
              <w:ind w:left="80"/>
              <w:spacing w:after="0"/>
              <w:rPr>
                <w:sz w:val="20"/>
                <w:szCs w:val="20"/>
                <w:color w:val="auto"/>
              </w:rPr>
            </w:pPr>
            <w:r>
              <w:rPr>
                <w:rFonts w:ascii="Arial" w:cs="Arial" w:eastAsia="Arial" w:hAnsi="Arial"/>
                <w:sz w:val="9"/>
                <w:szCs w:val="9"/>
                <w:b w:val="1"/>
                <w:bCs w:val="1"/>
                <w:color w:val="auto"/>
              </w:rPr>
              <w:t>in</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gridSpan w:val="2"/>
          </w:tcPr>
          <w:p>
            <w:pPr>
              <w:ind w:left="80"/>
              <w:spacing w:after="0"/>
              <w:rPr>
                <w:sz w:val="20"/>
                <w:szCs w:val="20"/>
                <w:color w:val="auto"/>
              </w:rPr>
            </w:pPr>
            <w:r>
              <w:rPr>
                <w:rFonts w:ascii="Arial" w:cs="Arial" w:eastAsia="Arial" w:hAnsi="Arial"/>
                <w:sz w:val="9"/>
                <w:szCs w:val="9"/>
                <w:b w:val="1"/>
                <w:bCs w:val="1"/>
                <w:color w:val="auto"/>
              </w:rPr>
              <w:t>in</w:t>
            </w: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gridSpan w:val="3"/>
          </w:tcPr>
          <w:p>
            <w:pPr>
              <w:ind w:left="80"/>
              <w:spacing w:after="0"/>
              <w:rPr>
                <w:sz w:val="20"/>
                <w:szCs w:val="20"/>
                <w:color w:val="auto"/>
              </w:rPr>
            </w:pPr>
            <w:r>
              <w:rPr>
                <w:rFonts w:ascii="Arial" w:cs="Arial" w:eastAsia="Arial" w:hAnsi="Arial"/>
                <w:sz w:val="9"/>
                <w:szCs w:val="9"/>
                <w:b w:val="1"/>
                <w:bCs w:val="1"/>
                <w:color w:val="auto"/>
              </w:rPr>
              <w:t>payments of one</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gridSpan w:val="2"/>
          </w:tcPr>
          <w:p>
            <w:pPr>
              <w:ind w:left="80"/>
              <w:spacing w:after="0"/>
              <w:rPr>
                <w:sz w:val="20"/>
                <w:szCs w:val="20"/>
                <w:color w:val="auto"/>
              </w:rPr>
            </w:pPr>
            <w:r>
              <w:rPr>
                <w:rFonts w:ascii="Arial" w:cs="Arial" w:eastAsia="Arial" w:hAnsi="Arial"/>
                <w:sz w:val="9"/>
                <w:szCs w:val="9"/>
                <w:b w:val="1"/>
                <w:bCs w:val="1"/>
                <w:color w:val="auto"/>
              </w:rPr>
              <w:t>payments of one</w:t>
            </w: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gridSpan w:val="3"/>
          </w:tcPr>
          <w:p>
            <w:pPr>
              <w:ind w:left="80"/>
              <w:spacing w:after="0"/>
              <w:rPr>
                <w:sz w:val="20"/>
                <w:szCs w:val="20"/>
                <w:color w:val="auto"/>
              </w:rPr>
            </w:pPr>
            <w:r>
              <w:rPr>
                <w:rFonts w:ascii="Arial" w:cs="Arial" w:eastAsia="Arial" w:hAnsi="Arial"/>
                <w:sz w:val="9"/>
                <w:szCs w:val="9"/>
                <w:b w:val="1"/>
                <w:bCs w:val="1"/>
                <w:color w:val="auto"/>
              </w:rPr>
              <w:t>day or more but</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gridSpan w:val="2"/>
          </w:tcPr>
          <w:p>
            <w:pPr>
              <w:ind w:left="80"/>
              <w:spacing w:after="0"/>
              <w:rPr>
                <w:sz w:val="20"/>
                <w:szCs w:val="20"/>
                <w:color w:val="auto"/>
              </w:rPr>
            </w:pPr>
            <w:r>
              <w:rPr>
                <w:rFonts w:ascii="Arial" w:cs="Arial" w:eastAsia="Arial" w:hAnsi="Arial"/>
                <w:sz w:val="9"/>
                <w:szCs w:val="9"/>
                <w:b w:val="1"/>
                <w:bCs w:val="1"/>
                <w:color w:val="auto"/>
              </w:rPr>
              <w:t>day or more but</w:t>
            </w: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80" w:type="dxa"/>
            <w:vAlign w:val="bottom"/>
            <w:gridSpan w:val="3"/>
          </w:tcPr>
          <w:p>
            <w:pPr>
              <w:ind w:left="80"/>
              <w:spacing w:after="0"/>
              <w:rPr>
                <w:sz w:val="20"/>
                <w:szCs w:val="20"/>
                <w:color w:val="auto"/>
              </w:rPr>
            </w:pPr>
            <w:r>
              <w:rPr>
                <w:rFonts w:ascii="Arial" w:cs="Arial" w:eastAsia="Arial" w:hAnsi="Arial"/>
                <w:sz w:val="9"/>
                <w:szCs w:val="9"/>
                <w:b w:val="1"/>
                <w:bCs w:val="1"/>
                <w:color w:val="auto"/>
              </w:rPr>
              <w:t>not considered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Internal</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gridSpan w:val="2"/>
          </w:tcPr>
          <w:p>
            <w:pPr>
              <w:ind w:left="80"/>
              <w:spacing w:after="0"/>
              <w:rPr>
                <w:sz w:val="20"/>
                <w:szCs w:val="20"/>
                <w:color w:val="auto"/>
              </w:rPr>
            </w:pPr>
            <w:r>
              <w:rPr>
                <w:rFonts w:ascii="Arial" w:cs="Arial" w:eastAsia="Arial" w:hAnsi="Arial"/>
                <w:sz w:val="9"/>
                <w:szCs w:val="9"/>
                <w:b w:val="1"/>
                <w:bCs w:val="1"/>
                <w:color w:val="auto"/>
              </w:rPr>
              <w:t>not considered</w:t>
            </w:r>
          </w:p>
        </w:tc>
        <w:tc>
          <w:tcPr>
            <w:tcW w:w="980" w:type="dxa"/>
            <w:vAlign w:val="bottom"/>
            <w:gridSpan w:val="3"/>
          </w:tcPr>
          <w:p>
            <w:pPr>
              <w:ind w:left="60"/>
              <w:spacing w:after="0"/>
              <w:rPr>
                <w:sz w:val="20"/>
                <w:szCs w:val="20"/>
                <w:color w:val="auto"/>
              </w:rPr>
            </w:pPr>
            <w:r>
              <w:rPr>
                <w:rFonts w:ascii="Arial" w:cs="Arial" w:eastAsia="Arial" w:hAnsi="Arial"/>
                <w:sz w:val="9"/>
                <w:szCs w:val="9"/>
                <w:b w:val="1"/>
                <w:bCs w:val="1"/>
                <w:color w:val="auto"/>
              </w:rPr>
              <w:t>Internal</w:t>
            </w:r>
          </w:p>
        </w:tc>
        <w:tc>
          <w:tcPr>
            <w:tcW w:w="8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Current but</w:t>
            </w:r>
          </w:p>
        </w:tc>
        <w:tc>
          <w:tcPr>
            <w:tcW w:w="980" w:type="dxa"/>
            <w:vAlign w:val="bottom"/>
            <w:gridSpan w:val="3"/>
          </w:tcPr>
          <w:p>
            <w:pPr>
              <w:ind w:left="80"/>
              <w:spacing w:after="0"/>
              <w:rPr>
                <w:sz w:val="20"/>
                <w:szCs w:val="20"/>
                <w:color w:val="auto"/>
              </w:rPr>
            </w:pPr>
            <w:r>
              <w:rPr>
                <w:rFonts w:ascii="Arial" w:cs="Arial" w:eastAsia="Arial" w:hAnsi="Arial"/>
                <w:sz w:val="9"/>
                <w:szCs w:val="9"/>
                <w:b w:val="1"/>
                <w:bCs w:val="1"/>
                <w:color w:val="auto"/>
              </w:rPr>
              <w:t>internal overdue</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overdue</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20"/>
                <w:szCs w:val="20"/>
                <w:color w:val="auto"/>
              </w:rPr>
            </w:pPr>
            <w:r>
              <w:rPr>
                <w:rFonts w:ascii="Arial" w:cs="Arial" w:eastAsia="Arial" w:hAnsi="Arial"/>
                <w:sz w:val="9"/>
                <w:szCs w:val="9"/>
                <w:b w:val="1"/>
                <w:bCs w:val="1"/>
                <w:color w:val="auto"/>
              </w:rPr>
              <w:t>Current but</w:t>
            </w:r>
          </w:p>
        </w:tc>
        <w:tc>
          <w:tcPr>
            <w:tcW w:w="920" w:type="dxa"/>
            <w:vAlign w:val="bottom"/>
            <w:gridSpan w:val="2"/>
          </w:tcPr>
          <w:p>
            <w:pPr>
              <w:ind w:left="80"/>
              <w:spacing w:after="0"/>
              <w:rPr>
                <w:sz w:val="20"/>
                <w:szCs w:val="20"/>
                <w:color w:val="auto"/>
              </w:rPr>
            </w:pPr>
            <w:r>
              <w:rPr>
                <w:rFonts w:ascii="Arial" w:cs="Arial" w:eastAsia="Arial" w:hAnsi="Arial"/>
                <w:sz w:val="9"/>
                <w:szCs w:val="9"/>
                <w:b w:val="1"/>
                <w:bCs w:val="1"/>
                <w:color w:val="auto"/>
              </w:rPr>
              <w:t>internal overdue</w:t>
            </w:r>
          </w:p>
        </w:tc>
        <w:tc>
          <w:tcPr>
            <w:tcW w:w="980" w:type="dxa"/>
            <w:vAlign w:val="bottom"/>
            <w:gridSpan w:val="3"/>
          </w:tcPr>
          <w:p>
            <w:pPr>
              <w:ind w:left="60"/>
              <w:spacing w:after="0"/>
              <w:rPr>
                <w:sz w:val="20"/>
                <w:szCs w:val="20"/>
                <w:color w:val="auto"/>
              </w:rPr>
            </w:pPr>
            <w:r>
              <w:rPr>
                <w:rFonts w:ascii="Arial" w:cs="Arial" w:eastAsia="Arial" w:hAnsi="Arial"/>
                <w:sz w:val="9"/>
                <w:szCs w:val="9"/>
                <w:b w:val="1"/>
                <w:bCs w:val="1"/>
                <w:color w:val="auto"/>
              </w:rPr>
              <w:t>overdue</w:t>
            </w:r>
          </w:p>
        </w:tc>
        <w:tc>
          <w:tcPr>
            <w:tcW w:w="860" w:type="dxa"/>
            <w:vAlign w:val="bottom"/>
          </w:tcPr>
          <w:p>
            <w:pPr>
              <w:spacing w:after="0"/>
              <w:rPr>
                <w:sz w:val="9"/>
                <w:szCs w:val="9"/>
                <w:color w:val="auto"/>
              </w:rPr>
            </w:pPr>
          </w:p>
        </w:tc>
      </w:tr>
      <w:tr>
        <w:trPr>
          <w:trHeight w:val="116"/>
        </w:trPr>
        <w:tc>
          <w:tcPr>
            <w:tcW w:w="820" w:type="dxa"/>
            <w:vAlign w:val="bottom"/>
            <w:gridSpan w:val="2"/>
          </w:tcPr>
          <w:p>
            <w:pPr>
              <w:spacing w:after="0"/>
              <w:rPr>
                <w:sz w:val="20"/>
                <w:szCs w:val="20"/>
                <w:color w:val="auto"/>
              </w:rPr>
            </w:pPr>
            <w:r>
              <w:rPr>
                <w:rFonts w:ascii="Arial" w:cs="Arial" w:eastAsia="Arial" w:hAnsi="Arial"/>
                <w:sz w:val="9"/>
                <w:szCs w:val="9"/>
                <w:b w:val="1"/>
                <w:bCs w:val="1"/>
                <w:color w:val="auto"/>
              </w:rPr>
              <w:t>Current loans</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impaired loans</w:t>
            </w:r>
          </w:p>
        </w:tc>
        <w:tc>
          <w:tcPr>
            <w:tcW w:w="980" w:type="dxa"/>
            <w:vAlign w:val="bottom"/>
            <w:gridSpan w:val="3"/>
          </w:tcPr>
          <w:p>
            <w:pPr>
              <w:ind w:left="80"/>
              <w:spacing w:after="0"/>
              <w:rPr>
                <w:sz w:val="20"/>
                <w:szCs w:val="20"/>
                <w:color w:val="auto"/>
              </w:rPr>
            </w:pPr>
            <w:r>
              <w:rPr>
                <w:rFonts w:ascii="Arial" w:cs="Arial" w:eastAsia="Arial" w:hAnsi="Arial"/>
                <w:sz w:val="9"/>
                <w:szCs w:val="9"/>
                <w:b w:val="1"/>
                <w:bCs w:val="1"/>
                <w:color w:val="auto"/>
              </w:rPr>
              <w:t>loans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loans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Total</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Current loans</w:t>
            </w:r>
          </w:p>
        </w:tc>
        <w:tc>
          <w:tcPr>
            <w:tcW w:w="840" w:type="dxa"/>
            <w:vAlign w:val="bottom"/>
          </w:tcPr>
          <w:p>
            <w:pPr>
              <w:spacing w:after="0"/>
              <w:rPr>
                <w:sz w:val="20"/>
                <w:szCs w:val="20"/>
                <w:color w:val="auto"/>
              </w:rPr>
            </w:pPr>
            <w:r>
              <w:rPr>
                <w:rFonts w:ascii="Arial" w:cs="Arial" w:eastAsia="Arial" w:hAnsi="Arial"/>
                <w:sz w:val="9"/>
                <w:szCs w:val="9"/>
                <w:b w:val="1"/>
                <w:bCs w:val="1"/>
                <w:color w:val="auto"/>
              </w:rPr>
              <w:t>impaired loans</w:t>
            </w:r>
          </w:p>
        </w:tc>
        <w:tc>
          <w:tcPr>
            <w:tcW w:w="920" w:type="dxa"/>
            <w:vAlign w:val="bottom"/>
            <w:gridSpan w:val="2"/>
          </w:tcPr>
          <w:p>
            <w:pPr>
              <w:ind w:left="80"/>
              <w:spacing w:after="0"/>
              <w:rPr>
                <w:sz w:val="20"/>
                <w:szCs w:val="20"/>
                <w:color w:val="auto"/>
              </w:rPr>
            </w:pPr>
            <w:r>
              <w:rPr>
                <w:rFonts w:ascii="Arial" w:cs="Arial" w:eastAsia="Arial" w:hAnsi="Arial"/>
                <w:sz w:val="9"/>
                <w:szCs w:val="9"/>
                <w:b w:val="1"/>
                <w:bCs w:val="1"/>
                <w:color w:val="auto"/>
              </w:rPr>
              <w:t>loans</w:t>
            </w:r>
          </w:p>
        </w:tc>
        <w:tc>
          <w:tcPr>
            <w:tcW w:w="980" w:type="dxa"/>
            <w:vAlign w:val="bottom"/>
            <w:gridSpan w:val="3"/>
          </w:tcPr>
          <w:p>
            <w:pPr>
              <w:ind w:left="60"/>
              <w:spacing w:after="0"/>
              <w:rPr>
                <w:sz w:val="20"/>
                <w:szCs w:val="20"/>
                <w:color w:val="auto"/>
              </w:rPr>
            </w:pPr>
            <w:r>
              <w:rPr>
                <w:rFonts w:ascii="Arial" w:cs="Arial" w:eastAsia="Arial" w:hAnsi="Arial"/>
                <w:sz w:val="9"/>
                <w:szCs w:val="9"/>
                <w:b w:val="1"/>
                <w:bCs w:val="1"/>
                <w:color w:val="auto"/>
              </w:rPr>
              <w:t>loans</w:t>
            </w:r>
          </w:p>
        </w:tc>
        <w:tc>
          <w:tcPr>
            <w:tcW w:w="860" w:type="dxa"/>
            <w:vAlign w:val="bottom"/>
          </w:tcPr>
          <w:p>
            <w:pPr>
              <w:spacing w:after="0"/>
              <w:rPr>
                <w:sz w:val="20"/>
                <w:szCs w:val="20"/>
                <w:color w:val="auto"/>
              </w:rPr>
            </w:pPr>
            <w:r>
              <w:rPr>
                <w:rFonts w:ascii="Arial" w:cs="Arial" w:eastAsia="Arial" w:hAnsi="Arial"/>
                <w:sz w:val="9"/>
                <w:szCs w:val="9"/>
                <w:b w:val="1"/>
                <w:bCs w:val="1"/>
                <w:color w:val="auto"/>
              </w:rPr>
              <w:t>Total</w:t>
            </w:r>
          </w:p>
        </w:tc>
      </w:tr>
      <w:tr>
        <w:trPr>
          <w:trHeight w:val="94"/>
        </w:trPr>
        <w:tc>
          <w:tcPr>
            <w:tcW w:w="20" w:type="dxa"/>
            <w:vAlign w:val="bottom"/>
          </w:tcPr>
          <w:p>
            <w:pPr>
              <w:spacing w:after="0"/>
              <w:rPr>
                <w:sz w:val="8"/>
                <w:szCs w:val="8"/>
                <w:color w:val="auto"/>
              </w:rPr>
            </w:pPr>
          </w:p>
        </w:tc>
        <w:tc>
          <w:tcPr>
            <w:tcW w:w="80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2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8"/>
                <w:szCs w:val="8"/>
                <w:color w:val="auto"/>
              </w:rPr>
            </w:pPr>
          </w:p>
        </w:tc>
        <w:tc>
          <w:tcPr>
            <w:tcW w:w="8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60" w:type="dxa"/>
            <w:vAlign w:val="bottom"/>
          </w:tcPr>
          <w:p>
            <w:pPr>
              <w:spacing w:after="0"/>
              <w:rPr>
                <w:sz w:val="8"/>
                <w:szCs w:val="8"/>
                <w:color w:val="auto"/>
              </w:rPr>
            </w:pPr>
          </w:p>
        </w:tc>
        <w:tc>
          <w:tcPr>
            <w:tcW w:w="84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c>
          <w:tcPr>
            <w:tcW w:w="80" w:type="dxa"/>
            <w:vAlign w:val="bottom"/>
          </w:tcPr>
          <w:p>
            <w:pPr>
              <w:spacing w:after="0"/>
              <w:rPr>
                <w:sz w:val="8"/>
                <w:szCs w:val="8"/>
                <w:color w:val="auto"/>
              </w:rPr>
            </w:pPr>
          </w:p>
        </w:tc>
        <w:tc>
          <w:tcPr>
            <w:tcW w:w="860" w:type="dxa"/>
            <w:vAlign w:val="bottom"/>
            <w:tcBorders>
              <w:top w:val="single" w:sz="8" w:color="auto"/>
            </w:tcBorders>
          </w:tcPr>
          <w:p>
            <w:pPr>
              <w:spacing w:after="0" w:line="94" w:lineRule="exact"/>
              <w:rPr>
                <w:sz w:val="20"/>
                <w:szCs w:val="20"/>
                <w:color w:val="auto"/>
              </w:rPr>
            </w:pPr>
            <w:r>
              <w:rPr>
                <w:rFonts w:ascii="Arial" w:cs="Arial" w:eastAsia="Arial" w:hAnsi="Arial"/>
                <w:sz w:val="9"/>
                <w:szCs w:val="9"/>
                <w:b w:val="1"/>
                <w:bCs w:val="1"/>
                <w:color w:val="auto"/>
              </w:rPr>
              <w:t>S/(000)</w:t>
            </w:r>
          </w:p>
        </w:tc>
      </w:tr>
    </w:tbl>
    <w:p>
      <w:pPr>
        <w:spacing w:after="0" w:line="1" w:lineRule="exact"/>
        <w:rPr>
          <w:sz w:val="20"/>
          <w:szCs w:val="20"/>
          <w:color w:val="auto"/>
        </w:rPr>
      </w:pPr>
    </w:p>
    <w:tbl>
      <w:tblPr>
        <w:tblLayout w:type="fixed"/>
        <w:tblInd w:w="286" w:type="dxa"/>
        <w:tblCellMar>
          <w:top w:w="0" w:type="dxa"/>
          <w:left w:w="0" w:type="dxa"/>
          <w:bottom w:w="0" w:type="dxa"/>
          <w:right w:w="0" w:type="dxa"/>
        </w:tblCellMar>
      </w:tblPr>
      <w:tr>
        <w:trPr>
          <w:trHeight w:val="97"/>
        </w:trPr>
        <w:tc>
          <w:tcPr>
            <w:tcW w:w="1140" w:type="dxa"/>
            <w:vAlign w:val="bottom"/>
          </w:tcPr>
          <w:p>
            <w:pPr>
              <w:spacing w:after="0" w:line="98" w:lineRule="exact"/>
              <w:rPr>
                <w:sz w:val="20"/>
                <w:szCs w:val="20"/>
                <w:color w:val="auto"/>
              </w:rPr>
            </w:pPr>
            <w:r>
              <w:rPr>
                <w:rFonts w:ascii="Arial" w:cs="Arial" w:eastAsia="Arial" w:hAnsi="Arial"/>
                <w:sz w:val="9"/>
                <w:szCs w:val="9"/>
                <w:color w:val="auto"/>
              </w:rPr>
              <w:t>Commercial loans</w:t>
            </w:r>
          </w:p>
        </w:tc>
        <w:tc>
          <w:tcPr>
            <w:tcW w:w="820" w:type="dxa"/>
            <w:vAlign w:val="bottom"/>
          </w:tcPr>
          <w:p>
            <w:pPr>
              <w:jc w:val="right"/>
              <w:spacing w:after="0" w:line="98" w:lineRule="exact"/>
              <w:rPr>
                <w:sz w:val="20"/>
                <w:szCs w:val="20"/>
                <w:color w:val="auto"/>
              </w:rPr>
            </w:pPr>
            <w:r>
              <w:rPr>
                <w:rFonts w:ascii="Arial" w:cs="Arial" w:eastAsia="Arial" w:hAnsi="Arial"/>
                <w:sz w:val="9"/>
                <w:szCs w:val="9"/>
                <w:color w:val="auto"/>
              </w:rPr>
              <w:t>70,812,359</w:t>
            </w:r>
          </w:p>
        </w:tc>
        <w:tc>
          <w:tcPr>
            <w:tcW w:w="80" w:type="dxa"/>
            <w:vAlign w:val="bottom"/>
          </w:tcPr>
          <w:p>
            <w:pPr>
              <w:spacing w:after="0"/>
              <w:rPr>
                <w:sz w:val="8"/>
                <w:szCs w:val="8"/>
                <w:color w:val="auto"/>
              </w:rPr>
            </w:pPr>
          </w:p>
        </w:tc>
        <w:tc>
          <w:tcPr>
            <w:tcW w:w="820" w:type="dxa"/>
            <w:vAlign w:val="bottom"/>
          </w:tcPr>
          <w:p>
            <w:pPr>
              <w:jc w:val="right"/>
              <w:spacing w:after="0" w:line="98" w:lineRule="exact"/>
              <w:rPr>
                <w:sz w:val="20"/>
                <w:szCs w:val="20"/>
                <w:color w:val="auto"/>
              </w:rPr>
            </w:pPr>
            <w:r>
              <w:rPr>
                <w:rFonts w:ascii="Arial" w:cs="Arial" w:eastAsia="Arial" w:hAnsi="Arial"/>
                <w:sz w:val="9"/>
                <w:szCs w:val="9"/>
                <w:color w:val="auto"/>
              </w:rPr>
              <w:t>2,256,618</w:t>
            </w:r>
          </w:p>
        </w:tc>
        <w:tc>
          <w:tcPr>
            <w:tcW w:w="80" w:type="dxa"/>
            <w:vAlign w:val="bottom"/>
          </w:tcPr>
          <w:p>
            <w:pPr>
              <w:spacing w:after="0"/>
              <w:rPr>
                <w:sz w:val="8"/>
                <w:szCs w:val="8"/>
                <w:color w:val="auto"/>
              </w:rPr>
            </w:pPr>
          </w:p>
        </w:tc>
        <w:tc>
          <w:tcPr>
            <w:tcW w:w="9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1,220,408</w:t>
            </w:r>
          </w:p>
        </w:tc>
        <w:tc>
          <w:tcPr>
            <w:tcW w:w="9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2,632,230</w:t>
            </w:r>
          </w:p>
        </w:tc>
        <w:tc>
          <w:tcPr>
            <w:tcW w:w="9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76,921,615</w:t>
            </w:r>
          </w:p>
        </w:tc>
        <w:tc>
          <w:tcPr>
            <w:tcW w:w="9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69,089,495</w:t>
            </w:r>
          </w:p>
        </w:tc>
        <w:tc>
          <w:tcPr>
            <w:tcW w:w="9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2,901,367</w:t>
            </w:r>
          </w:p>
        </w:tc>
        <w:tc>
          <w:tcPr>
            <w:tcW w:w="840" w:type="dxa"/>
            <w:vAlign w:val="bottom"/>
          </w:tcPr>
          <w:p>
            <w:pPr>
              <w:jc w:val="right"/>
              <w:spacing w:after="0" w:line="98" w:lineRule="exact"/>
              <w:rPr>
                <w:sz w:val="20"/>
                <w:szCs w:val="20"/>
                <w:color w:val="auto"/>
              </w:rPr>
            </w:pPr>
            <w:r>
              <w:rPr>
                <w:rFonts w:ascii="Arial" w:cs="Arial" w:eastAsia="Arial" w:hAnsi="Arial"/>
                <w:sz w:val="9"/>
                <w:szCs w:val="9"/>
                <w:color w:val="auto"/>
              </w:rPr>
              <w:t>1,662,457</w:t>
            </w:r>
          </w:p>
        </w:tc>
        <w:tc>
          <w:tcPr>
            <w:tcW w:w="60" w:type="dxa"/>
            <w:vAlign w:val="bottom"/>
          </w:tcPr>
          <w:p>
            <w:pPr>
              <w:spacing w:after="0"/>
              <w:rPr>
                <w:sz w:val="8"/>
                <w:szCs w:val="8"/>
                <w:color w:val="auto"/>
              </w:rPr>
            </w:pPr>
          </w:p>
        </w:tc>
        <w:tc>
          <w:tcPr>
            <w:tcW w:w="9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3,167,083</w:t>
            </w:r>
          </w:p>
        </w:tc>
        <w:tc>
          <w:tcPr>
            <w:tcW w:w="860" w:type="dxa"/>
            <w:vAlign w:val="bottom"/>
          </w:tcPr>
          <w:p>
            <w:pPr>
              <w:jc w:val="right"/>
              <w:spacing w:after="0" w:line="98" w:lineRule="exact"/>
              <w:rPr>
                <w:sz w:val="20"/>
                <w:szCs w:val="20"/>
                <w:color w:val="auto"/>
              </w:rPr>
            </w:pPr>
            <w:r>
              <w:rPr>
                <w:rFonts w:ascii="Arial" w:cs="Arial" w:eastAsia="Arial" w:hAnsi="Arial"/>
                <w:sz w:val="9"/>
                <w:szCs w:val="9"/>
                <w:color w:val="auto"/>
              </w:rPr>
              <w:t>76,820,402</w:t>
            </w:r>
          </w:p>
        </w:tc>
      </w:tr>
      <w:tr>
        <w:trPr>
          <w:trHeight w:val="105"/>
        </w:trPr>
        <w:tc>
          <w:tcPr>
            <w:tcW w:w="1140" w:type="dxa"/>
            <w:vAlign w:val="bottom"/>
          </w:tcPr>
          <w:p>
            <w:pPr>
              <w:spacing w:after="0"/>
              <w:rPr>
                <w:sz w:val="20"/>
                <w:szCs w:val="20"/>
                <w:color w:val="auto"/>
              </w:rPr>
            </w:pPr>
            <w:r>
              <w:rPr>
                <w:rFonts w:ascii="Arial" w:cs="Arial" w:eastAsia="Arial" w:hAnsi="Arial"/>
                <w:sz w:val="9"/>
                <w:szCs w:val="9"/>
                <w:color w:val="auto"/>
              </w:rPr>
              <w:t>Residential mortgage loans</w:t>
            </w:r>
          </w:p>
        </w:tc>
        <w:tc>
          <w:tcPr>
            <w:tcW w:w="820" w:type="dxa"/>
            <w:vAlign w:val="bottom"/>
          </w:tcPr>
          <w:p>
            <w:pPr>
              <w:jc w:val="right"/>
              <w:spacing w:after="0"/>
              <w:rPr>
                <w:sz w:val="20"/>
                <w:szCs w:val="20"/>
                <w:color w:val="auto"/>
              </w:rPr>
            </w:pPr>
            <w:r>
              <w:rPr>
                <w:rFonts w:ascii="Arial" w:cs="Arial" w:eastAsia="Arial" w:hAnsi="Arial"/>
                <w:sz w:val="9"/>
                <w:szCs w:val="9"/>
                <w:color w:val="auto"/>
              </w:rPr>
              <w:t>22,270,753</w:t>
            </w:r>
          </w:p>
        </w:tc>
        <w:tc>
          <w:tcPr>
            <w:tcW w:w="8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573,359</w:t>
            </w:r>
          </w:p>
        </w:tc>
        <w:tc>
          <w:tcPr>
            <w:tcW w:w="80" w:type="dxa"/>
            <w:vAlign w:val="bottom"/>
          </w:tcPr>
          <w:p>
            <w:pPr>
              <w:spacing w:after="0"/>
              <w:rPr>
                <w:sz w:val="9"/>
                <w:szCs w:val="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1,456,906</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791,039</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25,092,057</w:t>
            </w:r>
          </w:p>
        </w:tc>
        <w:tc>
          <w:tcPr>
            <w:tcW w:w="900" w:type="dxa"/>
            <w:vAlign w:val="bottom"/>
            <w:gridSpan w:val="2"/>
          </w:tcPr>
          <w:p>
            <w:pPr>
              <w:jc w:val="right"/>
              <w:ind w:right="60"/>
              <w:spacing w:after="0"/>
              <w:rPr>
                <w:sz w:val="20"/>
                <w:szCs w:val="20"/>
                <w:color w:val="auto"/>
              </w:rPr>
            </w:pPr>
            <w:r>
              <w:rPr>
                <w:rFonts w:ascii="Arial" w:cs="Arial" w:eastAsia="Arial" w:hAnsi="Arial"/>
                <w:sz w:val="9"/>
                <w:szCs w:val="9"/>
                <w:color w:val="auto"/>
              </w:rPr>
              <w:t>21,543,100</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484,375</w:t>
            </w:r>
          </w:p>
        </w:tc>
        <w:tc>
          <w:tcPr>
            <w:tcW w:w="840" w:type="dxa"/>
            <w:vAlign w:val="bottom"/>
          </w:tcPr>
          <w:p>
            <w:pPr>
              <w:jc w:val="right"/>
              <w:spacing w:after="0"/>
              <w:rPr>
                <w:sz w:val="20"/>
                <w:szCs w:val="20"/>
                <w:color w:val="auto"/>
              </w:rPr>
            </w:pPr>
            <w:r>
              <w:rPr>
                <w:rFonts w:ascii="Arial" w:cs="Arial" w:eastAsia="Arial" w:hAnsi="Arial"/>
                <w:sz w:val="9"/>
                <w:szCs w:val="9"/>
                <w:color w:val="auto"/>
              </w:rPr>
              <w:t>1,405,344</w:t>
            </w:r>
          </w:p>
        </w:tc>
        <w:tc>
          <w:tcPr>
            <w:tcW w:w="60" w:type="dxa"/>
            <w:vAlign w:val="bottom"/>
          </w:tcPr>
          <w:p>
            <w:pPr>
              <w:spacing w:after="0"/>
              <w:rPr>
                <w:sz w:val="9"/>
                <w:szCs w:val="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744,099</w:t>
            </w:r>
          </w:p>
        </w:tc>
        <w:tc>
          <w:tcPr>
            <w:tcW w:w="860" w:type="dxa"/>
            <w:vAlign w:val="bottom"/>
          </w:tcPr>
          <w:p>
            <w:pPr>
              <w:jc w:val="right"/>
              <w:spacing w:after="0"/>
              <w:rPr>
                <w:sz w:val="20"/>
                <w:szCs w:val="20"/>
                <w:color w:val="auto"/>
              </w:rPr>
            </w:pPr>
            <w:r>
              <w:rPr>
                <w:rFonts w:ascii="Arial" w:cs="Arial" w:eastAsia="Arial" w:hAnsi="Arial"/>
                <w:sz w:val="9"/>
                <w:szCs w:val="9"/>
                <w:color w:val="auto"/>
              </w:rPr>
              <w:t>24,176,918</w:t>
            </w:r>
          </w:p>
        </w:tc>
      </w:tr>
      <w:tr>
        <w:trPr>
          <w:trHeight w:val="105"/>
        </w:trPr>
        <w:tc>
          <w:tcPr>
            <w:tcW w:w="1140" w:type="dxa"/>
            <w:vAlign w:val="bottom"/>
          </w:tcPr>
          <w:p>
            <w:pPr>
              <w:spacing w:after="0"/>
              <w:rPr>
                <w:sz w:val="20"/>
                <w:szCs w:val="20"/>
                <w:color w:val="auto"/>
              </w:rPr>
            </w:pPr>
            <w:r>
              <w:rPr>
                <w:rFonts w:ascii="Arial" w:cs="Arial" w:eastAsia="Arial" w:hAnsi="Arial"/>
                <w:sz w:val="9"/>
                <w:szCs w:val="9"/>
                <w:color w:val="auto"/>
              </w:rPr>
              <w:t>Small business loans</w:t>
            </w:r>
          </w:p>
        </w:tc>
        <w:tc>
          <w:tcPr>
            <w:tcW w:w="820" w:type="dxa"/>
            <w:vAlign w:val="bottom"/>
          </w:tcPr>
          <w:p>
            <w:pPr>
              <w:jc w:val="right"/>
              <w:spacing w:after="0"/>
              <w:rPr>
                <w:sz w:val="20"/>
                <w:szCs w:val="20"/>
                <w:color w:val="auto"/>
              </w:rPr>
            </w:pPr>
            <w:r>
              <w:rPr>
                <w:rFonts w:ascii="Arial" w:cs="Arial" w:eastAsia="Arial" w:hAnsi="Arial"/>
                <w:sz w:val="9"/>
                <w:szCs w:val="9"/>
                <w:color w:val="auto"/>
              </w:rPr>
              <w:t>20,260,194</w:t>
            </w:r>
          </w:p>
        </w:tc>
        <w:tc>
          <w:tcPr>
            <w:tcW w:w="8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328,229</w:t>
            </w:r>
          </w:p>
        </w:tc>
        <w:tc>
          <w:tcPr>
            <w:tcW w:w="80" w:type="dxa"/>
            <w:vAlign w:val="bottom"/>
          </w:tcPr>
          <w:p>
            <w:pPr>
              <w:spacing w:after="0"/>
              <w:rPr>
                <w:sz w:val="9"/>
                <w:szCs w:val="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779,402</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1,410,308</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22,778,133</w:t>
            </w:r>
          </w:p>
        </w:tc>
        <w:tc>
          <w:tcPr>
            <w:tcW w:w="900" w:type="dxa"/>
            <w:vAlign w:val="bottom"/>
            <w:gridSpan w:val="2"/>
          </w:tcPr>
          <w:p>
            <w:pPr>
              <w:jc w:val="right"/>
              <w:ind w:right="60"/>
              <w:spacing w:after="0"/>
              <w:rPr>
                <w:sz w:val="20"/>
                <w:szCs w:val="20"/>
                <w:color w:val="auto"/>
              </w:rPr>
            </w:pPr>
            <w:r>
              <w:rPr>
                <w:rFonts w:ascii="Arial" w:cs="Arial" w:eastAsia="Arial" w:hAnsi="Arial"/>
                <w:sz w:val="9"/>
                <w:szCs w:val="9"/>
                <w:color w:val="auto"/>
              </w:rPr>
              <w:t>19,591,337</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333,213</w:t>
            </w:r>
          </w:p>
        </w:tc>
        <w:tc>
          <w:tcPr>
            <w:tcW w:w="840" w:type="dxa"/>
            <w:vAlign w:val="bottom"/>
          </w:tcPr>
          <w:p>
            <w:pPr>
              <w:jc w:val="right"/>
              <w:spacing w:after="0"/>
              <w:rPr>
                <w:sz w:val="20"/>
                <w:szCs w:val="20"/>
                <w:color w:val="auto"/>
              </w:rPr>
            </w:pPr>
            <w:r>
              <w:rPr>
                <w:rFonts w:ascii="Arial" w:cs="Arial" w:eastAsia="Arial" w:hAnsi="Arial"/>
                <w:sz w:val="9"/>
                <w:szCs w:val="9"/>
                <w:color w:val="auto"/>
              </w:rPr>
              <w:t>978,265</w:t>
            </w:r>
          </w:p>
        </w:tc>
        <w:tc>
          <w:tcPr>
            <w:tcW w:w="60" w:type="dxa"/>
            <w:vAlign w:val="bottom"/>
          </w:tcPr>
          <w:p>
            <w:pPr>
              <w:spacing w:after="0"/>
              <w:rPr>
                <w:sz w:val="9"/>
                <w:szCs w:val="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1,522,935</w:t>
            </w:r>
          </w:p>
        </w:tc>
        <w:tc>
          <w:tcPr>
            <w:tcW w:w="860" w:type="dxa"/>
            <w:vAlign w:val="bottom"/>
          </w:tcPr>
          <w:p>
            <w:pPr>
              <w:jc w:val="right"/>
              <w:spacing w:after="0"/>
              <w:rPr>
                <w:sz w:val="20"/>
                <w:szCs w:val="20"/>
                <w:color w:val="auto"/>
              </w:rPr>
            </w:pPr>
            <w:r>
              <w:rPr>
                <w:rFonts w:ascii="Arial" w:cs="Arial" w:eastAsia="Arial" w:hAnsi="Arial"/>
                <w:sz w:val="9"/>
                <w:szCs w:val="9"/>
                <w:color w:val="auto"/>
              </w:rPr>
              <w:t>22,425,750</w:t>
            </w:r>
          </w:p>
        </w:tc>
      </w:tr>
      <w:tr>
        <w:trPr>
          <w:trHeight w:val="119"/>
        </w:trPr>
        <w:tc>
          <w:tcPr>
            <w:tcW w:w="1140" w:type="dxa"/>
            <w:vAlign w:val="bottom"/>
          </w:tcPr>
          <w:p>
            <w:pPr>
              <w:spacing w:after="0"/>
              <w:rPr>
                <w:sz w:val="20"/>
                <w:szCs w:val="20"/>
                <w:color w:val="auto"/>
              </w:rPr>
            </w:pPr>
            <w:r>
              <w:rPr>
                <w:rFonts w:ascii="Arial" w:cs="Arial" w:eastAsia="Arial" w:hAnsi="Arial"/>
                <w:sz w:val="9"/>
                <w:szCs w:val="9"/>
                <w:color w:val="auto"/>
              </w:rPr>
              <w:t>Consumer loans</w:t>
            </w:r>
          </w:p>
        </w:tc>
        <w:tc>
          <w:tcPr>
            <w:tcW w:w="820" w:type="dxa"/>
            <w:vAlign w:val="bottom"/>
          </w:tcPr>
          <w:p>
            <w:pPr>
              <w:jc w:val="right"/>
              <w:spacing w:after="0"/>
              <w:rPr>
                <w:sz w:val="20"/>
                <w:szCs w:val="20"/>
                <w:color w:val="auto"/>
              </w:rPr>
            </w:pPr>
            <w:r>
              <w:rPr>
                <w:rFonts w:ascii="Arial" w:cs="Arial" w:eastAsia="Arial" w:hAnsi="Arial"/>
                <w:sz w:val="9"/>
                <w:szCs w:val="9"/>
                <w:color w:val="auto"/>
              </w:rPr>
              <w:t>17,524,363</w:t>
            </w:r>
          </w:p>
        </w:tc>
        <w:tc>
          <w:tcPr>
            <w:tcW w:w="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644,444</w:t>
            </w:r>
          </w:p>
        </w:tc>
        <w:tc>
          <w:tcPr>
            <w:tcW w:w="8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762,076</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596,557</w:t>
            </w:r>
          </w:p>
        </w:tc>
        <w:tc>
          <w:tcPr>
            <w:tcW w:w="900" w:type="dxa"/>
            <w:vAlign w:val="bottom"/>
            <w:gridSpan w:val="2"/>
          </w:tcPr>
          <w:p>
            <w:pPr>
              <w:jc w:val="right"/>
              <w:ind w:right="80"/>
              <w:spacing w:after="0"/>
              <w:rPr>
                <w:sz w:val="20"/>
                <w:szCs w:val="20"/>
                <w:color w:val="auto"/>
              </w:rPr>
            </w:pPr>
            <w:r>
              <w:rPr>
                <w:rFonts w:ascii="Arial" w:cs="Arial" w:eastAsia="Arial" w:hAnsi="Arial"/>
                <w:sz w:val="9"/>
                <w:szCs w:val="9"/>
                <w:color w:val="auto"/>
              </w:rPr>
              <w:t>19,527,440</w:t>
            </w:r>
          </w:p>
        </w:tc>
        <w:tc>
          <w:tcPr>
            <w:tcW w:w="900" w:type="dxa"/>
            <w:vAlign w:val="bottom"/>
            <w:gridSpan w:val="2"/>
          </w:tcPr>
          <w:p>
            <w:pPr>
              <w:jc w:val="right"/>
              <w:ind w:right="60"/>
              <w:spacing w:after="0"/>
              <w:rPr>
                <w:sz w:val="20"/>
                <w:szCs w:val="20"/>
                <w:color w:val="auto"/>
              </w:rPr>
            </w:pPr>
            <w:r>
              <w:rPr>
                <w:rFonts w:ascii="Arial" w:cs="Arial" w:eastAsia="Arial" w:hAnsi="Arial"/>
                <w:sz w:val="9"/>
                <w:szCs w:val="9"/>
                <w:color w:val="auto"/>
              </w:rPr>
              <w:t>17,762,428</w:t>
            </w: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584,090</w:t>
            </w:r>
          </w:p>
        </w:tc>
        <w:tc>
          <w:tcPr>
            <w:tcW w:w="840" w:type="dxa"/>
            <w:vAlign w:val="bottom"/>
          </w:tcPr>
          <w:p>
            <w:pPr>
              <w:jc w:val="right"/>
              <w:spacing w:after="0"/>
              <w:rPr>
                <w:sz w:val="20"/>
                <w:szCs w:val="20"/>
                <w:color w:val="auto"/>
              </w:rPr>
            </w:pPr>
            <w:r>
              <w:rPr>
                <w:rFonts w:ascii="Arial" w:cs="Arial" w:eastAsia="Arial" w:hAnsi="Arial"/>
                <w:sz w:val="9"/>
                <w:szCs w:val="9"/>
                <w:color w:val="auto"/>
              </w:rPr>
              <w:t>1,014,616</w:t>
            </w:r>
          </w:p>
        </w:tc>
        <w:tc>
          <w:tcPr>
            <w:tcW w:w="60" w:type="dxa"/>
            <w:vAlign w:val="bottom"/>
          </w:tcPr>
          <w:p>
            <w:pPr>
              <w:spacing w:after="0"/>
              <w:rPr>
                <w:sz w:val="10"/>
                <w:szCs w:val="1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9"/>
                <w:szCs w:val="9"/>
                <w:color w:val="auto"/>
              </w:rPr>
              <w:t>699,050</w:t>
            </w:r>
          </w:p>
        </w:tc>
        <w:tc>
          <w:tcPr>
            <w:tcW w:w="860" w:type="dxa"/>
            <w:vAlign w:val="bottom"/>
          </w:tcPr>
          <w:p>
            <w:pPr>
              <w:jc w:val="right"/>
              <w:spacing w:after="0"/>
              <w:rPr>
                <w:sz w:val="20"/>
                <w:szCs w:val="20"/>
                <w:color w:val="auto"/>
              </w:rPr>
            </w:pPr>
            <w:r>
              <w:rPr>
                <w:rFonts w:ascii="Arial" w:cs="Arial" w:eastAsia="Arial" w:hAnsi="Arial"/>
                <w:sz w:val="9"/>
                <w:szCs w:val="9"/>
                <w:color w:val="auto"/>
              </w:rPr>
              <w:t>20,060,184</w:t>
            </w:r>
          </w:p>
        </w:tc>
      </w:tr>
      <w:tr>
        <w:trPr>
          <w:trHeight w:val="108"/>
        </w:trPr>
        <w:tc>
          <w:tcPr>
            <w:tcW w:w="1140" w:type="dxa"/>
            <w:vAlign w:val="bottom"/>
          </w:tcPr>
          <w:p>
            <w:pPr>
              <w:spacing w:after="0"/>
              <w:rPr>
                <w:sz w:val="20"/>
                <w:szCs w:val="20"/>
                <w:color w:val="auto"/>
              </w:rPr>
            </w:pPr>
            <w:r>
              <w:rPr>
                <w:rFonts w:ascii="Arial" w:cs="Arial" w:eastAsia="Arial" w:hAnsi="Arial"/>
                <w:sz w:val="9"/>
                <w:szCs w:val="9"/>
                <w:b w:val="1"/>
                <w:bCs w:val="1"/>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130,867,669</w:t>
            </w:r>
          </w:p>
        </w:tc>
        <w:tc>
          <w:tcPr>
            <w:tcW w:w="80" w:type="dxa"/>
            <w:vAlign w:val="bottom"/>
          </w:tcPr>
          <w:p>
            <w:pPr>
              <w:spacing w:after="0"/>
              <w:rPr>
                <w:sz w:val="9"/>
                <w:szCs w:val="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3,802,650</w:t>
            </w:r>
          </w:p>
        </w:tc>
        <w:tc>
          <w:tcPr>
            <w:tcW w:w="80" w:type="dxa"/>
            <w:vAlign w:val="bottom"/>
          </w:tcPr>
          <w:p>
            <w:pPr>
              <w:spacing w:after="0"/>
              <w:rPr>
                <w:sz w:val="9"/>
                <w:szCs w:val="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4,218,792</w:t>
            </w:r>
          </w:p>
        </w:tc>
        <w:tc>
          <w:tcPr>
            <w:tcW w:w="80" w:type="dxa"/>
            <w:vAlign w:val="bottom"/>
          </w:tcPr>
          <w:p>
            <w:pPr>
              <w:spacing w:after="0"/>
              <w:rPr>
                <w:sz w:val="9"/>
                <w:szCs w:val="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5,430,134</w:t>
            </w:r>
          </w:p>
        </w:tc>
        <w:tc>
          <w:tcPr>
            <w:tcW w:w="80" w:type="dxa"/>
            <w:vAlign w:val="bottom"/>
          </w:tcPr>
          <w:p>
            <w:pPr>
              <w:spacing w:after="0"/>
              <w:rPr>
                <w:sz w:val="9"/>
                <w:szCs w:val="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144,319,245</w:t>
            </w:r>
          </w:p>
        </w:tc>
        <w:tc>
          <w:tcPr>
            <w:tcW w:w="80" w:type="dxa"/>
            <w:vAlign w:val="bottom"/>
          </w:tcPr>
          <w:p>
            <w:pPr>
              <w:spacing w:after="0"/>
              <w:rPr>
                <w:sz w:val="9"/>
                <w:szCs w:val="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127,986,360</w:t>
            </w:r>
          </w:p>
        </w:tc>
        <w:tc>
          <w:tcPr>
            <w:tcW w:w="60" w:type="dxa"/>
            <w:vAlign w:val="bottom"/>
          </w:tcPr>
          <w:p>
            <w:pPr>
              <w:spacing w:after="0"/>
              <w:rPr>
                <w:sz w:val="9"/>
                <w:szCs w:val="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4,303,045</w:t>
            </w:r>
          </w:p>
        </w:tc>
        <w:tc>
          <w:tcPr>
            <w:tcW w:w="80" w:type="dxa"/>
            <w:vAlign w:val="bottom"/>
          </w:tcPr>
          <w:p>
            <w:pPr>
              <w:spacing w:after="0"/>
              <w:rPr>
                <w:sz w:val="9"/>
                <w:szCs w:val="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5,060,682</w:t>
            </w:r>
          </w:p>
        </w:tc>
        <w:tc>
          <w:tcPr>
            <w:tcW w:w="60" w:type="dxa"/>
            <w:vAlign w:val="bottom"/>
          </w:tcPr>
          <w:p>
            <w:pPr>
              <w:spacing w:after="0"/>
              <w:rPr>
                <w:sz w:val="9"/>
                <w:szCs w:val="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6,133,167</w:t>
            </w:r>
          </w:p>
        </w:tc>
        <w:tc>
          <w:tcPr>
            <w:tcW w:w="80" w:type="dxa"/>
            <w:vAlign w:val="bottom"/>
          </w:tcPr>
          <w:p>
            <w:pPr>
              <w:spacing w:after="0"/>
              <w:rPr>
                <w:sz w:val="9"/>
                <w:szCs w:val="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143,483,254</w:t>
            </w:r>
          </w:p>
        </w:tc>
      </w:tr>
    </w:tbl>
    <w:p>
      <w:pPr>
        <w:spacing w:after="0" w:line="160" w:lineRule="exact"/>
        <w:rPr>
          <w:sz w:val="20"/>
          <w:szCs w:val="20"/>
          <w:color w:val="auto"/>
        </w:rPr>
      </w:pPr>
    </w:p>
    <w:p>
      <w:pPr>
        <w:ind w:left="46"/>
        <w:spacing w:after="0"/>
        <w:rPr>
          <w:sz w:val="20"/>
          <w:szCs w:val="20"/>
          <w:color w:val="auto"/>
        </w:rPr>
      </w:pPr>
      <w:r>
        <w:rPr>
          <w:rFonts w:ascii="Arial" w:cs="Arial" w:eastAsia="Arial" w:hAnsi="Arial"/>
          <w:sz w:val="16"/>
          <w:szCs w:val="16"/>
          <w:color w:val="auto"/>
        </w:rPr>
        <w:t>Macroeconomic scenario -</w:t>
      </w:r>
    </w:p>
    <w:p>
      <w:pPr>
        <w:spacing w:after="0" w:line="166" w:lineRule="exact"/>
        <w:rPr>
          <w:sz w:val="20"/>
          <w:szCs w:val="20"/>
          <w:color w:val="auto"/>
        </w:rPr>
      </w:pPr>
    </w:p>
    <w:p>
      <w:pPr>
        <w:ind w:left="46" w:right="320"/>
        <w:spacing w:after="0" w:line="277" w:lineRule="auto"/>
        <w:rPr>
          <w:sz w:val="20"/>
          <w:szCs w:val="20"/>
          <w:color w:val="auto"/>
        </w:rPr>
      </w:pPr>
      <w:r>
        <w:rPr>
          <w:rFonts w:ascii="Arial" w:cs="Arial" w:eastAsia="Arial" w:hAnsi="Arial"/>
          <w:sz w:val="14"/>
          <w:szCs w:val="14"/>
          <w:color w:val="auto"/>
        </w:rPr>
        <w:t>The expected credit loss is a weighted estimate of three macroeconomic scenarios: base, optimistic and pessimistic, which are calculated with macroeconomic projections provided by the Economic Studies team and approved by Senior Management. The local and international information flows available during the analysis period are used to feed the projections, which reflect the fact that Peru is a small and open economy, and in this context, approximately 60.0 percent of the volatility in economic growth is driven by external factors including terms of trade, the growth of Peru's trading partners and external interest rates. Information is collected on each of these factors to build each scenario for the next three years.</w:t>
      </w:r>
    </w:p>
    <w:p>
      <w:pPr>
        <w:spacing w:after="0" w:line="121" w:lineRule="exact"/>
        <w:rPr>
          <w:sz w:val="20"/>
          <w:szCs w:val="20"/>
          <w:color w:val="auto"/>
        </w:rPr>
      </w:pPr>
    </w:p>
    <w:p>
      <w:pPr>
        <w:ind w:left="46" w:right="240"/>
        <w:spacing w:after="0" w:line="255" w:lineRule="auto"/>
        <w:rPr>
          <w:sz w:val="20"/>
          <w:szCs w:val="20"/>
          <w:color w:val="auto"/>
        </w:rPr>
      </w:pPr>
      <w:r>
        <w:rPr>
          <w:rFonts w:ascii="Arial" w:cs="Arial" w:eastAsia="Arial" w:hAnsi="Arial"/>
          <w:sz w:val="16"/>
          <w:szCs w:val="16"/>
          <w:color w:val="auto"/>
        </w:rPr>
        <w:t>The variables mentioned above, along with local variables (fiscal and monetary variables), are incorporated into the economic models. Two types of models are used:</w:t>
      </w:r>
    </w:p>
    <w:p>
      <w:pPr>
        <w:spacing w:after="0" w:line="134" w:lineRule="exact"/>
        <w:rPr>
          <w:sz w:val="20"/>
          <w:szCs w:val="20"/>
          <w:color w:val="auto"/>
        </w:rPr>
      </w:pPr>
    </w:p>
    <w:p>
      <w:pPr>
        <w:ind w:left="326" w:hanging="326"/>
        <w:spacing w:after="0"/>
        <w:tabs>
          <w:tab w:leader="none" w:pos="32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Structural projection model.</w:t>
      </w:r>
    </w:p>
    <w:p>
      <w:pPr>
        <w:spacing w:after="0" w:line="5" w:lineRule="exact"/>
        <w:rPr>
          <w:rFonts w:ascii="Arial" w:cs="Arial" w:eastAsia="Arial" w:hAnsi="Arial"/>
          <w:sz w:val="16"/>
          <w:szCs w:val="16"/>
          <w:color w:val="auto"/>
        </w:rPr>
      </w:pPr>
    </w:p>
    <w:p>
      <w:pPr>
        <w:ind w:left="326" w:hanging="326"/>
        <w:spacing w:after="0"/>
        <w:tabs>
          <w:tab w:leader="none" w:pos="32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Financial programming model.</w:t>
      </w:r>
    </w:p>
    <w:p>
      <w:pPr>
        <w:spacing w:after="0" w:line="152" w:lineRule="exact"/>
        <w:rPr>
          <w:sz w:val="20"/>
          <w:szCs w:val="20"/>
          <w:color w:val="auto"/>
        </w:rPr>
      </w:pPr>
    </w:p>
    <w:p>
      <w:pPr>
        <w:ind w:left="46" w:right="200"/>
        <w:spacing w:after="0" w:line="241" w:lineRule="auto"/>
        <w:rPr>
          <w:sz w:val="20"/>
          <w:szCs w:val="20"/>
          <w:color w:val="auto"/>
        </w:rPr>
      </w:pPr>
      <w:r>
        <w:rPr>
          <w:rFonts w:ascii="Arial" w:cs="Arial" w:eastAsia="Arial" w:hAnsi="Arial"/>
          <w:sz w:val="16"/>
          <w:szCs w:val="16"/>
          <w:color w:val="auto"/>
        </w:rPr>
        <w:t>The first is a stochastic dynamic general equilibrium model, which is built with expectations. The second is constructed with the main identities of the national accounts in accordance with the financial programming methodology designed by the IMF (International Monetary Fund) and the methodologies used by a battery of econometric models.</w:t>
      </w:r>
    </w:p>
    <w:p>
      <w:pPr>
        <w:spacing w:after="0" w:line="293" w:lineRule="exact"/>
        <w:rPr>
          <w:sz w:val="20"/>
          <w:szCs w:val="20"/>
          <w:color w:val="auto"/>
        </w:rPr>
      </w:pPr>
    </w:p>
    <w:p>
      <w:pPr>
        <w:ind w:left="4646"/>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426"/>
          </w:cols>
          <w:pgMar w:left="1154" w:top="124" w:right="319" w:bottom="1440" w:gutter="0" w:footer="0" w:header="0"/>
        </w:sectPr>
      </w:pPr>
    </w:p>
    <w:bookmarkStart w:id="138" w:name="page139"/>
    <w:bookmarkEnd w:id="138"/>
    <w:p>
      <w:pPr>
        <w:ind w:left="320" w:right="280"/>
        <w:spacing w:after="0" w:line="257" w:lineRule="auto"/>
        <w:rPr>
          <w:sz w:val="20"/>
          <w:szCs w:val="20"/>
          <w:color w:val="auto"/>
        </w:rPr>
      </w:pPr>
      <w:r>
        <w:rPr>
          <w:rFonts w:ascii="Arial" w:cs="Arial" w:eastAsia="Arial" w:hAnsi="Arial"/>
          <w:sz w:val="16"/>
          <w:szCs w:val="16"/>
          <w:color w:val="auto"/>
        </w:rPr>
        <w:t>Through this process, projections of GDP growth, inflation, exchange rate and other macroeconomic variables are obtained for the years 2025 and 2026. We expect GDP to grow around 2.8 percent in 2025, which is mainly explained by the following factors:</w:t>
      </w:r>
    </w:p>
    <w:p>
      <w:pPr>
        <w:spacing w:after="0" w:line="132" w:lineRule="exact"/>
        <w:rPr>
          <w:sz w:val="20"/>
          <w:szCs w:val="20"/>
          <w:color w:val="auto"/>
        </w:rPr>
      </w:pPr>
    </w:p>
    <w:p>
      <w:pPr>
        <w:ind w:left="1000" w:hanging="213"/>
        <w:spacing w:after="0"/>
        <w:tabs>
          <w:tab w:leader="none" w:pos="10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Terms of trade near record highs,</w:t>
      </w:r>
    </w:p>
    <w:p>
      <w:pPr>
        <w:spacing w:after="0" w:line="5" w:lineRule="exact"/>
        <w:rPr>
          <w:rFonts w:ascii="Arial" w:cs="Arial" w:eastAsia="Arial" w:hAnsi="Arial"/>
          <w:sz w:val="16"/>
          <w:szCs w:val="16"/>
          <w:color w:val="auto"/>
        </w:rPr>
      </w:pPr>
    </w:p>
    <w:p>
      <w:pPr>
        <w:ind w:left="1000" w:hanging="213"/>
        <w:spacing w:after="0" w:line="228" w:lineRule="auto"/>
        <w:tabs>
          <w:tab w:leader="none" w:pos="10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Controlled inflation and pick-up of employment and real wages,</w:t>
      </w:r>
    </w:p>
    <w:p>
      <w:pPr>
        <w:ind w:left="1000" w:hanging="213"/>
        <w:spacing w:after="0" w:line="228" w:lineRule="auto"/>
        <w:tabs>
          <w:tab w:leader="none" w:pos="10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Delayed effects of a less restrictive monetary policy stance,</w:t>
      </w:r>
    </w:p>
    <w:p>
      <w:pPr>
        <w:ind w:left="1000" w:hanging="213"/>
        <w:spacing w:after="0" w:line="228" w:lineRule="auto"/>
        <w:tabs>
          <w:tab w:leader="none" w:pos="10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Business expectations that have remained optimistic during the year,</w:t>
      </w:r>
    </w:p>
    <w:p>
      <w:pPr>
        <w:ind w:left="1000" w:hanging="213"/>
        <w:spacing w:after="0" w:line="228" w:lineRule="auto"/>
        <w:tabs>
          <w:tab w:leader="none" w:pos="10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Favorable profit distributions in 2025 that will boost consumption,</w:t>
      </w:r>
    </w:p>
    <w:p>
      <w:pPr>
        <w:ind w:left="1000" w:hanging="213"/>
        <w:spacing w:after="0"/>
        <w:tabs>
          <w:tab w:leader="none" w:pos="10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Non-performing loans in the retail-consumption segment that have started to fall gradually.</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Extending the recovery phase will require: i) latching with medium- and long-term private investment decisions, ii) a limited effect of the pre-electoral</w:t>
      </w:r>
    </w:p>
    <w:p>
      <w:pPr>
        <w:spacing w:after="0" w:line="2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environment given general elections in April 2026, and iii) a limited impact of the renewed trade and geopolitical tensions on the economy. For 2025</w:t>
      </w:r>
    </w:p>
    <w:p>
      <w:pPr>
        <w:spacing w:after="0" w:line="14" w:lineRule="exact"/>
        <w:rPr>
          <w:sz w:val="20"/>
          <w:szCs w:val="20"/>
          <w:color w:val="auto"/>
        </w:rPr>
      </w:pPr>
    </w:p>
    <w:p>
      <w:pPr>
        <w:ind w:left="320"/>
        <w:spacing w:after="0" w:line="235" w:lineRule="auto"/>
        <w:rPr>
          <w:sz w:val="20"/>
          <w:szCs w:val="20"/>
          <w:color w:val="auto"/>
        </w:rPr>
      </w:pPr>
      <w:r>
        <w:rPr>
          <w:rFonts w:ascii="Arial" w:cs="Arial" w:eastAsia="Arial" w:hAnsi="Arial"/>
          <w:sz w:val="16"/>
          <w:szCs w:val="16"/>
          <w:color w:val="auto"/>
        </w:rPr>
        <w:t>and 2026, probabilities of 50 percent, 25 percent and 25 percent were considered for the baseline, optimistic and pessimistic scenarios, respectively. The probabilities assigned to each scenario and the projections are validated through a fan chart analysis, which uses the likelihood function to identify and analyze:</w:t>
      </w:r>
    </w:p>
    <w:p>
      <w:pPr>
        <w:spacing w:after="0" w:line="146" w:lineRule="exact"/>
        <w:rPr>
          <w:sz w:val="20"/>
          <w:szCs w:val="20"/>
          <w:color w:val="auto"/>
        </w:rPr>
      </w:pPr>
    </w:p>
    <w:p>
      <w:pPr>
        <w:ind w:left="640" w:hanging="320"/>
        <w:spacing w:after="0"/>
        <w:tabs>
          <w:tab w:leader="none" w:pos="6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central tendency of the projections.</w:t>
      </w:r>
    </w:p>
    <w:p>
      <w:pPr>
        <w:spacing w:after="0" w:line="5" w:lineRule="exact"/>
        <w:rPr>
          <w:rFonts w:ascii="Arial" w:cs="Arial" w:eastAsia="Arial" w:hAnsi="Arial"/>
          <w:sz w:val="16"/>
          <w:szCs w:val="16"/>
          <w:color w:val="auto"/>
        </w:rPr>
      </w:pPr>
    </w:p>
    <w:p>
      <w:pPr>
        <w:ind w:left="640" w:hanging="320"/>
        <w:spacing w:after="0" w:line="228" w:lineRule="auto"/>
        <w:tabs>
          <w:tab w:leader="none" w:pos="6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dispersion that is expected around this value.</w:t>
      </w:r>
    </w:p>
    <w:p>
      <w:pPr>
        <w:ind w:left="640" w:hanging="320"/>
        <w:spacing w:after="0"/>
        <w:tabs>
          <w:tab w:leader="none" w:pos="6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values that are higher or lower than the central value that are more or less probable.</w:t>
      </w:r>
    </w:p>
    <w:p>
      <w:pPr>
        <w:spacing w:after="0" w:line="152" w:lineRule="exact"/>
        <w:rPr>
          <w:sz w:val="20"/>
          <w:szCs w:val="20"/>
          <w:color w:val="auto"/>
        </w:rPr>
      </w:pPr>
    </w:p>
    <w:p>
      <w:pPr>
        <w:ind w:left="320" w:right="400"/>
        <w:spacing w:after="0" w:line="255" w:lineRule="auto"/>
        <w:rPr>
          <w:sz w:val="20"/>
          <w:szCs w:val="20"/>
          <w:color w:val="auto"/>
        </w:rPr>
      </w:pPr>
      <w:r>
        <w:rPr>
          <w:rFonts w:ascii="Arial" w:cs="Arial" w:eastAsia="Arial" w:hAnsi="Arial"/>
          <w:sz w:val="16"/>
          <w:szCs w:val="16"/>
          <w:color w:val="auto"/>
        </w:rPr>
        <w:t>The following table provides a comparison between the carrying amount of allowance for loan losses for direct loans, indirect loans and due from customers on banker’s acceptances, and its estimation under three scenarios base, optimistic and pessimistic.</w:t>
      </w:r>
    </w:p>
    <w:p>
      <w:pPr>
        <w:spacing w:after="0" w:line="132"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0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w w:val="89"/>
              </w:rPr>
              <w:t>2024</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6"/>
                <w:szCs w:val="16"/>
                <w:color w:val="auto"/>
              </w:rPr>
            </w:pPr>
          </w:p>
        </w:tc>
      </w:tr>
      <w:tr>
        <w:trPr>
          <w:trHeight w:val="206"/>
        </w:trPr>
        <w:tc>
          <w:tcPr>
            <w:tcW w:w="5920" w:type="dxa"/>
            <w:vAlign w:val="bottom"/>
          </w:tcPr>
          <w:p>
            <w:pPr>
              <w:spacing w:after="0"/>
              <w:rPr>
                <w:sz w:val="17"/>
                <w:szCs w:val="17"/>
                <w:color w:val="auto"/>
              </w:rPr>
            </w:pPr>
          </w:p>
        </w:tc>
        <w:tc>
          <w:tcPr>
            <w:tcW w:w="1040" w:type="dxa"/>
            <w:vAlign w:val="bottom"/>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60" w:type="dxa"/>
            <w:vAlign w:val="bottom"/>
          </w:tcPr>
          <w:p>
            <w:pPr>
              <w:jc w:val="right"/>
              <w:ind w:right="36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r>
      <w:tr>
        <w:trPr>
          <w:trHeight w:val="333"/>
        </w:trPr>
        <w:tc>
          <w:tcPr>
            <w:tcW w:w="5920" w:type="dxa"/>
            <w:vAlign w:val="bottom"/>
          </w:tcPr>
          <w:p>
            <w:pPr>
              <w:spacing w:after="0"/>
              <w:rPr>
                <w:sz w:val="20"/>
                <w:szCs w:val="20"/>
                <w:color w:val="auto"/>
              </w:rPr>
            </w:pPr>
            <w:r>
              <w:rPr>
                <w:rFonts w:ascii="Arial" w:cs="Arial" w:eastAsia="Arial" w:hAnsi="Arial"/>
                <w:sz w:val="16"/>
                <w:szCs w:val="16"/>
                <w:b w:val="1"/>
                <w:bCs w:val="1"/>
                <w:color w:val="auto"/>
              </w:rPr>
              <w:t>Carrying amount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8,378,895</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8,645,945</w:t>
            </w:r>
          </w:p>
        </w:tc>
      </w:tr>
      <w:tr>
        <w:trPr>
          <w:trHeight w:val="312"/>
        </w:trPr>
        <w:tc>
          <w:tcPr>
            <w:tcW w:w="5920" w:type="dxa"/>
            <w:vAlign w:val="bottom"/>
          </w:tcPr>
          <w:p>
            <w:pPr>
              <w:spacing w:after="0"/>
              <w:rPr>
                <w:sz w:val="20"/>
                <w:szCs w:val="20"/>
                <w:color w:val="auto"/>
              </w:rPr>
            </w:pPr>
            <w:r>
              <w:rPr>
                <w:rFonts w:ascii="Arial" w:cs="Arial" w:eastAsia="Arial" w:hAnsi="Arial"/>
                <w:sz w:val="16"/>
                <w:szCs w:val="16"/>
                <w:b w:val="1"/>
                <w:bCs w:val="1"/>
                <w:color w:val="auto"/>
              </w:rPr>
              <w:t>Scenarios: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5920" w:type="dxa"/>
            <w:vAlign w:val="bottom"/>
          </w:tcPr>
          <w:p>
            <w:pPr>
              <w:ind w:left="120"/>
              <w:spacing w:after="0" w:line="175" w:lineRule="exact"/>
              <w:rPr>
                <w:sz w:val="20"/>
                <w:szCs w:val="20"/>
                <w:color w:val="auto"/>
              </w:rPr>
            </w:pPr>
            <w:r>
              <w:rPr>
                <w:rFonts w:ascii="Arial" w:cs="Arial" w:eastAsia="Arial" w:hAnsi="Arial"/>
                <w:sz w:val="16"/>
                <w:szCs w:val="16"/>
                <w:color w:val="auto"/>
              </w:rPr>
              <w:t>Optimistic</w:t>
            </w:r>
          </w:p>
        </w:tc>
        <w:tc>
          <w:tcPr>
            <w:tcW w:w="12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8,283,450</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8,617,203</w:t>
            </w:r>
          </w:p>
        </w:tc>
      </w:tr>
      <w:tr>
        <w:trPr>
          <w:trHeight w:val="175"/>
        </w:trPr>
        <w:tc>
          <w:tcPr>
            <w:tcW w:w="5920" w:type="dxa"/>
            <w:vAlign w:val="bottom"/>
          </w:tcPr>
          <w:p>
            <w:pPr>
              <w:ind w:left="120"/>
              <w:spacing w:after="0" w:line="175" w:lineRule="exact"/>
              <w:rPr>
                <w:sz w:val="20"/>
                <w:szCs w:val="20"/>
                <w:color w:val="auto"/>
              </w:rPr>
            </w:pPr>
            <w:r>
              <w:rPr>
                <w:rFonts w:ascii="Arial" w:cs="Arial" w:eastAsia="Arial" w:hAnsi="Arial"/>
                <w:sz w:val="16"/>
                <w:szCs w:val="16"/>
                <w:color w:val="auto"/>
              </w:rPr>
              <w:t>Base Case</w:t>
            </w:r>
          </w:p>
        </w:tc>
        <w:tc>
          <w:tcPr>
            <w:tcW w:w="12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8,369,849</w:t>
            </w: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8,654,612</w:t>
            </w:r>
          </w:p>
        </w:tc>
      </w:tr>
      <w:tr>
        <w:trPr>
          <w:trHeight w:val="205"/>
        </w:trPr>
        <w:tc>
          <w:tcPr>
            <w:tcW w:w="5920" w:type="dxa"/>
            <w:vAlign w:val="bottom"/>
          </w:tcPr>
          <w:p>
            <w:pPr>
              <w:ind w:left="120"/>
              <w:spacing w:after="0"/>
              <w:rPr>
                <w:sz w:val="20"/>
                <w:szCs w:val="20"/>
                <w:color w:val="auto"/>
              </w:rPr>
            </w:pPr>
            <w:r>
              <w:rPr>
                <w:rFonts w:ascii="Arial" w:cs="Arial" w:eastAsia="Arial" w:hAnsi="Arial"/>
                <w:sz w:val="16"/>
                <w:szCs w:val="16"/>
                <w:color w:val="auto"/>
              </w:rPr>
              <w:t>Pessimistic</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8,492,433</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8,712,061</w:t>
            </w:r>
          </w:p>
        </w:tc>
      </w:tr>
    </w:tbl>
    <w:p>
      <w:pPr>
        <w:spacing w:after="0" w:line="145"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Credit risk management on reverse repurchase agreements and securities borrowing -</w:t>
      </w:r>
    </w:p>
    <w:p>
      <w:pPr>
        <w:spacing w:after="0" w:line="166" w:lineRule="exact"/>
        <w:rPr>
          <w:sz w:val="20"/>
          <w:szCs w:val="20"/>
          <w:color w:val="auto"/>
        </w:rPr>
      </w:pPr>
    </w:p>
    <w:p>
      <w:pPr>
        <w:ind w:left="320" w:right="40"/>
        <w:spacing w:after="0" w:line="255" w:lineRule="auto"/>
        <w:rPr>
          <w:sz w:val="20"/>
          <w:szCs w:val="20"/>
          <w:color w:val="auto"/>
        </w:rPr>
      </w:pPr>
      <w:r>
        <w:rPr>
          <w:rFonts w:ascii="Arial" w:cs="Arial" w:eastAsia="Arial" w:hAnsi="Arial"/>
          <w:sz w:val="16"/>
          <w:szCs w:val="16"/>
          <w:color w:val="auto"/>
        </w:rPr>
        <w:t>Most of these operations are performed by Credicorp Capital. The Group has implemented credit limits for each counterparty and most of transactions are collateralized with investment grade financial instruments and financial instruments issued by Governments.</w:t>
      </w:r>
    </w:p>
    <w:p>
      <w:pPr>
        <w:spacing w:after="0" w:line="13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4"/>
          <w:szCs w:val="14"/>
          <w:color w:val="auto"/>
        </w:rPr>
        <w:t>Credit risk management on investments -</w:t>
      </w:r>
    </w:p>
    <w:p>
      <w:pPr>
        <w:spacing w:after="0" w:line="166" w:lineRule="exact"/>
        <w:rPr>
          <w:sz w:val="20"/>
          <w:szCs w:val="20"/>
          <w:color w:val="auto"/>
        </w:rPr>
      </w:pPr>
    </w:p>
    <w:p>
      <w:pPr>
        <w:ind w:left="320" w:right="380"/>
        <w:spacing w:after="0" w:line="293" w:lineRule="auto"/>
        <w:rPr>
          <w:sz w:val="20"/>
          <w:szCs w:val="20"/>
          <w:color w:val="auto"/>
        </w:rPr>
      </w:pPr>
      <w:r>
        <w:rPr>
          <w:rFonts w:ascii="Arial" w:cs="Arial" w:eastAsia="Arial" w:hAnsi="Arial"/>
          <w:sz w:val="14"/>
          <w:szCs w:val="14"/>
          <w:color w:val="auto"/>
        </w:rPr>
        <w:t>The Group evaluates the credit risk identified of each of the investments, disclosing the risk rating granted to them by a risk rating agency. For investments traded in Peru, risk ratings used are those provided by the three most prestigious Peruvian rating agencies (authorized by Peruvian regulator) and for investments traded abroad, the risk-ratings used are those provided by the three most prestigious international rating agencies.</w:t>
      </w:r>
    </w:p>
    <w:p>
      <w:pPr>
        <w:spacing w:after="0" w:line="111" w:lineRule="exact"/>
        <w:rPr>
          <w:sz w:val="20"/>
          <w:szCs w:val="20"/>
          <w:color w:val="auto"/>
        </w:rPr>
      </w:pPr>
    </w:p>
    <w:p>
      <w:pPr>
        <w:ind w:left="320" w:right="180"/>
        <w:spacing w:after="0" w:line="255" w:lineRule="auto"/>
        <w:rPr>
          <w:sz w:val="20"/>
          <w:szCs w:val="20"/>
          <w:color w:val="auto"/>
        </w:rPr>
      </w:pPr>
      <w:r>
        <w:rPr>
          <w:rFonts w:ascii="Arial" w:cs="Arial" w:eastAsia="Arial" w:hAnsi="Arial"/>
          <w:sz w:val="16"/>
          <w:szCs w:val="16"/>
          <w:color w:val="auto"/>
        </w:rPr>
        <w:t>In the event that any subsidiary uses a risk-rating prepared by any other risk rating agency, said risk-ratings are standardized with those provided by the above-mentioned institutions for consolidation purposes.</w:t>
      </w:r>
    </w:p>
    <w:p>
      <w:pPr>
        <w:spacing w:after="0" w:line="281"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60"/>
          </w:cols>
          <w:pgMar w:left="880" w:top="124" w:right="359" w:bottom="1440" w:gutter="0" w:footer="0" w:header="0"/>
        </w:sectPr>
      </w:pPr>
    </w:p>
    <w:bookmarkStart w:id="139" w:name="page140"/>
    <w:bookmarkEnd w:id="139"/>
    <w:p>
      <w:pPr>
        <w:ind w:left="40"/>
        <w:spacing w:after="0"/>
        <w:rPr>
          <w:sz w:val="20"/>
          <w:szCs w:val="20"/>
          <w:color w:val="auto"/>
        </w:rPr>
      </w:pPr>
      <w:r>
        <w:rPr>
          <w:rFonts w:ascii="Arial" w:cs="Arial" w:eastAsia="Arial" w:hAnsi="Arial"/>
          <w:sz w:val="16"/>
          <w:szCs w:val="16"/>
          <w:color w:val="auto"/>
        </w:rPr>
        <w:t>The following table shows the risk analysis of the investments provided by the institutions referred to above: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20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622"/>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00" w:type="dxa"/>
            <w:vAlign w:val="bottom"/>
            <w:vMerge w:val="restart"/>
          </w:tcPr>
          <w:p>
            <w:pPr>
              <w:spacing w:after="0"/>
              <w:rPr>
                <w:sz w:val="20"/>
                <w:szCs w:val="20"/>
                <w:color w:val="auto"/>
              </w:rPr>
            </w:pPr>
            <w:r>
              <w:rPr>
                <w:rFonts w:ascii="Arial" w:cs="Arial" w:eastAsia="Arial" w:hAnsi="Arial"/>
                <w:sz w:val="16"/>
                <w:szCs w:val="16"/>
                <w:b w:val="1"/>
                <w:bCs w:val="1"/>
                <w:color w:val="auto"/>
              </w:rPr>
              <w:t>Instruments rated in Peru:</w:t>
            </w:r>
          </w:p>
        </w:tc>
        <w:tc>
          <w:tcPr>
            <w:tcW w:w="1160" w:type="dxa"/>
            <w:vAlign w:val="bottom"/>
          </w:tcPr>
          <w:p>
            <w:pPr>
              <w:spacing w:after="0"/>
              <w:rPr>
                <w:sz w:val="17"/>
                <w:szCs w:val="17"/>
                <w:color w:val="auto"/>
              </w:rPr>
            </w:pP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S/(000)</w:t>
            </w:r>
          </w:p>
        </w:tc>
        <w:tc>
          <w:tcPr>
            <w:tcW w:w="5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S/(000)</w:t>
            </w:r>
          </w:p>
        </w:tc>
        <w:tc>
          <w:tcPr>
            <w:tcW w:w="1160" w:type="dxa"/>
            <w:vAlign w:val="bottom"/>
            <w:tcBorders>
              <w:top w:val="single" w:sz="8" w:color="auto"/>
            </w:tcBorders>
            <w:gridSpan w:val="2"/>
          </w:tcPr>
          <w:p>
            <w:pPr>
              <w:jc w:val="right"/>
              <w:ind w:right="84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30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A- to A+</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65,360</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BBB- to BBB+</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23,952,251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44.5</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22,584,226</w:t>
            </w:r>
          </w:p>
        </w:tc>
        <w:tc>
          <w:tcPr>
            <w:tcW w:w="10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BB- to BB+</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910,170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1.7</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657,658</w:t>
            </w:r>
          </w:p>
        </w:tc>
        <w:tc>
          <w:tcPr>
            <w:tcW w:w="10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Lower and equal to +B</w:t>
            </w:r>
          </w:p>
        </w:tc>
        <w:tc>
          <w:tcPr>
            <w:tcW w:w="2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33,402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0.1</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132,148</w:t>
            </w:r>
          </w:p>
        </w:tc>
        <w:tc>
          <w:tcPr>
            <w:tcW w:w="10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Unrated: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5" w:lineRule="exact"/>
              <w:rPr>
                <w:sz w:val="20"/>
                <w:szCs w:val="20"/>
                <w:color w:val="auto"/>
              </w:rPr>
            </w:pPr>
            <w:r>
              <w:rPr>
                <w:rFonts w:ascii="Arial" w:cs="Arial" w:eastAsia="Arial" w:hAnsi="Arial"/>
                <w:sz w:val="16"/>
                <w:szCs w:val="16"/>
                <w:color w:val="auto"/>
              </w:rPr>
              <w:t>BCRP certificates of deposit</w:t>
            </w:r>
          </w:p>
        </w:tc>
        <w:tc>
          <w:tcPr>
            <w:tcW w:w="2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11,435,757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21.2</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11,127,919</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5" w:lineRule="exact"/>
              <w:rPr>
                <w:sz w:val="20"/>
                <w:szCs w:val="20"/>
                <w:color w:val="auto"/>
              </w:rPr>
            </w:pPr>
            <w:r>
              <w:rPr>
                <w:rFonts w:ascii="Arial" w:cs="Arial" w:eastAsia="Arial" w:hAnsi="Arial"/>
                <w:sz w:val="16"/>
                <w:szCs w:val="16"/>
                <w:color w:val="auto"/>
              </w:rPr>
              <w:t>Listed and unlisted securities</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158,620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0.3</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312,648</w:t>
            </w:r>
          </w:p>
        </w:tc>
        <w:tc>
          <w:tcPr>
            <w:tcW w:w="10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5" w:lineRule="exact"/>
              <w:rPr>
                <w:sz w:val="20"/>
                <w:szCs w:val="20"/>
                <w:color w:val="auto"/>
              </w:rPr>
            </w:pPr>
            <w:r>
              <w:rPr>
                <w:rFonts w:ascii="Arial" w:cs="Arial" w:eastAsia="Arial" w:hAnsi="Arial"/>
                <w:sz w:val="16"/>
                <w:szCs w:val="16"/>
                <w:color w:val="auto"/>
              </w:rPr>
              <w:t>Restricted mutual funds</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307,225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0.6</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334,162</w:t>
            </w:r>
          </w:p>
        </w:tc>
        <w:tc>
          <w:tcPr>
            <w:tcW w:w="10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5" w:lineRule="exact"/>
              <w:rPr>
                <w:sz w:val="20"/>
                <w:szCs w:val="20"/>
                <w:color w:val="auto"/>
              </w:rPr>
            </w:pPr>
            <w:r>
              <w:rPr>
                <w:rFonts w:ascii="Arial" w:cs="Arial" w:eastAsia="Arial" w:hAnsi="Arial"/>
                <w:sz w:val="16"/>
                <w:szCs w:val="16"/>
                <w:color w:val="auto"/>
              </w:rPr>
              <w:t>Investment funds</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835,689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1.6</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651,307</w:t>
            </w:r>
          </w:p>
        </w:tc>
        <w:tc>
          <w:tcPr>
            <w:tcW w:w="10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5" w:lineRule="exact"/>
              <w:rPr>
                <w:sz w:val="20"/>
                <w:szCs w:val="20"/>
                <w:color w:val="auto"/>
              </w:rPr>
            </w:pPr>
            <w:r>
              <w:rPr>
                <w:rFonts w:ascii="Arial" w:cs="Arial" w:eastAsia="Arial" w:hAnsi="Arial"/>
                <w:sz w:val="16"/>
                <w:szCs w:val="16"/>
                <w:color w:val="auto"/>
              </w:rPr>
              <w:t>Mutual funds</w:t>
            </w:r>
          </w:p>
        </w:tc>
        <w:tc>
          <w:tcPr>
            <w:tcW w:w="2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66,156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0.1</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1,824</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3300" w:type="dxa"/>
            <w:vAlign w:val="bottom"/>
          </w:tcPr>
          <w:p>
            <w:pPr>
              <w:ind w:left="140"/>
              <w:spacing w:after="0"/>
              <w:rPr>
                <w:sz w:val="20"/>
                <w:szCs w:val="20"/>
                <w:color w:val="auto"/>
              </w:rPr>
            </w:pPr>
            <w:r>
              <w:rPr>
                <w:rFonts w:ascii="Arial" w:cs="Arial" w:eastAsia="Arial" w:hAnsi="Arial"/>
                <w:sz w:val="16"/>
                <w:szCs w:val="16"/>
                <w:color w:val="auto"/>
              </w:rPr>
              <w:t>Other instruments</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276,372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0.5</w:t>
            </w:r>
          </w:p>
        </w:tc>
        <w:tc>
          <w:tcPr>
            <w:tcW w:w="1060" w:type="dxa"/>
            <w:vAlign w:val="bottom"/>
          </w:tcPr>
          <w:p>
            <w:pPr>
              <w:jc w:val="right"/>
              <w:spacing w:after="0"/>
              <w:rPr>
                <w:sz w:val="20"/>
                <w:szCs w:val="20"/>
                <w:color w:val="auto"/>
              </w:rPr>
            </w:pPr>
            <w:r>
              <w:rPr>
                <w:rFonts w:ascii="Arial" w:cs="Arial" w:eastAsia="Arial" w:hAnsi="Arial"/>
                <w:sz w:val="16"/>
                <w:szCs w:val="16"/>
                <w:color w:val="auto"/>
              </w:rPr>
              <w:t>242,310</w:t>
            </w:r>
          </w:p>
        </w:tc>
        <w:tc>
          <w:tcPr>
            <w:tcW w:w="100" w:type="dxa"/>
            <w:vAlign w:val="bottom"/>
          </w:tcPr>
          <w:p>
            <w:pPr>
              <w:spacing w:after="0"/>
              <w:rPr>
                <w:sz w:val="16"/>
                <w:szCs w:val="16"/>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67"/>
        </w:trPr>
        <w:tc>
          <w:tcPr>
            <w:tcW w:w="3300" w:type="dxa"/>
            <w:vAlign w:val="bottom"/>
          </w:tcPr>
          <w:p>
            <w:pPr>
              <w:spacing w:after="0" w:line="167" w:lineRule="exact"/>
              <w:rPr>
                <w:sz w:val="20"/>
                <w:szCs w:val="20"/>
                <w:color w:val="auto"/>
              </w:rPr>
            </w:pPr>
            <w:r>
              <w:rPr>
                <w:rFonts w:ascii="Arial" w:cs="Arial" w:eastAsia="Arial" w:hAnsi="Arial"/>
                <w:sz w:val="16"/>
                <w:szCs w:val="16"/>
                <w:b w:val="1"/>
                <w:bCs w:val="1"/>
                <w:color w:val="auto"/>
              </w:rPr>
              <w:t>Subtotal</w:t>
            </w:r>
          </w:p>
        </w:tc>
        <w:tc>
          <w:tcPr>
            <w:tcW w:w="1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37,975,642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70.6</w:t>
            </w:r>
          </w:p>
        </w:tc>
        <w:tc>
          <w:tcPr>
            <w:tcW w:w="2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36,109,562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69.2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200" w:type="dxa"/>
            <w:vAlign w:val="bottom"/>
            <w:gridSpan w:val="2"/>
          </w:tcPr>
          <w:p>
            <w:pPr>
              <w:jc w:val="right"/>
              <w:ind w:right="62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622"/>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00" w:type="dxa"/>
            <w:vAlign w:val="bottom"/>
            <w:vMerge w:val="restart"/>
          </w:tcPr>
          <w:p>
            <w:pPr>
              <w:spacing w:after="0"/>
              <w:rPr>
                <w:sz w:val="20"/>
                <w:szCs w:val="20"/>
                <w:color w:val="auto"/>
              </w:rPr>
            </w:pPr>
            <w:r>
              <w:rPr>
                <w:rFonts w:ascii="Arial" w:cs="Arial" w:eastAsia="Arial" w:hAnsi="Arial"/>
                <w:sz w:val="16"/>
                <w:szCs w:val="16"/>
                <w:b w:val="1"/>
                <w:bCs w:val="1"/>
                <w:color w:val="auto"/>
              </w:rPr>
              <w:t>Instruments rated abroad:</w:t>
            </w:r>
          </w:p>
        </w:tc>
        <w:tc>
          <w:tcPr>
            <w:tcW w:w="1160" w:type="dxa"/>
            <w:vAlign w:val="bottom"/>
          </w:tcPr>
          <w:p>
            <w:pPr>
              <w:spacing w:after="0"/>
              <w:rPr>
                <w:sz w:val="17"/>
                <w:szCs w:val="17"/>
                <w:color w:val="auto"/>
              </w:rPr>
            </w:pP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S/(000)</w:t>
            </w:r>
          </w:p>
        </w:tc>
        <w:tc>
          <w:tcPr>
            <w:tcW w:w="5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S/(000)</w:t>
            </w:r>
          </w:p>
        </w:tc>
        <w:tc>
          <w:tcPr>
            <w:tcW w:w="1160" w:type="dxa"/>
            <w:vAlign w:val="bottom"/>
            <w:tcBorders>
              <w:top w:val="single" w:sz="8" w:color="auto"/>
            </w:tcBorders>
            <w:gridSpan w:val="2"/>
          </w:tcPr>
          <w:p>
            <w:pPr>
              <w:jc w:val="right"/>
              <w:ind w:right="842"/>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30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AAA</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442,467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0.8</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1,007,270</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AA- a AA+</w:t>
            </w:r>
          </w:p>
        </w:tc>
        <w:tc>
          <w:tcPr>
            <w:tcW w:w="2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2,562,695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4.7</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2,447,819</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A- to A+</w:t>
            </w:r>
          </w:p>
        </w:tc>
        <w:tc>
          <w:tcPr>
            <w:tcW w:w="2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2,720,507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5.1</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2,709,151</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BBB- to BBB+</w:t>
            </w:r>
          </w:p>
        </w:tc>
        <w:tc>
          <w:tcPr>
            <w:tcW w:w="2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4,904,951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9.1</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4,273,210</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BB- to BB+</w:t>
            </w:r>
          </w:p>
        </w:tc>
        <w:tc>
          <w:tcPr>
            <w:tcW w:w="2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2,608,610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4.8</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2,045,242</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Lower and equal to +B</w:t>
            </w:r>
          </w:p>
        </w:tc>
        <w:tc>
          <w:tcPr>
            <w:tcW w:w="2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60,822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0.1</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673,757</w:t>
            </w:r>
          </w:p>
        </w:tc>
        <w:tc>
          <w:tcPr>
            <w:tcW w:w="10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5"/>
        </w:trPr>
        <w:tc>
          <w:tcPr>
            <w:tcW w:w="3300" w:type="dxa"/>
            <w:vAlign w:val="bottom"/>
          </w:tcPr>
          <w:p>
            <w:pPr>
              <w:spacing w:after="0" w:line="175" w:lineRule="exact"/>
              <w:rPr>
                <w:sz w:val="20"/>
                <w:szCs w:val="20"/>
                <w:color w:val="auto"/>
              </w:rPr>
            </w:pPr>
            <w:r>
              <w:rPr>
                <w:rFonts w:ascii="Arial" w:cs="Arial" w:eastAsia="Arial" w:hAnsi="Arial"/>
                <w:sz w:val="16"/>
                <w:szCs w:val="16"/>
                <w:color w:val="auto"/>
              </w:rPr>
              <w:t>Unrated: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5" w:lineRule="exact"/>
              <w:rPr>
                <w:sz w:val="20"/>
                <w:szCs w:val="20"/>
                <w:color w:val="auto"/>
              </w:rPr>
            </w:pPr>
            <w:r>
              <w:rPr>
                <w:rFonts w:ascii="Arial" w:cs="Arial" w:eastAsia="Arial" w:hAnsi="Arial"/>
                <w:sz w:val="16"/>
                <w:szCs w:val="16"/>
                <w:color w:val="auto"/>
              </w:rPr>
              <w:t>Listed and unlisted securities</w:t>
            </w:r>
          </w:p>
        </w:tc>
        <w:tc>
          <w:tcPr>
            <w:tcW w:w="22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42,033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0.1</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60,877</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5" w:lineRule="exact"/>
              <w:rPr>
                <w:sz w:val="20"/>
                <w:szCs w:val="20"/>
                <w:color w:val="auto"/>
              </w:rPr>
            </w:pPr>
            <w:r>
              <w:rPr>
                <w:rFonts w:ascii="Arial" w:cs="Arial" w:eastAsia="Arial" w:hAnsi="Arial"/>
                <w:sz w:val="16"/>
                <w:szCs w:val="16"/>
                <w:color w:val="auto"/>
              </w:rPr>
              <w:t>Mutual funds</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556,001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1.0</w:t>
            </w:r>
          </w:p>
        </w:tc>
        <w:tc>
          <w:tcPr>
            <w:tcW w:w="11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1,104,724</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5" w:lineRule="exact"/>
              <w:rPr>
                <w:sz w:val="20"/>
                <w:szCs w:val="20"/>
                <w:color w:val="auto"/>
              </w:rPr>
            </w:pPr>
            <w:r>
              <w:rPr>
                <w:rFonts w:ascii="Arial" w:cs="Arial" w:eastAsia="Arial" w:hAnsi="Arial"/>
                <w:sz w:val="16"/>
                <w:szCs w:val="16"/>
                <w:color w:val="auto"/>
              </w:rPr>
              <w:t>Participations of RAL funds</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432,503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0.8</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145,414</w:t>
            </w:r>
          </w:p>
        </w:tc>
        <w:tc>
          <w:tcPr>
            <w:tcW w:w="10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5" w:lineRule="exact"/>
              <w:rPr>
                <w:sz w:val="20"/>
                <w:szCs w:val="20"/>
                <w:color w:val="auto"/>
              </w:rPr>
            </w:pPr>
            <w:r>
              <w:rPr>
                <w:rFonts w:ascii="Arial" w:cs="Arial" w:eastAsia="Arial" w:hAnsi="Arial"/>
                <w:sz w:val="16"/>
                <w:szCs w:val="16"/>
                <w:color w:val="auto"/>
              </w:rPr>
              <w:t>Investment funds</w:t>
            </w:r>
          </w:p>
        </w:tc>
        <w:tc>
          <w:tcPr>
            <w:tcW w:w="22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566,267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1.1</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547,719</w:t>
            </w:r>
          </w:p>
        </w:tc>
        <w:tc>
          <w:tcPr>
            <w:tcW w:w="100" w:type="dxa"/>
            <w:vAlign w:val="bottom"/>
          </w:tcPr>
          <w:p>
            <w:pPr>
              <w:spacing w:after="0"/>
              <w:rPr>
                <w:sz w:val="15"/>
                <w:szCs w:val="15"/>
                <w:color w:val="auto"/>
              </w:rPr>
            </w:pP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0"/>
        </w:trPr>
        <w:tc>
          <w:tcPr>
            <w:tcW w:w="3300" w:type="dxa"/>
            <w:vAlign w:val="bottom"/>
          </w:tcPr>
          <w:p>
            <w:pPr>
              <w:ind w:left="140"/>
              <w:spacing w:after="0"/>
              <w:rPr>
                <w:sz w:val="20"/>
                <w:szCs w:val="20"/>
                <w:color w:val="auto"/>
              </w:rPr>
            </w:pPr>
            <w:r>
              <w:rPr>
                <w:rFonts w:ascii="Arial" w:cs="Arial" w:eastAsia="Arial" w:hAnsi="Arial"/>
                <w:sz w:val="16"/>
                <w:szCs w:val="16"/>
                <w:color w:val="auto"/>
              </w:rPr>
              <w:t>Other instruments</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953,360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1.8</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1,090,783</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7"/>
        </w:trPr>
        <w:tc>
          <w:tcPr>
            <w:tcW w:w="3300" w:type="dxa"/>
            <w:vAlign w:val="bottom"/>
          </w:tcPr>
          <w:p>
            <w:pPr>
              <w:spacing w:after="0" w:line="167" w:lineRule="exact"/>
              <w:rPr>
                <w:sz w:val="20"/>
                <w:szCs w:val="20"/>
                <w:color w:val="auto"/>
              </w:rPr>
            </w:pPr>
            <w:r>
              <w:rPr>
                <w:rFonts w:ascii="Arial" w:cs="Arial" w:eastAsia="Arial" w:hAnsi="Arial"/>
                <w:sz w:val="16"/>
                <w:szCs w:val="16"/>
                <w:b w:val="1"/>
                <w:bCs w:val="1"/>
                <w:color w:val="auto"/>
              </w:rPr>
              <w:t>Subtotal</w:t>
            </w:r>
          </w:p>
        </w:tc>
        <w:tc>
          <w:tcPr>
            <w:tcW w:w="11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15,850,216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29.3</w:t>
            </w:r>
          </w:p>
        </w:tc>
        <w:tc>
          <w:tcPr>
            <w:tcW w:w="2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16,105,966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1160" w:type="dxa"/>
            <w:vAlign w:val="bottom"/>
          </w:tcPr>
          <w:p>
            <w:pPr>
              <w:spacing w:after="0"/>
              <w:rPr>
                <w:sz w:val="14"/>
                <w:szCs w:val="14"/>
                <w:color w:val="auto"/>
              </w:rPr>
            </w:pP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53,825,858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100.0</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52,215,528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It is worth mentioning that the change in the risk-rating of the investments has had an impact on the measurement of the expected loss.</w:t>
      </w:r>
    </w:p>
    <w:p>
      <w:pPr>
        <w:spacing w:after="0" w:line="336"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36195</wp:posOffset>
            </wp:positionV>
            <wp:extent cx="7150735"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140" w:name="page141"/>
    <w:bookmarkEnd w:id="140"/>
    <w:p>
      <w:pPr>
        <w:ind w:left="286" w:hanging="286"/>
        <w:spacing w:after="0"/>
        <w:tabs>
          <w:tab w:leader="none" w:pos="28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Concentration of financial instruments exposed to credit risk -</w:t>
      </w:r>
    </w:p>
    <w:p>
      <w:pPr>
        <w:spacing w:after="0" w:line="167" w:lineRule="exact"/>
        <w:rPr>
          <w:sz w:val="20"/>
          <w:szCs w:val="20"/>
          <w:color w:val="auto"/>
        </w:rPr>
      </w:pPr>
    </w:p>
    <w:p>
      <w:pPr>
        <w:ind w:left="286"/>
        <w:spacing w:after="0"/>
        <w:rPr>
          <w:sz w:val="20"/>
          <w:szCs w:val="20"/>
          <w:color w:val="auto"/>
        </w:rPr>
      </w:pPr>
      <w:r>
        <w:rPr>
          <w:rFonts w:ascii="Arial" w:cs="Arial" w:eastAsia="Arial" w:hAnsi="Arial"/>
          <w:sz w:val="16"/>
          <w:szCs w:val="16"/>
          <w:color w:val="auto"/>
        </w:rPr>
        <w:t>As of December 31, 2024 and 2023, financial instruments with exposure to credit risk were distributed considering the following economic sectors:</w:t>
      </w:r>
    </w:p>
    <w:p>
      <w:pPr>
        <w:spacing w:after="0" w:line="177" w:lineRule="exact"/>
        <w:rPr>
          <w:sz w:val="20"/>
          <w:szCs w:val="20"/>
          <w:color w:val="auto"/>
        </w:rPr>
      </w:pPr>
    </w:p>
    <w:tbl>
      <w:tblPr>
        <w:tblLayout w:type="fixed"/>
        <w:tblInd w:w="286" w:type="dxa"/>
        <w:tblCellMar>
          <w:top w:w="0" w:type="dxa"/>
          <w:left w:w="0" w:type="dxa"/>
          <w:bottom w:w="0" w:type="dxa"/>
          <w:right w:w="0" w:type="dxa"/>
        </w:tblCellMar>
      </w:tblPr>
      <w:tr>
        <w:trPr>
          <w:trHeight w:val="132"/>
        </w:trPr>
        <w:tc>
          <w:tcPr>
            <w:tcW w:w="1800" w:type="dxa"/>
            <w:vAlign w:val="bottom"/>
          </w:tcPr>
          <w:p>
            <w:pPr>
              <w:spacing w:after="0"/>
              <w:rPr>
                <w:sz w:val="11"/>
                <w:szCs w:val="11"/>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800" w:type="dxa"/>
            <w:vAlign w:val="bottom"/>
          </w:tcPr>
          <w:p>
            <w:pPr>
              <w:spacing w:after="0"/>
              <w:rPr>
                <w:sz w:val="8"/>
                <w:szCs w:val="8"/>
                <w:color w:val="auto"/>
              </w:rPr>
            </w:pPr>
          </w:p>
        </w:tc>
        <w:tc>
          <w:tcPr>
            <w:tcW w:w="80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At fair value</w:t>
            </w: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At fair value</w:t>
            </w: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1560" w:type="dxa"/>
            <w:vAlign w:val="bottom"/>
            <w:gridSpan w:val="4"/>
          </w:tcPr>
          <w:p>
            <w:pPr>
              <w:spacing w:after="0"/>
              <w:rPr>
                <w:sz w:val="20"/>
                <w:szCs w:val="20"/>
                <w:color w:val="auto"/>
              </w:rPr>
            </w:pPr>
            <w:r>
              <w:rPr>
                <w:rFonts w:ascii="Arial" w:cs="Arial" w:eastAsia="Arial" w:hAnsi="Arial"/>
                <w:sz w:val="11"/>
                <w:szCs w:val="11"/>
                <w:b w:val="1"/>
                <w:bCs w:val="1"/>
                <w:color w:val="auto"/>
              </w:rPr>
              <w:t>through profit for loss</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At fair value</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4"/>
          </w:tcPr>
          <w:p>
            <w:pPr>
              <w:spacing w:after="0"/>
              <w:rPr>
                <w:sz w:val="20"/>
                <w:szCs w:val="20"/>
                <w:color w:val="auto"/>
              </w:rPr>
            </w:pPr>
            <w:r>
              <w:rPr>
                <w:rFonts w:ascii="Arial" w:cs="Arial" w:eastAsia="Arial" w:hAnsi="Arial"/>
                <w:sz w:val="11"/>
                <w:szCs w:val="11"/>
                <w:b w:val="1"/>
                <w:bCs w:val="1"/>
                <w:color w:val="auto"/>
              </w:rPr>
              <w:t>through profit for loss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At fair value</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800" w:type="dxa"/>
            <w:vAlign w:val="bottom"/>
          </w:tcPr>
          <w:p>
            <w:pPr>
              <w:spacing w:after="0"/>
              <w:rPr>
                <w:sz w:val="8"/>
                <w:szCs w:val="8"/>
                <w:color w:val="auto"/>
              </w:rPr>
            </w:pPr>
          </w:p>
        </w:tc>
        <w:tc>
          <w:tcPr>
            <w:tcW w:w="800" w:type="dxa"/>
            <w:vAlign w:val="bottom"/>
            <w:tcBorders>
              <w:top w:val="single" w:sz="8" w:color="auto"/>
            </w:tcBorders>
            <w:gridSpan w:val="2"/>
          </w:tcPr>
          <w:p>
            <w:pPr>
              <w:spacing w:after="0" w:line="93" w:lineRule="exact"/>
              <w:rPr>
                <w:sz w:val="20"/>
                <w:szCs w:val="20"/>
                <w:color w:val="auto"/>
              </w:rPr>
            </w:pPr>
            <w:r>
              <w:rPr>
                <w:rFonts w:ascii="Arial" w:cs="Arial" w:eastAsia="Arial" w:hAnsi="Arial"/>
                <w:sz w:val="10"/>
                <w:szCs w:val="10"/>
                <w:b w:val="1"/>
                <w:bCs w:val="1"/>
                <w:color w:val="auto"/>
              </w:rPr>
              <w:t>Held for</w:t>
            </w: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Financial</w:t>
            </w:r>
          </w:p>
        </w:tc>
        <w:tc>
          <w:tcPr>
            <w:tcW w:w="10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Held for</w:t>
            </w: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Financial</w:t>
            </w:r>
          </w:p>
        </w:tc>
        <w:tc>
          <w:tcPr>
            <w:tcW w:w="10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8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trading,</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06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through other</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through other</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8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hedging</w:t>
            </w: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Designated</w:t>
            </w:r>
          </w:p>
        </w:tc>
        <w:tc>
          <w:tcPr>
            <w:tcW w:w="8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assets at</w:t>
            </w:r>
          </w:p>
        </w:tc>
        <w:tc>
          <w:tcPr>
            <w:tcW w:w="106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comprehensive</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trading,</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Designated</w:t>
            </w:r>
          </w:p>
        </w:tc>
        <w:tc>
          <w:tcPr>
            <w:tcW w:w="86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assets at</w:t>
            </w:r>
          </w:p>
        </w:tc>
        <w:tc>
          <w:tcPr>
            <w:tcW w:w="10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comprehensive</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8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and</w:t>
            </w:r>
          </w:p>
        </w:tc>
        <w:tc>
          <w:tcPr>
            <w:tcW w:w="760" w:type="dxa"/>
            <w:vAlign w:val="bottom"/>
            <w:gridSpan w:val="2"/>
            <w:vMerge w:val="continue"/>
          </w:tcPr>
          <w:p>
            <w:pPr>
              <w:spacing w:after="0"/>
              <w:rPr>
                <w:sz w:val="10"/>
                <w:szCs w:val="10"/>
                <w:color w:val="auto"/>
              </w:rPr>
            </w:pPr>
          </w:p>
        </w:tc>
        <w:tc>
          <w:tcPr>
            <w:tcW w:w="8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amortized</w:t>
            </w:r>
          </w:p>
        </w:tc>
        <w:tc>
          <w:tcPr>
            <w:tcW w:w="106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income</w:t>
            </w: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Total</w:t>
            </w:r>
          </w:p>
        </w:tc>
        <w:tc>
          <w:tcPr>
            <w:tcW w:w="8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hedging and</w:t>
            </w:r>
          </w:p>
        </w:tc>
        <w:tc>
          <w:tcPr>
            <w:tcW w:w="780" w:type="dxa"/>
            <w:vAlign w:val="bottom"/>
            <w:gridSpan w:val="2"/>
            <w:vMerge w:val="continue"/>
          </w:tcPr>
          <w:p>
            <w:pPr>
              <w:spacing w:after="0"/>
              <w:rPr>
                <w:sz w:val="10"/>
                <w:szCs w:val="10"/>
                <w:color w:val="auto"/>
              </w:rPr>
            </w:pPr>
          </w:p>
        </w:tc>
        <w:tc>
          <w:tcPr>
            <w:tcW w:w="86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amortized</w:t>
            </w:r>
          </w:p>
        </w:tc>
        <w:tc>
          <w:tcPr>
            <w:tcW w:w="10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income</w:t>
            </w: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others (*)</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at inception</w:t>
            </w: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cost</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investments (**)</w:t>
            </w:r>
          </w:p>
        </w:tc>
        <w:tc>
          <w:tcPr>
            <w:tcW w:w="860" w:type="dxa"/>
            <w:vAlign w:val="bottom"/>
            <w:gridSpan w:val="3"/>
            <w:vMerge w:val="continue"/>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others (*)</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at inception</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cost</w:t>
            </w:r>
          </w:p>
        </w:tc>
        <w:tc>
          <w:tcPr>
            <w:tcW w:w="1080" w:type="dxa"/>
            <w:vAlign w:val="bottom"/>
            <w:gridSpan w:val="2"/>
          </w:tcPr>
          <w:p>
            <w:pPr>
              <w:spacing w:after="0"/>
              <w:rPr>
                <w:sz w:val="20"/>
                <w:szCs w:val="20"/>
                <w:color w:val="auto"/>
              </w:rPr>
            </w:pPr>
            <w:r>
              <w:rPr>
                <w:rFonts w:ascii="Arial" w:cs="Arial" w:eastAsia="Arial" w:hAnsi="Arial"/>
                <w:sz w:val="11"/>
                <w:szCs w:val="11"/>
                <w:b w:val="1"/>
                <w:bCs w:val="1"/>
                <w:color w:val="auto"/>
              </w:rPr>
              <w:t>investments (**)</w:t>
            </w: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00" w:type="dxa"/>
            <w:vAlign w:val="bottom"/>
          </w:tcPr>
          <w:p>
            <w:pPr>
              <w:spacing w:after="0"/>
              <w:rPr>
                <w:sz w:val="20"/>
                <w:szCs w:val="20"/>
                <w:color w:val="auto"/>
              </w:rPr>
            </w:pPr>
            <w:r>
              <w:rPr>
                <w:rFonts w:ascii="Arial" w:cs="Arial" w:eastAsia="Arial" w:hAnsi="Arial"/>
                <w:sz w:val="11"/>
                <w:szCs w:val="11"/>
                <w:color w:val="auto"/>
              </w:rPr>
              <w:t>Central Reserve Bank of Peru</w:t>
            </w: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44,599</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1"/>
                <w:szCs w:val="11"/>
                <w:color w:val="auto"/>
              </w:rPr>
              <w:t>36,640,462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11,435,757</w:t>
            </w:r>
          </w:p>
        </w:tc>
        <w:tc>
          <w:tcPr>
            <w:tcW w:w="40" w:type="dxa"/>
            <w:vAlign w:val="bottom"/>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48,120,818</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192,666</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1"/>
                <w:szCs w:val="11"/>
                <w:color w:val="auto"/>
              </w:rPr>
              <w:t>23,642,580</w:t>
            </w:r>
          </w:p>
        </w:tc>
        <w:tc>
          <w:tcPr>
            <w:tcW w:w="1080" w:type="dxa"/>
            <w:vAlign w:val="bottom"/>
            <w:gridSpan w:val="2"/>
          </w:tcPr>
          <w:p>
            <w:pPr>
              <w:jc w:val="right"/>
              <w:ind w:right="80"/>
              <w:spacing w:after="0"/>
              <w:rPr>
                <w:sz w:val="20"/>
                <w:szCs w:val="20"/>
                <w:color w:val="auto"/>
              </w:rPr>
            </w:pPr>
            <w:r>
              <w:rPr>
                <w:rFonts w:ascii="Arial" w:cs="Arial" w:eastAsia="Arial" w:hAnsi="Arial"/>
                <w:sz w:val="11"/>
                <w:szCs w:val="11"/>
                <w:color w:val="auto"/>
              </w:rPr>
              <w:t>10,935,252</w:t>
            </w: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34,770,498</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Commerce</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4,441</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1,130</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26,546,422</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1,263,109</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27,815,102</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5,969</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29</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24,611,067</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1,007,029</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25,624,094</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Financial services</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2,181,025</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633,527</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18,345,088</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4,196,687</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25,356,327</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3,409,897</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73,182</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14,499,904</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3,900,949</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21,883,932</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Mortgage loans</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24,165,038</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24,165,038</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23,395,049</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23,395,049</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Government and public</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administration</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2,153,564</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42,978</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8,451,218</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13,471,446</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24,119,206</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1,713,104</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241,294</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9,808,792</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12,068,576</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23,831,766</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Manufacturing</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157,215</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81</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21,260,811</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1,918,004</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23,336,111</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195,981</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78</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22,857,640</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1,925,973</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24,979,672</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Consumer loans</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18,494,305</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18,494,305</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18,457,100</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18,457,100</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Communications, storage and</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transportation</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25,331</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254,562</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9,928,424</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991,194</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11,199,511</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69,371</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495,995</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8,592,952</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957,512</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10,115,830</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Electricity, gas and water</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109,673</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87</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5,917,891</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2,245,021</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8,272,672</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134,229</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83</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4,642,005</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4,056,334</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8,832,651</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Real estate and leasing</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163,867</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4,872,017</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2,408</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5,038,292</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67,209</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8,989,709</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3,248</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9,060,166</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Agriculture</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3,995</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4,610,164</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8,034</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4,622,193</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3,699</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4,569,647</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15,808</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4,589,154</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Mining</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5,563</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3,670,102</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226,845</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3,902,510</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9,399</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3,755,224</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155,708</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3,920,331</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Construction</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3,901</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2,924,805</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390,071</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3,318,777</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3,336</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3,284,049</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415,280</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3,702,665</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Education, health and others</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390,150</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10</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1,736,113</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844,135</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2,970,408</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113,028</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271</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1,490,560</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814,761</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2,418,620</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Hotels and restaurants</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2,570,704</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2,570,704</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2,480,313</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2,480,313</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Fishing</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4</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669,274</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669,278</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139</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658,316</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658,455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color w:val="auto"/>
              </w:rPr>
              <w:t>Insurance</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3,252</w:t>
            </w:r>
          </w:p>
        </w:tc>
        <w:tc>
          <w:tcPr>
            <w:tcW w:w="76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0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133,086</w:t>
            </w:r>
          </w:p>
        </w:tc>
        <w:tc>
          <w:tcPr>
            <w:tcW w:w="1060" w:type="dxa"/>
            <w:vAlign w:val="bottom"/>
            <w:gridSpan w:val="3"/>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60"/>
              <w:spacing w:after="0" w:line="117" w:lineRule="exact"/>
              <w:rPr>
                <w:sz w:val="20"/>
                <w:szCs w:val="20"/>
                <w:color w:val="auto"/>
              </w:rPr>
            </w:pPr>
            <w:r>
              <w:rPr>
                <w:rFonts w:ascii="Arial" w:cs="Arial" w:eastAsia="Arial" w:hAnsi="Arial"/>
                <w:sz w:val="11"/>
                <w:szCs w:val="11"/>
                <w:color w:val="auto"/>
              </w:rPr>
              <w:t>136,338</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5,138</w:t>
            </w:r>
          </w:p>
        </w:tc>
        <w:tc>
          <w:tcPr>
            <w:tcW w:w="780" w:type="dxa"/>
            <w:vAlign w:val="bottom"/>
            <w:gridSpan w:val="2"/>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line="117" w:lineRule="exact"/>
              <w:rPr>
                <w:sz w:val="20"/>
                <w:szCs w:val="20"/>
                <w:color w:val="auto"/>
              </w:rPr>
            </w:pPr>
            <w:r>
              <w:rPr>
                <w:rFonts w:ascii="Arial" w:cs="Arial" w:eastAsia="Arial" w:hAnsi="Arial"/>
                <w:sz w:val="11"/>
                <w:szCs w:val="11"/>
                <w:color w:val="auto"/>
              </w:rPr>
              <w:t>88,947</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193</w:t>
            </w:r>
          </w:p>
        </w:tc>
        <w:tc>
          <w:tcPr>
            <w:tcW w:w="800" w:type="dxa"/>
            <w:vAlign w:val="bottom"/>
            <w:gridSpan w:val="2"/>
          </w:tcPr>
          <w:p>
            <w:pPr>
              <w:jc w:val="right"/>
              <w:ind w:right="20"/>
              <w:spacing w:after="0" w:line="117" w:lineRule="exact"/>
              <w:rPr>
                <w:sz w:val="20"/>
                <w:szCs w:val="20"/>
                <w:color w:val="auto"/>
              </w:rPr>
            </w:pPr>
            <w:r>
              <w:rPr>
                <w:rFonts w:ascii="Arial" w:cs="Arial" w:eastAsia="Arial" w:hAnsi="Arial"/>
                <w:sz w:val="11"/>
                <w:szCs w:val="11"/>
                <w:color w:val="auto"/>
              </w:rPr>
              <w:t>94,278</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20"/>
                <w:szCs w:val="20"/>
                <w:color w:val="auto"/>
              </w:rPr>
            </w:pPr>
            <w:r>
              <w:rPr>
                <w:rFonts w:ascii="Arial" w:cs="Arial" w:eastAsia="Arial" w:hAnsi="Arial"/>
                <w:sz w:val="11"/>
                <w:szCs w:val="11"/>
                <w:color w:val="auto"/>
              </w:rPr>
              <w:t>Community services and others</w:t>
            </w: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373,554</w:t>
            </w: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auto"/>
              </w:rPr>
              <w:t>359</w:t>
            </w:r>
          </w:p>
        </w:tc>
        <w:tc>
          <w:tcPr>
            <w:tcW w:w="800" w:type="dxa"/>
            <w:vAlign w:val="bottom"/>
            <w:gridSpan w:val="3"/>
          </w:tcPr>
          <w:p>
            <w:pPr>
              <w:jc w:val="right"/>
              <w:ind w:right="40"/>
              <w:spacing w:after="0"/>
              <w:rPr>
                <w:sz w:val="20"/>
                <w:szCs w:val="20"/>
                <w:color w:val="auto"/>
              </w:rPr>
            </w:pPr>
            <w:r>
              <w:rPr>
                <w:rFonts w:ascii="Arial" w:cs="Arial" w:eastAsia="Arial" w:hAnsi="Arial"/>
                <w:sz w:val="11"/>
                <w:szCs w:val="11"/>
                <w:color w:val="auto"/>
              </w:rPr>
              <w:t>8,254,825</w:t>
            </w:r>
          </w:p>
        </w:tc>
        <w:tc>
          <w:tcPr>
            <w:tcW w:w="1060" w:type="dxa"/>
            <w:vAlign w:val="bottom"/>
            <w:gridSpan w:val="3"/>
          </w:tcPr>
          <w:p>
            <w:pPr>
              <w:jc w:val="right"/>
              <w:ind w:right="40"/>
              <w:spacing w:after="0"/>
              <w:rPr>
                <w:sz w:val="20"/>
                <w:szCs w:val="20"/>
                <w:color w:val="auto"/>
              </w:rPr>
            </w:pPr>
            <w:r>
              <w:rPr>
                <w:rFonts w:ascii="Arial" w:cs="Arial" w:eastAsia="Arial" w:hAnsi="Arial"/>
                <w:sz w:val="11"/>
                <w:szCs w:val="11"/>
                <w:color w:val="auto"/>
              </w:rPr>
              <w:t>3,149,927</w:t>
            </w: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11,778,665</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47,159</w:t>
            </w: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1"/>
                <w:szCs w:val="11"/>
                <w:color w:val="auto"/>
              </w:rPr>
              <w:t>8,889,807</w:t>
            </w:r>
          </w:p>
        </w:tc>
        <w:tc>
          <w:tcPr>
            <w:tcW w:w="1080" w:type="dxa"/>
            <w:vAlign w:val="bottom"/>
            <w:gridSpan w:val="2"/>
          </w:tcPr>
          <w:p>
            <w:pPr>
              <w:jc w:val="right"/>
              <w:ind w:right="80"/>
              <w:spacing w:after="0"/>
              <w:rPr>
                <w:sz w:val="20"/>
                <w:szCs w:val="20"/>
                <w:color w:val="auto"/>
              </w:rPr>
            </w:pPr>
            <w:r>
              <w:rPr>
                <w:rFonts w:ascii="Arial" w:cs="Arial" w:eastAsia="Arial" w:hAnsi="Arial"/>
                <w:sz w:val="11"/>
                <w:szCs w:val="11"/>
                <w:color w:val="auto"/>
              </w:rPr>
              <w:t>787,317</w:t>
            </w: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9,724,283</w:t>
            </w:r>
          </w:p>
        </w:tc>
        <w:tc>
          <w:tcPr>
            <w:tcW w:w="0" w:type="dxa"/>
            <w:vAlign w:val="bottom"/>
          </w:tcPr>
          <w:p>
            <w:pPr>
              <w:spacing w:after="0"/>
              <w:rPr>
                <w:sz w:val="1"/>
                <w:szCs w:val="1"/>
                <w:color w:val="auto"/>
              </w:rPr>
            </w:pPr>
          </w:p>
        </w:tc>
      </w:tr>
      <w:tr>
        <w:trPr>
          <w:trHeight w:val="120"/>
        </w:trPr>
        <w:tc>
          <w:tcPr>
            <w:tcW w:w="1800" w:type="dxa"/>
            <w:vAlign w:val="bottom"/>
          </w:tcPr>
          <w:p>
            <w:pPr>
              <w:spacing w:after="0" w:line="117" w:lineRule="exact"/>
              <w:rPr>
                <w:sz w:val="20"/>
                <w:szCs w:val="20"/>
                <w:color w:val="auto"/>
              </w:rPr>
            </w:pPr>
            <w:r>
              <w:rPr>
                <w:rFonts w:ascii="Arial" w:cs="Arial" w:eastAsia="Arial" w:hAnsi="Arial"/>
                <w:sz w:val="11"/>
                <w:szCs w:val="11"/>
                <w:b w:val="1"/>
                <w:bCs w:val="1"/>
                <w:color w:val="auto"/>
              </w:rPr>
              <w:t>Total</w:t>
            </w:r>
          </w:p>
        </w:tc>
        <w:tc>
          <w:tcPr>
            <w:tcW w:w="7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5,620,134</w:t>
            </w:r>
          </w:p>
        </w:tc>
        <w:tc>
          <w:tcPr>
            <w:tcW w:w="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932,734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199,190,749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40,142,638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245,886,255</w:t>
            </w:r>
          </w:p>
        </w:tc>
        <w:tc>
          <w:tcPr>
            <w:tcW w:w="6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5,970,324</w:t>
            </w:r>
          </w:p>
        </w:tc>
        <w:tc>
          <w:tcPr>
            <w:tcW w:w="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810,932</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184,713,661</w:t>
            </w:r>
          </w:p>
        </w:tc>
        <w:tc>
          <w:tcPr>
            <w:tcW w:w="8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37,043,940</w:t>
            </w:r>
          </w:p>
        </w:tc>
        <w:tc>
          <w:tcPr>
            <w:tcW w:w="80" w:type="dxa"/>
            <w:vAlign w:val="bottom"/>
          </w:tcPr>
          <w:p>
            <w:pPr>
              <w:spacing w:after="0"/>
              <w:rPr>
                <w:sz w:val="10"/>
                <w:szCs w:val="10"/>
                <w:color w:val="auto"/>
              </w:rPr>
            </w:pPr>
          </w:p>
        </w:tc>
        <w:tc>
          <w:tcPr>
            <w:tcW w:w="800" w:type="dxa"/>
            <w:vAlign w:val="bottom"/>
            <w:tcBorders>
              <w:top w:val="single" w:sz="8" w:color="auto"/>
              <w:bottom w:val="single" w:sz="8" w:color="auto"/>
            </w:tcBorders>
            <w:gridSpan w:val="2"/>
          </w:tcPr>
          <w:p>
            <w:pPr>
              <w:jc w:val="right"/>
              <w:ind w:right="20"/>
              <w:spacing w:after="0" w:line="117" w:lineRule="exact"/>
              <w:rPr>
                <w:sz w:val="20"/>
                <w:szCs w:val="20"/>
                <w:color w:val="auto"/>
              </w:rPr>
            </w:pPr>
            <w:r>
              <w:rPr>
                <w:rFonts w:ascii="Arial" w:cs="Arial" w:eastAsia="Arial" w:hAnsi="Arial"/>
                <w:sz w:val="11"/>
                <w:szCs w:val="11"/>
                <w:color w:val="auto"/>
              </w:rPr>
              <w:t>228,538,857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86" w:right="5900" w:hanging="6"/>
        <w:spacing w:after="0" w:line="483" w:lineRule="auto"/>
        <w:tabs>
          <w:tab w:leader="none" w:pos="49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It includes non-trading investments that did not pass SPPI test. (**) OCI: Other comprehensive income.</w:t>
      </w:r>
    </w:p>
    <w:p>
      <w:pPr>
        <w:spacing w:after="0" w:line="107" w:lineRule="exact"/>
        <w:rPr>
          <w:sz w:val="20"/>
          <w:szCs w:val="20"/>
          <w:color w:val="auto"/>
        </w:rPr>
      </w:pPr>
    </w:p>
    <w:p>
      <w:pPr>
        <w:ind w:left="4926"/>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6"/>
          </w:cols>
          <w:pgMar w:left="874" w:top="124" w:right="31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t>As of December 31, 2024 and 2023 financial instruments with exposure to credit risk were distributed by the following geographical areas:</w:t>
      </w:r>
    </w:p>
    <w:p>
      <w:pPr>
        <w:spacing w:after="0" w:line="179" w:lineRule="exact"/>
        <w:rPr>
          <w:sz w:val="20"/>
          <w:szCs w:val="20"/>
          <w:color w:val="auto"/>
        </w:rPr>
      </w:pPr>
    </w:p>
    <w:tbl>
      <w:tblPr>
        <w:tblLayout w:type="fixed"/>
        <w:tblInd w:w="2360" w:type="dxa"/>
        <w:tblCellMar>
          <w:top w:w="0" w:type="dxa"/>
          <w:left w:w="0" w:type="dxa"/>
          <w:bottom w:w="0" w:type="dxa"/>
          <w:right w:w="0" w:type="dxa"/>
        </w:tblCellMar>
      </w:tblPr>
      <w:tr>
        <w:trPr>
          <w:trHeight w:val="132"/>
        </w:trPr>
        <w:tc>
          <w:tcPr>
            <w:tcW w:w="7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2024</w:t>
            </w: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80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At fair value</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spacing w:after="0" w:line="93" w:lineRule="exact"/>
              <w:rPr>
                <w:sz w:val="20"/>
                <w:szCs w:val="20"/>
                <w:color w:val="auto"/>
              </w:rPr>
            </w:pPr>
            <w:r>
              <w:rPr>
                <w:rFonts w:ascii="Arial" w:cs="Arial" w:eastAsia="Arial" w:hAnsi="Arial"/>
                <w:sz w:val="10"/>
                <w:szCs w:val="10"/>
                <w:b w:val="1"/>
                <w:bCs w:val="1"/>
                <w:color w:val="auto"/>
              </w:rPr>
              <w:t>At fair value</w:t>
            </w: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through profit for loss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At fair value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through profit for loss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At fair value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Held for</w:t>
            </w:r>
          </w:p>
        </w:tc>
        <w:tc>
          <w:tcPr>
            <w:tcW w:w="7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Financial</w:t>
            </w:r>
          </w:p>
        </w:tc>
        <w:tc>
          <w:tcPr>
            <w:tcW w:w="10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Held for</w:t>
            </w:r>
          </w:p>
        </w:tc>
        <w:tc>
          <w:tcPr>
            <w:tcW w:w="740" w:type="dxa"/>
            <w:vAlign w:val="bottom"/>
          </w:tcPr>
          <w:p>
            <w:pPr>
              <w:spacing w:after="0"/>
              <w:rPr>
                <w:sz w:val="7"/>
                <w:szCs w:val="7"/>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Financial</w:t>
            </w:r>
          </w:p>
        </w:tc>
        <w:tc>
          <w:tcPr>
            <w:tcW w:w="10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0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through other</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0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through other</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trading,</w:t>
            </w: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Designated</w:t>
            </w:r>
          </w:p>
        </w:tc>
        <w:tc>
          <w:tcPr>
            <w:tcW w:w="8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assets at</w:t>
            </w:r>
          </w:p>
        </w:tc>
        <w:tc>
          <w:tcPr>
            <w:tcW w:w="10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comprehensive</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trading,</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Designated</w:t>
            </w:r>
          </w:p>
        </w:tc>
        <w:tc>
          <w:tcPr>
            <w:tcW w:w="900" w:type="dxa"/>
            <w:vAlign w:val="bottom"/>
            <w:gridSpan w:val="3"/>
          </w:tcPr>
          <w:p>
            <w:pPr>
              <w:ind w:left="80"/>
              <w:spacing w:after="0" w:line="117" w:lineRule="exact"/>
              <w:rPr>
                <w:sz w:val="20"/>
                <w:szCs w:val="20"/>
                <w:color w:val="auto"/>
              </w:rPr>
            </w:pPr>
            <w:r>
              <w:rPr>
                <w:rFonts w:ascii="Arial" w:cs="Arial" w:eastAsia="Arial" w:hAnsi="Arial"/>
                <w:sz w:val="11"/>
                <w:szCs w:val="11"/>
                <w:b w:val="1"/>
                <w:bCs w:val="1"/>
                <w:color w:val="auto"/>
              </w:rPr>
              <w:t>assets at</w:t>
            </w:r>
          </w:p>
        </w:tc>
        <w:tc>
          <w:tcPr>
            <w:tcW w:w="10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comprehensive</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hedging and</w:t>
            </w:r>
          </w:p>
        </w:tc>
        <w:tc>
          <w:tcPr>
            <w:tcW w:w="720" w:type="dxa"/>
            <w:vAlign w:val="bottom"/>
            <w:vMerge w:val="continue"/>
          </w:tcPr>
          <w:p>
            <w:pPr>
              <w:spacing w:after="0"/>
              <w:rPr>
                <w:sz w:val="10"/>
                <w:szCs w:val="10"/>
                <w:color w:val="auto"/>
              </w:rPr>
            </w:pPr>
          </w:p>
        </w:tc>
        <w:tc>
          <w:tcPr>
            <w:tcW w:w="8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amortized</w:t>
            </w:r>
          </w:p>
        </w:tc>
        <w:tc>
          <w:tcPr>
            <w:tcW w:w="10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income</w:t>
            </w:r>
          </w:p>
        </w:tc>
        <w:tc>
          <w:tcPr>
            <w:tcW w:w="90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Total</w:t>
            </w:r>
          </w:p>
        </w:tc>
        <w:tc>
          <w:tcPr>
            <w:tcW w:w="8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hedging and</w:t>
            </w:r>
          </w:p>
        </w:tc>
        <w:tc>
          <w:tcPr>
            <w:tcW w:w="740" w:type="dxa"/>
            <w:vAlign w:val="bottom"/>
            <w:vMerge w:val="continue"/>
          </w:tcPr>
          <w:p>
            <w:pPr>
              <w:spacing w:after="0"/>
              <w:rPr>
                <w:sz w:val="10"/>
                <w:szCs w:val="10"/>
                <w:color w:val="auto"/>
              </w:rPr>
            </w:pPr>
          </w:p>
        </w:tc>
        <w:tc>
          <w:tcPr>
            <w:tcW w:w="900" w:type="dxa"/>
            <w:vAlign w:val="bottom"/>
            <w:gridSpan w:val="3"/>
          </w:tcPr>
          <w:p>
            <w:pPr>
              <w:ind w:left="80"/>
              <w:spacing w:after="0" w:line="117" w:lineRule="exact"/>
              <w:rPr>
                <w:sz w:val="20"/>
                <w:szCs w:val="20"/>
                <w:color w:val="auto"/>
              </w:rPr>
            </w:pPr>
            <w:r>
              <w:rPr>
                <w:rFonts w:ascii="Arial" w:cs="Arial" w:eastAsia="Arial" w:hAnsi="Arial"/>
                <w:sz w:val="11"/>
                <w:szCs w:val="11"/>
                <w:b w:val="1"/>
                <w:bCs w:val="1"/>
                <w:color w:val="auto"/>
              </w:rPr>
              <w:t>amortized</w:t>
            </w:r>
          </w:p>
        </w:tc>
        <w:tc>
          <w:tcPr>
            <w:tcW w:w="108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income</w:t>
            </w:r>
          </w:p>
        </w:tc>
        <w:tc>
          <w:tcPr>
            <w:tcW w:w="780" w:type="dxa"/>
            <w:vAlign w:val="bottom"/>
            <w:vMerge w:val="restart"/>
          </w:tcPr>
          <w:p>
            <w:pPr>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2"/>
        </w:trPr>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others (*)</w:t>
            </w:r>
          </w:p>
        </w:tc>
        <w:tc>
          <w:tcPr>
            <w:tcW w:w="720" w:type="dxa"/>
            <w:vAlign w:val="bottom"/>
          </w:tcPr>
          <w:p>
            <w:pPr>
              <w:spacing w:after="0"/>
              <w:rPr>
                <w:sz w:val="20"/>
                <w:szCs w:val="20"/>
                <w:color w:val="auto"/>
              </w:rPr>
            </w:pPr>
            <w:r>
              <w:rPr>
                <w:rFonts w:ascii="Arial" w:cs="Arial" w:eastAsia="Arial" w:hAnsi="Arial"/>
                <w:sz w:val="11"/>
                <w:szCs w:val="11"/>
                <w:b w:val="1"/>
                <w:bCs w:val="1"/>
                <w:color w:val="auto"/>
              </w:rPr>
              <w:t>at inception</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cost</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investments (**)</w:t>
            </w:r>
          </w:p>
        </w:tc>
        <w:tc>
          <w:tcPr>
            <w:tcW w:w="900" w:type="dxa"/>
            <w:vAlign w:val="bottom"/>
            <w:gridSpan w:val="3"/>
            <w:vMerge w:val="continue"/>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others (*)</w:t>
            </w:r>
          </w:p>
        </w:tc>
        <w:tc>
          <w:tcPr>
            <w:tcW w:w="740" w:type="dxa"/>
            <w:vAlign w:val="bottom"/>
          </w:tcPr>
          <w:p>
            <w:pPr>
              <w:spacing w:after="0"/>
              <w:rPr>
                <w:sz w:val="20"/>
                <w:szCs w:val="20"/>
                <w:color w:val="auto"/>
              </w:rPr>
            </w:pPr>
            <w:r>
              <w:rPr>
                <w:rFonts w:ascii="Arial" w:cs="Arial" w:eastAsia="Arial" w:hAnsi="Arial"/>
                <w:sz w:val="11"/>
                <w:szCs w:val="11"/>
                <w:b w:val="1"/>
                <w:bCs w:val="1"/>
                <w:color w:val="auto"/>
              </w:rPr>
              <w:t>at inception</w:t>
            </w: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cost</w:t>
            </w:r>
          </w:p>
        </w:tc>
        <w:tc>
          <w:tcPr>
            <w:tcW w:w="1080" w:type="dxa"/>
            <w:vAlign w:val="bottom"/>
            <w:gridSpan w:val="2"/>
          </w:tcPr>
          <w:p>
            <w:pPr>
              <w:spacing w:after="0"/>
              <w:rPr>
                <w:sz w:val="20"/>
                <w:szCs w:val="20"/>
                <w:color w:val="auto"/>
              </w:rPr>
            </w:pPr>
            <w:r>
              <w:rPr>
                <w:rFonts w:ascii="Arial" w:cs="Arial" w:eastAsia="Arial" w:hAnsi="Arial"/>
                <w:sz w:val="11"/>
                <w:szCs w:val="11"/>
                <w:b w:val="1"/>
                <w:bCs w:val="1"/>
                <w:color w:val="auto"/>
              </w:rPr>
              <w:t>investments(**)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60" w:type="dxa"/>
            <w:vAlign w:val="bottom"/>
          </w:tcPr>
          <w:p>
            <w:pPr>
              <w:spacing w:after="0"/>
              <w:rPr>
                <w:sz w:val="12"/>
                <w:szCs w:val="12"/>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S/(000)</w:t>
            </w:r>
          </w:p>
        </w:tc>
        <w:tc>
          <w:tcPr>
            <w:tcW w:w="0" w:type="dxa"/>
            <w:vAlign w:val="bottom"/>
          </w:tcPr>
          <w:p>
            <w:pPr>
              <w:spacing w:after="0"/>
              <w:rPr>
                <w:sz w:val="1"/>
                <w:szCs w:val="1"/>
                <w:color w:val="auto"/>
              </w:rPr>
            </w:pPr>
          </w:p>
        </w:tc>
      </w:tr>
    </w:tbl>
    <w:p>
      <w:pPr>
        <w:spacing w:after="0" w:line="60"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1800" w:type="dxa"/>
            <w:vAlign w:val="bottom"/>
          </w:tcPr>
          <w:p>
            <w:pPr>
              <w:spacing w:after="0"/>
              <w:rPr>
                <w:sz w:val="20"/>
                <w:szCs w:val="20"/>
                <w:color w:val="auto"/>
              </w:rPr>
            </w:pPr>
            <w:r>
              <w:rPr>
                <w:rFonts w:ascii="Arial" w:cs="Arial" w:eastAsia="Arial" w:hAnsi="Arial"/>
                <w:sz w:val="11"/>
                <w:szCs w:val="11"/>
                <w:b w:val="1"/>
                <w:bCs w:val="1"/>
                <w:color w:val="auto"/>
              </w:rPr>
              <w:t>America</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Peru</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1,893,544</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3,593</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175,089,699</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27,879,813</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204,866,649</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1,601,757</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1,333</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163,235,790</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25,099,606</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189,938,486</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Bolivia</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835,594</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11,850,504</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801,894</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13,487,992</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550,271</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11,609,164</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861,246</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13,020,681</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United States of America</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757,151</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845,577</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3,228,496</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7,360,645</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12,191,869</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736,813</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339,619</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2,464,455</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7,260,134</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10,801,021</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Colombia</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1,218,708</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3,560,497</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793,612</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5,572,817</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1,692,862</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3,939,155</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796,126</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6,428,143</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Chile</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300,827</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2,224,616</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626,907</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3,152,350</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310,247</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1,629,984</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590,346</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2,530,577</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Brazil</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9,037</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1,632,544</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268,174</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1,909,755</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11,837</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121,301</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168,426</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301,564</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Mexico</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55,729</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183,334</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467,970</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707,033</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14,040</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195,420</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396,581</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606,041</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Panama</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43,748</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359,932</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229,945</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633,625</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4,166</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389,002</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68,364</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461,532</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Canada</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5,608</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108,618</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149,235</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263,461</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31,772</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29,760</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92,571</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154,103</w:t>
            </w: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1"/>
                <w:szCs w:val="11"/>
                <w:b w:val="1"/>
                <w:bCs w:val="1"/>
                <w:color w:val="auto"/>
              </w:rPr>
              <w:t>Europe:</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United Kingdom</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191,072</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10,498</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249,702</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451,272</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64,738</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53,576</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266,628</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384,942</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France</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113,112</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17,305</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120,194</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250,611</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168,648</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9,569</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136,787</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315,004</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Spain</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13,561</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6,755</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228,626</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248,942</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23,356</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14,721</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198,504</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236,581</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Luxembourg</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77,777</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7,474</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2,961</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88,212</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617,676</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7,020</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624,696</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Switzerland</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1,616</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47,974</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49,590</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4,705</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166</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32,121</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36,992</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Netherlands</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728</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35,014</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35,742</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2,247</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40,112</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42,359</w:t>
            </w:r>
          </w:p>
        </w:tc>
      </w:tr>
      <w:tr>
        <w:trPr>
          <w:trHeight w:val="117"/>
        </w:trPr>
        <w:tc>
          <w:tcPr>
            <w:tcW w:w="1800" w:type="dxa"/>
            <w:vAlign w:val="bottom"/>
          </w:tcPr>
          <w:p>
            <w:pPr>
              <w:ind w:left="140"/>
              <w:spacing w:after="0" w:line="117" w:lineRule="exact"/>
              <w:rPr>
                <w:sz w:val="20"/>
                <w:szCs w:val="20"/>
                <w:color w:val="auto"/>
              </w:rPr>
            </w:pPr>
            <w:r>
              <w:rPr>
                <w:rFonts w:ascii="Arial" w:cs="Arial" w:eastAsia="Arial" w:hAnsi="Arial"/>
                <w:sz w:val="11"/>
                <w:szCs w:val="11"/>
                <w:color w:val="auto"/>
              </w:rPr>
              <w:t>Others in Europe</w:t>
            </w:r>
          </w:p>
        </w:tc>
        <w:tc>
          <w:tcPr>
            <w:tcW w:w="80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79,762</w:t>
            </w:r>
          </w:p>
        </w:tc>
        <w:tc>
          <w:tcPr>
            <w:tcW w:w="78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190,632</w:t>
            </w:r>
          </w:p>
        </w:tc>
        <w:tc>
          <w:tcPr>
            <w:tcW w:w="106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75,014</w:t>
            </w:r>
          </w:p>
        </w:tc>
        <w:tc>
          <w:tcPr>
            <w:tcW w:w="820" w:type="dxa"/>
            <w:vAlign w:val="bottom"/>
            <w:gridSpan w:val="2"/>
          </w:tcPr>
          <w:p>
            <w:pPr>
              <w:jc w:val="right"/>
              <w:ind w:right="60"/>
              <w:spacing w:after="0" w:line="117" w:lineRule="exact"/>
              <w:rPr>
                <w:sz w:val="20"/>
                <w:szCs w:val="20"/>
                <w:color w:val="auto"/>
              </w:rPr>
            </w:pPr>
            <w:r>
              <w:rPr>
                <w:rFonts w:ascii="Arial" w:cs="Arial" w:eastAsia="Arial" w:hAnsi="Arial"/>
                <w:sz w:val="11"/>
                <w:szCs w:val="11"/>
                <w:color w:val="auto"/>
              </w:rPr>
              <w:t>345,408</w:t>
            </w:r>
          </w:p>
        </w:tc>
        <w:tc>
          <w:tcPr>
            <w:tcW w:w="84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74,709</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293,096</w:t>
            </w:r>
          </w:p>
        </w:tc>
        <w:tc>
          <w:tcPr>
            <w:tcW w:w="10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auto"/>
              </w:rPr>
              <w:t>92,726</w:t>
            </w:r>
          </w:p>
        </w:tc>
        <w:tc>
          <w:tcPr>
            <w:tcW w:w="780" w:type="dxa"/>
            <w:vAlign w:val="bottom"/>
          </w:tcPr>
          <w:p>
            <w:pPr>
              <w:jc w:val="right"/>
              <w:spacing w:after="0" w:line="117" w:lineRule="exact"/>
              <w:rPr>
                <w:sz w:val="20"/>
                <w:szCs w:val="20"/>
                <w:color w:val="auto"/>
              </w:rPr>
            </w:pPr>
            <w:r>
              <w:rPr>
                <w:rFonts w:ascii="Arial" w:cs="Arial" w:eastAsia="Arial" w:hAnsi="Arial"/>
                <w:sz w:val="11"/>
                <w:szCs w:val="11"/>
                <w:color w:val="auto"/>
              </w:rPr>
              <w:t>460,531</w:t>
            </w:r>
          </w:p>
        </w:tc>
      </w:tr>
      <w:tr>
        <w:trPr>
          <w:trHeight w:val="135"/>
        </w:trPr>
        <w:tc>
          <w:tcPr>
            <w:tcW w:w="1800" w:type="dxa"/>
            <w:vAlign w:val="bottom"/>
          </w:tcPr>
          <w:p>
            <w:pPr>
              <w:spacing w:after="0"/>
              <w:rPr>
                <w:sz w:val="20"/>
                <w:szCs w:val="20"/>
                <w:color w:val="auto"/>
              </w:rPr>
            </w:pPr>
            <w:r>
              <w:rPr>
                <w:rFonts w:ascii="Arial" w:cs="Arial" w:eastAsia="Arial" w:hAnsi="Arial"/>
                <w:sz w:val="11"/>
                <w:szCs w:val="11"/>
                <w:b w:val="1"/>
                <w:bCs w:val="1"/>
                <w:color w:val="auto"/>
              </w:rPr>
              <w:t>Others</w:t>
            </w:r>
          </w:p>
        </w:tc>
        <w:tc>
          <w:tcPr>
            <w:tcW w:w="800" w:type="dxa"/>
            <w:vAlign w:val="bottom"/>
            <w:gridSpan w:val="2"/>
          </w:tcPr>
          <w:p>
            <w:pPr>
              <w:jc w:val="right"/>
              <w:ind w:right="60"/>
              <w:spacing w:after="0"/>
              <w:rPr>
                <w:sz w:val="20"/>
                <w:szCs w:val="20"/>
                <w:color w:val="auto"/>
              </w:rPr>
            </w:pPr>
            <w:r>
              <w:rPr>
                <w:rFonts w:ascii="Arial" w:cs="Arial" w:eastAsia="Arial" w:hAnsi="Arial"/>
                <w:sz w:val="11"/>
                <w:szCs w:val="11"/>
                <w:color w:val="auto"/>
              </w:rPr>
              <w:t>24,904</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83,564</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717,501</w:t>
            </w:r>
          </w:p>
        </w:tc>
        <w:tc>
          <w:tcPr>
            <w:tcW w:w="1060" w:type="dxa"/>
            <w:vAlign w:val="bottom"/>
            <w:gridSpan w:val="2"/>
          </w:tcPr>
          <w:p>
            <w:pPr>
              <w:jc w:val="right"/>
              <w:ind w:right="80"/>
              <w:spacing w:after="0"/>
              <w:rPr>
                <w:sz w:val="20"/>
                <w:szCs w:val="20"/>
                <w:color w:val="auto"/>
              </w:rPr>
            </w:pPr>
            <w:r>
              <w:rPr>
                <w:rFonts w:ascii="Arial" w:cs="Arial" w:eastAsia="Arial" w:hAnsi="Arial"/>
                <w:sz w:val="11"/>
                <w:szCs w:val="11"/>
                <w:color w:val="auto"/>
              </w:rPr>
              <w:t>804,958</w:t>
            </w: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1,630,927</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62,727</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469,980</w:t>
            </w: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719,235</w:t>
            </w:r>
          </w:p>
        </w:tc>
        <w:tc>
          <w:tcPr>
            <w:tcW w:w="1080" w:type="dxa"/>
            <w:vAlign w:val="bottom"/>
            <w:gridSpan w:val="2"/>
          </w:tcPr>
          <w:p>
            <w:pPr>
              <w:jc w:val="right"/>
              <w:ind w:right="80"/>
              <w:spacing w:after="0"/>
              <w:rPr>
                <w:sz w:val="20"/>
                <w:szCs w:val="20"/>
                <w:color w:val="auto"/>
              </w:rPr>
            </w:pPr>
            <w:r>
              <w:rPr>
                <w:rFonts w:ascii="Arial" w:cs="Arial" w:eastAsia="Arial" w:hAnsi="Arial"/>
                <w:sz w:val="11"/>
                <w:szCs w:val="11"/>
                <w:color w:val="auto"/>
              </w:rPr>
              <w:t>943,662</w:t>
            </w:r>
          </w:p>
        </w:tc>
        <w:tc>
          <w:tcPr>
            <w:tcW w:w="780" w:type="dxa"/>
            <w:vAlign w:val="bottom"/>
          </w:tcPr>
          <w:p>
            <w:pPr>
              <w:jc w:val="right"/>
              <w:spacing w:after="0"/>
              <w:rPr>
                <w:sz w:val="20"/>
                <w:szCs w:val="20"/>
                <w:color w:val="auto"/>
              </w:rPr>
            </w:pPr>
            <w:r>
              <w:rPr>
                <w:rFonts w:ascii="Arial" w:cs="Arial" w:eastAsia="Arial" w:hAnsi="Arial"/>
                <w:sz w:val="11"/>
                <w:szCs w:val="11"/>
                <w:color w:val="auto"/>
              </w:rPr>
              <w:t>2,195,604</w:t>
            </w:r>
          </w:p>
        </w:tc>
      </w:tr>
      <w:tr>
        <w:trPr>
          <w:trHeight w:val="120"/>
        </w:trPr>
        <w:tc>
          <w:tcPr>
            <w:tcW w:w="1800" w:type="dxa"/>
            <w:vAlign w:val="bottom"/>
          </w:tcPr>
          <w:p>
            <w:pPr>
              <w:spacing w:after="0" w:line="117" w:lineRule="exact"/>
              <w:rPr>
                <w:sz w:val="20"/>
                <w:szCs w:val="20"/>
                <w:color w:val="auto"/>
              </w:rPr>
            </w:pPr>
            <w:r>
              <w:rPr>
                <w:rFonts w:ascii="Arial" w:cs="Arial" w:eastAsia="Arial" w:hAnsi="Arial"/>
                <w:sz w:val="11"/>
                <w:szCs w:val="11"/>
                <w:b w:val="1"/>
                <w:bCs w:val="1"/>
                <w:color w:val="auto"/>
              </w:rPr>
              <w:t>Total</w:t>
            </w:r>
          </w:p>
        </w:tc>
        <w:tc>
          <w:tcPr>
            <w:tcW w:w="7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5,620,134</w:t>
            </w:r>
          </w:p>
        </w:tc>
        <w:tc>
          <w:tcPr>
            <w:tcW w:w="60" w:type="dxa"/>
            <w:vAlign w:val="bottom"/>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932,734</w:t>
            </w:r>
          </w:p>
        </w:tc>
        <w:tc>
          <w:tcPr>
            <w:tcW w:w="6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199,190,749</w:t>
            </w:r>
          </w:p>
        </w:tc>
        <w:tc>
          <w:tcPr>
            <w:tcW w:w="80" w:type="dxa"/>
            <w:vAlign w:val="bottom"/>
          </w:tcPr>
          <w:p>
            <w:pPr>
              <w:spacing w:after="0"/>
              <w:rPr>
                <w:sz w:val="10"/>
                <w:szCs w:val="10"/>
                <w:color w:val="auto"/>
              </w:rPr>
            </w:pPr>
          </w:p>
        </w:tc>
        <w:tc>
          <w:tcPr>
            <w:tcW w:w="9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40,142,638</w:t>
            </w:r>
          </w:p>
        </w:tc>
        <w:tc>
          <w:tcPr>
            <w:tcW w:w="8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245,886,255</w:t>
            </w:r>
          </w:p>
        </w:tc>
        <w:tc>
          <w:tcPr>
            <w:tcW w:w="6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5,970,324</w:t>
            </w:r>
          </w:p>
        </w:tc>
        <w:tc>
          <w:tcPr>
            <w:tcW w:w="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810,932</w:t>
            </w:r>
          </w:p>
        </w:tc>
        <w:tc>
          <w:tcPr>
            <w:tcW w:w="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184,713,661</w:t>
            </w:r>
          </w:p>
        </w:tc>
        <w:tc>
          <w:tcPr>
            <w:tcW w:w="80" w:type="dxa"/>
            <w:vAlign w:val="bottom"/>
          </w:tcPr>
          <w:p>
            <w:pPr>
              <w:spacing w:after="0"/>
              <w:rPr>
                <w:sz w:val="10"/>
                <w:szCs w:val="10"/>
                <w:color w:val="auto"/>
              </w:rPr>
            </w:pPr>
          </w:p>
        </w:tc>
        <w:tc>
          <w:tcPr>
            <w:tcW w:w="100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37,043,940</w:t>
            </w:r>
          </w:p>
        </w:tc>
        <w:tc>
          <w:tcPr>
            <w:tcW w:w="8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1"/>
                <w:szCs w:val="11"/>
                <w:color w:val="auto"/>
              </w:rPr>
              <w:t>228,538,857</w:t>
            </w:r>
          </w:p>
        </w:tc>
      </w:tr>
    </w:tbl>
    <w:p>
      <w:pPr>
        <w:spacing w:after="0" w:line="160" w:lineRule="exact"/>
        <w:rPr>
          <w:sz w:val="20"/>
          <w:szCs w:val="20"/>
          <w:color w:val="auto"/>
        </w:rPr>
      </w:pPr>
    </w:p>
    <w:p>
      <w:pPr>
        <w:ind w:left="560" w:right="5900" w:hanging="6"/>
        <w:spacing w:after="0" w:line="483" w:lineRule="auto"/>
        <w:tabs>
          <w:tab w:leader="none" w:pos="76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It includes non-trading investments that did not pass SPPI test. (**) OCI: Other comprehensive income.</w:t>
      </w:r>
    </w:p>
    <w:p>
      <w:pPr>
        <w:spacing w:after="0" w:line="107" w:lineRule="exact"/>
        <w:rPr>
          <w:sz w:val="20"/>
          <w:szCs w:val="20"/>
          <w:color w:val="auto"/>
        </w:rPr>
      </w:pPr>
    </w:p>
    <w:p>
      <w:pPr>
        <w:jc w:val="center"/>
        <w:ind w:right="280"/>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36195</wp:posOffset>
            </wp:positionV>
            <wp:extent cx="7150735"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980"/>
          </w:cols>
          <w:pgMar w:left="600" w:top="124" w:right="319" w:bottom="1440" w:gutter="0" w:footer="0" w:header="0"/>
        </w:sectPr>
      </w:pPr>
    </w:p>
    <w:bookmarkStart w:id="142" w:name="page143"/>
    <w:bookmarkEnd w:id="142"/>
    <w:p>
      <w:pPr>
        <w:ind w:left="286" w:hanging="286"/>
        <w:spacing w:after="0"/>
        <w:tabs>
          <w:tab w:leader="none" w:pos="28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Offsetting financial assets and liabilities -</w:t>
      </w:r>
    </w:p>
    <w:p>
      <w:pPr>
        <w:spacing w:after="0" w:line="167" w:lineRule="exact"/>
        <w:rPr>
          <w:rFonts w:ascii="Arial" w:cs="Arial" w:eastAsia="Arial" w:hAnsi="Arial"/>
          <w:sz w:val="16"/>
          <w:szCs w:val="16"/>
          <w:color w:val="auto"/>
        </w:rPr>
      </w:pPr>
    </w:p>
    <w:p>
      <w:pPr>
        <w:ind w:left="286"/>
        <w:spacing w:after="0"/>
        <w:rPr>
          <w:rFonts w:ascii="Arial" w:cs="Arial" w:eastAsia="Arial" w:hAnsi="Arial"/>
          <w:sz w:val="16"/>
          <w:szCs w:val="16"/>
          <w:color w:val="auto"/>
        </w:rPr>
      </w:pPr>
      <w:r>
        <w:rPr>
          <w:rFonts w:ascii="Arial" w:cs="Arial" w:eastAsia="Arial" w:hAnsi="Arial"/>
          <w:sz w:val="16"/>
          <w:szCs w:val="16"/>
          <w:color w:val="auto"/>
        </w:rPr>
        <w:t>The Group has financial assets and liabilities that:</w:t>
      </w:r>
    </w:p>
    <w:p>
      <w:pPr>
        <w:spacing w:after="0" w:line="166" w:lineRule="exact"/>
        <w:rPr>
          <w:rFonts w:ascii="Arial" w:cs="Arial" w:eastAsia="Arial" w:hAnsi="Arial"/>
          <w:sz w:val="16"/>
          <w:szCs w:val="16"/>
          <w:color w:val="auto"/>
        </w:rPr>
      </w:pPr>
    </w:p>
    <w:p>
      <w:pPr>
        <w:ind w:left="786" w:hanging="215"/>
        <w:spacing w:after="0"/>
        <w:tabs>
          <w:tab w:leader="none" w:pos="78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Are offset in the Group’s consolidated statement of financial position; or</w:t>
      </w:r>
    </w:p>
    <w:p>
      <w:pPr>
        <w:spacing w:after="0" w:line="5" w:lineRule="exact"/>
        <w:rPr>
          <w:rFonts w:ascii="Arial" w:cs="Arial" w:eastAsia="Arial" w:hAnsi="Arial"/>
          <w:sz w:val="16"/>
          <w:szCs w:val="16"/>
          <w:color w:val="auto"/>
        </w:rPr>
      </w:pPr>
    </w:p>
    <w:p>
      <w:pPr>
        <w:ind w:left="786" w:right="120" w:hanging="215"/>
        <w:spacing w:after="0" w:line="238" w:lineRule="auto"/>
        <w:tabs>
          <w:tab w:leader="none" w:pos="786"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Are subject to an enforceable master netting agreement or similar agreement covering similar financial instruments, regardless of whether they are offset in the consolidated statement of financial position.</w:t>
      </w:r>
    </w:p>
    <w:p>
      <w:pPr>
        <w:spacing w:after="0" w:line="146" w:lineRule="exact"/>
        <w:rPr>
          <w:sz w:val="20"/>
          <w:szCs w:val="20"/>
          <w:color w:val="auto"/>
        </w:rPr>
      </w:pPr>
    </w:p>
    <w:p>
      <w:pPr>
        <w:ind w:left="286"/>
        <w:spacing w:after="0" w:line="238" w:lineRule="auto"/>
        <w:rPr>
          <w:sz w:val="20"/>
          <w:szCs w:val="20"/>
          <w:color w:val="auto"/>
        </w:rPr>
      </w:pPr>
      <w:r>
        <w:rPr>
          <w:rFonts w:ascii="Arial" w:cs="Arial" w:eastAsia="Arial" w:hAnsi="Arial"/>
          <w:sz w:val="16"/>
          <w:szCs w:val="16"/>
          <w:color w:val="auto"/>
        </w:rPr>
        <w:t>Similar agreements include derivative clearing agreements, master repurchase agreements, and master securities lending agreements. Similar financial instruments include derivatives, accounts receivable from reverse repurchase agreements and securities borrowing, payables from repurchase agreements and securities lending and other financial assets and liabilities. Financial instruments such as loans and deposits are not disclosed in the tables below because they are not offset in the consolidated statement of financial position.</w:t>
      </w:r>
    </w:p>
    <w:p>
      <w:pPr>
        <w:spacing w:after="0" w:line="145" w:lineRule="exact"/>
        <w:rPr>
          <w:sz w:val="20"/>
          <w:szCs w:val="20"/>
          <w:color w:val="auto"/>
        </w:rPr>
      </w:pPr>
    </w:p>
    <w:p>
      <w:pPr>
        <w:ind w:left="286" w:right="180"/>
        <w:spacing w:after="0" w:line="236" w:lineRule="auto"/>
        <w:rPr>
          <w:sz w:val="20"/>
          <w:szCs w:val="20"/>
          <w:color w:val="auto"/>
        </w:rPr>
      </w:pPr>
      <w:r>
        <w:rPr>
          <w:rFonts w:ascii="Arial" w:cs="Arial" w:eastAsia="Arial" w:hAnsi="Arial"/>
          <w:sz w:val="16"/>
          <w:szCs w:val="16"/>
          <w:color w:val="auto"/>
        </w:rPr>
        <w:t>The offsetting framework contract issued by the International Swaps and Derivatives Association Inc. (“ISDA”) and similar master offsetting arrangements do not meet the criteria for offsetting in the statement of financial position, because said agreements were created in order for both parties to have an enforceable offsetting right in cases of default, insolvency or bankruptcy of the Group or the counterparties or following other predetermined events. In addition, the Group and its counterparties do not intend to settle said instruments on a net basis or to realize the assets and settle the liabilities simultaneously.</w:t>
      </w:r>
    </w:p>
    <w:p>
      <w:pPr>
        <w:spacing w:after="0" w:line="146" w:lineRule="exact"/>
        <w:rPr>
          <w:sz w:val="20"/>
          <w:szCs w:val="20"/>
          <w:color w:val="auto"/>
        </w:rPr>
      </w:pPr>
    </w:p>
    <w:p>
      <w:pPr>
        <w:ind w:left="286"/>
        <w:spacing w:after="0"/>
        <w:rPr>
          <w:sz w:val="20"/>
          <w:szCs w:val="20"/>
          <w:color w:val="auto"/>
        </w:rPr>
      </w:pPr>
      <w:r>
        <w:rPr>
          <w:rFonts w:ascii="Arial" w:cs="Arial" w:eastAsia="Arial" w:hAnsi="Arial"/>
          <w:sz w:val="16"/>
          <w:szCs w:val="16"/>
          <w:color w:val="auto"/>
        </w:rPr>
        <w:t>The Group receives and gives collateral in the form of cash and trading securities in respect of the following transactions:</w:t>
      </w:r>
    </w:p>
    <w:p>
      <w:pPr>
        <w:spacing w:after="0" w:line="166" w:lineRule="exact"/>
        <w:rPr>
          <w:sz w:val="20"/>
          <w:szCs w:val="20"/>
          <w:color w:val="auto"/>
        </w:rPr>
      </w:pPr>
    </w:p>
    <w:p>
      <w:pPr>
        <w:ind w:left="786" w:hanging="215"/>
        <w:spacing w:after="0"/>
        <w:tabs>
          <w:tab w:leader="none" w:pos="78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Derivatives,</w:t>
      </w:r>
    </w:p>
    <w:p>
      <w:pPr>
        <w:spacing w:after="0" w:line="5" w:lineRule="exact"/>
        <w:rPr>
          <w:rFonts w:ascii="Arial" w:cs="Arial" w:eastAsia="Arial" w:hAnsi="Arial"/>
          <w:sz w:val="16"/>
          <w:szCs w:val="16"/>
          <w:color w:val="auto"/>
        </w:rPr>
      </w:pPr>
    </w:p>
    <w:p>
      <w:pPr>
        <w:ind w:left="786" w:hanging="215"/>
        <w:spacing w:after="0" w:line="228" w:lineRule="auto"/>
        <w:tabs>
          <w:tab w:leader="none" w:pos="78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Accounts receivable from reverse repurchase agreements and securities borrowing;</w:t>
      </w:r>
    </w:p>
    <w:p>
      <w:pPr>
        <w:ind w:left="786" w:hanging="215"/>
        <w:spacing w:after="0" w:line="228" w:lineRule="auto"/>
        <w:tabs>
          <w:tab w:leader="none" w:pos="78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Payables from repurchase agreements and securities lending; and</w:t>
      </w:r>
    </w:p>
    <w:p>
      <w:pPr>
        <w:ind w:left="786" w:hanging="215"/>
        <w:spacing w:after="0"/>
        <w:tabs>
          <w:tab w:leader="none" w:pos="78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Other financial assets and liabilities</w:t>
      </w:r>
    </w:p>
    <w:p>
      <w:pPr>
        <w:spacing w:after="0" w:line="152" w:lineRule="exact"/>
        <w:rPr>
          <w:sz w:val="20"/>
          <w:szCs w:val="20"/>
          <w:color w:val="auto"/>
        </w:rPr>
      </w:pPr>
    </w:p>
    <w:p>
      <w:pPr>
        <w:ind w:left="286" w:right="220"/>
        <w:spacing w:after="0" w:line="241" w:lineRule="auto"/>
        <w:rPr>
          <w:sz w:val="20"/>
          <w:szCs w:val="20"/>
          <w:color w:val="auto"/>
        </w:rPr>
      </w:pPr>
      <w:r>
        <w:rPr>
          <w:rFonts w:ascii="Arial" w:cs="Arial" w:eastAsia="Arial" w:hAnsi="Arial"/>
          <w:sz w:val="16"/>
          <w:szCs w:val="16"/>
          <w:color w:val="auto"/>
        </w:rPr>
        <w:t>Such collateral adheres to standard industry terms including, when appropriate, an ISDA Credit Support Annex. This means that securities received/given as collateral can be pledged or sold during the term of the transaction must be returned on maturity of the transaction. The terms also give each party the right to terminate the related transactions upon the counterparty’s failure to return the respective collateral.</w:t>
      </w:r>
    </w:p>
    <w:p>
      <w:pPr>
        <w:spacing w:after="0" w:line="293" w:lineRule="exact"/>
        <w:rPr>
          <w:sz w:val="20"/>
          <w:szCs w:val="20"/>
          <w:color w:val="auto"/>
        </w:rPr>
      </w:pPr>
    </w:p>
    <w:p>
      <w:pPr>
        <w:ind w:left="4926"/>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6"/>
          </w:cols>
          <w:pgMar w:left="874" w:top="124" w:right="319" w:bottom="1440" w:gutter="0" w:footer="0" w:header="0"/>
        </w:sectPr>
      </w:pPr>
    </w:p>
    <w:bookmarkStart w:id="143" w:name="page144"/>
    <w:bookmarkEnd w:id="143"/>
    <w:p>
      <w:pPr>
        <w:ind w:left="840"/>
        <w:spacing w:after="0"/>
        <w:rPr>
          <w:sz w:val="20"/>
          <w:szCs w:val="20"/>
          <w:color w:val="auto"/>
        </w:rPr>
      </w:pPr>
      <w:r>
        <w:rPr>
          <w:rFonts w:ascii="Arial" w:cs="Arial" w:eastAsia="Arial" w:hAnsi="Arial"/>
          <w:sz w:val="16"/>
          <w:szCs w:val="16"/>
          <w:color w:val="auto"/>
        </w:rPr>
        <w:t>Financial assets subject to offsetting, enforceable master offsetting agreements and similar agreements: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Net of financial</w:t>
            </w:r>
          </w:p>
        </w:tc>
        <w:tc>
          <w:tcPr>
            <w:tcW w:w="2620" w:type="dxa"/>
            <w:vAlign w:val="bottom"/>
            <w:tcBorders>
              <w:top w:val="single" w:sz="8" w:color="auto"/>
            </w:tcBorders>
            <w:gridSpan w:val="5"/>
          </w:tcPr>
          <w:p>
            <w:pPr>
              <w:spacing w:after="0" w:line="150" w:lineRule="exact"/>
              <w:rPr>
                <w:sz w:val="20"/>
                <w:szCs w:val="20"/>
                <w:color w:val="auto"/>
              </w:rPr>
            </w:pPr>
            <w:r>
              <w:rPr>
                <w:rFonts w:ascii="Arial" w:cs="Arial" w:eastAsia="Arial" w:hAnsi="Arial"/>
                <w:sz w:val="16"/>
                <w:szCs w:val="16"/>
                <w:b w:val="1"/>
                <w:bCs w:val="1"/>
                <w:color w:val="auto"/>
              </w:rPr>
              <w:t>Related amounts not offset in the</w:t>
            </w:r>
          </w:p>
        </w:tc>
        <w:tc>
          <w:tcPr>
            <w:tcW w:w="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assets presented</w:t>
            </w:r>
          </w:p>
        </w:tc>
        <w:tc>
          <w:tcPr>
            <w:tcW w:w="262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consolidated statement of</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in the</w:t>
            </w: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8"/>
              </w:rPr>
              <w:t>financial position</w:t>
            </w: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540" w:type="dxa"/>
            <w:vAlign w:val="bottom"/>
          </w:tcPr>
          <w:p>
            <w:pPr>
              <w:spacing w:after="0"/>
              <w:rPr>
                <w:sz w:val="13"/>
                <w:szCs w:val="13"/>
                <w:color w:val="auto"/>
              </w:rPr>
            </w:pPr>
          </w:p>
        </w:tc>
        <w:tc>
          <w:tcPr>
            <w:tcW w:w="144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Gross amounts</w:t>
            </w:r>
          </w:p>
        </w:tc>
        <w:tc>
          <w:tcPr>
            <w:tcW w:w="14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consolidated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Cash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Details</w:t>
            </w:r>
          </w:p>
        </w:tc>
        <w:tc>
          <w:tcPr>
            <w:tcW w:w="144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recognized</w:t>
            </w:r>
          </w:p>
        </w:tc>
        <w:tc>
          <w:tcPr>
            <w:tcW w:w="14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statements of</w:t>
            </w:r>
          </w:p>
        </w:tc>
        <w:tc>
          <w:tcPr>
            <w:tcW w:w="13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Financial</w:t>
            </w: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collateral</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6"/>
                <w:szCs w:val="16"/>
                <w:b w:val="1"/>
                <w:bCs w:val="1"/>
                <w:color w:val="auto"/>
              </w:rPr>
              <w:t>financial assets</w:t>
            </w: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financial position</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instruments</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received</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amount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60" w:type="dxa"/>
            <w:vAlign w:val="bottom"/>
          </w:tcPr>
          <w:p>
            <w:pPr>
              <w:spacing w:after="0"/>
              <w:rPr>
                <w:sz w:val="13"/>
                <w:szCs w:val="13"/>
                <w:color w:val="auto"/>
              </w:rPr>
            </w:pPr>
          </w:p>
        </w:tc>
        <w:tc>
          <w:tcPr>
            <w:tcW w:w="13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26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rPr>
              <w:t>Receivables from derivatives</w:t>
            </w:r>
          </w:p>
        </w:tc>
        <w:tc>
          <w:tcPr>
            <w:tcW w:w="1440" w:type="dxa"/>
            <w:vAlign w:val="bottom"/>
            <w:gridSpan w:val="3"/>
          </w:tcPr>
          <w:p>
            <w:pPr>
              <w:jc w:val="right"/>
              <w:ind w:right="160"/>
              <w:spacing w:after="0" w:line="175" w:lineRule="exact"/>
              <w:rPr>
                <w:sz w:val="20"/>
                <w:szCs w:val="20"/>
                <w:color w:val="auto"/>
              </w:rPr>
            </w:pPr>
            <w:r>
              <w:rPr>
                <w:rFonts w:ascii="Arial" w:cs="Arial" w:eastAsia="Arial" w:hAnsi="Arial"/>
                <w:sz w:val="16"/>
                <w:szCs w:val="16"/>
                <w:color w:val="auto"/>
              </w:rPr>
              <w:t>904,791</w:t>
            </w:r>
          </w:p>
        </w:tc>
        <w:tc>
          <w:tcPr>
            <w:tcW w:w="1360" w:type="dxa"/>
            <w:vAlign w:val="bottom"/>
          </w:tcPr>
          <w:p>
            <w:pPr>
              <w:jc w:val="right"/>
              <w:spacing w:after="0" w:line="175" w:lineRule="exact"/>
              <w:rPr>
                <w:sz w:val="20"/>
                <w:szCs w:val="20"/>
                <w:color w:val="auto"/>
              </w:rPr>
            </w:pPr>
            <w:r>
              <w:rPr>
                <w:rFonts w:ascii="Arial" w:cs="Arial" w:eastAsia="Arial" w:hAnsi="Arial"/>
                <w:sz w:val="16"/>
                <w:szCs w:val="16"/>
                <w:color w:val="auto"/>
              </w:rPr>
              <w:t>904,791</w:t>
            </w:r>
          </w:p>
        </w:tc>
        <w:tc>
          <w:tcPr>
            <w:tcW w:w="80" w:type="dxa"/>
            <w:vAlign w:val="bottom"/>
          </w:tcPr>
          <w:p>
            <w:pPr>
              <w:spacing w:after="0"/>
              <w:rPr>
                <w:sz w:val="15"/>
                <w:szCs w:val="15"/>
                <w:color w:val="auto"/>
              </w:rPr>
            </w:pPr>
          </w:p>
        </w:tc>
        <w:tc>
          <w:tcPr>
            <w:tcW w:w="13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(310,932)</w:t>
            </w:r>
          </w:p>
        </w:tc>
        <w:tc>
          <w:tcPr>
            <w:tcW w:w="13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(37,615)</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556,244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rPr>
              <w:t>Cash collateral, reverse repurchase</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rPr>
              <w:t>agreements and securities borrowing</w:t>
            </w:r>
          </w:p>
        </w:tc>
        <w:tc>
          <w:tcPr>
            <w:tcW w:w="1440" w:type="dxa"/>
            <w:vAlign w:val="bottom"/>
            <w:gridSpan w:val="3"/>
          </w:tcPr>
          <w:p>
            <w:pPr>
              <w:jc w:val="right"/>
              <w:ind w:right="160"/>
              <w:spacing w:after="0" w:line="175" w:lineRule="exact"/>
              <w:rPr>
                <w:sz w:val="20"/>
                <w:szCs w:val="20"/>
                <w:color w:val="auto"/>
              </w:rPr>
            </w:pPr>
            <w:r>
              <w:rPr>
                <w:rFonts w:ascii="Arial" w:cs="Arial" w:eastAsia="Arial" w:hAnsi="Arial"/>
                <w:sz w:val="16"/>
                <w:szCs w:val="16"/>
                <w:color w:val="auto"/>
              </w:rPr>
              <w:t>1,033,177</w:t>
            </w:r>
          </w:p>
        </w:tc>
        <w:tc>
          <w:tcPr>
            <w:tcW w:w="14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1,033,177</w:t>
            </w:r>
          </w:p>
        </w:tc>
        <w:tc>
          <w:tcPr>
            <w:tcW w:w="13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(19,151)</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1,014,026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w w:val="98"/>
              </w:rPr>
              <w:t>Investments at fair value through other</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w w:val="99"/>
              </w:rPr>
              <w:t>comprehensive income and amortized</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840"/>
              <w:spacing w:after="0"/>
              <w:rPr>
                <w:sz w:val="20"/>
                <w:szCs w:val="20"/>
                <w:color w:val="auto"/>
              </w:rPr>
            </w:pPr>
            <w:r>
              <w:rPr>
                <w:rFonts w:ascii="Arial" w:cs="Arial" w:eastAsia="Arial" w:hAnsi="Arial"/>
                <w:sz w:val="16"/>
                <w:szCs w:val="16"/>
                <w:color w:val="auto"/>
              </w:rPr>
              <w:t>cost pledged as collateral</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6,997,811</w:t>
            </w:r>
          </w:p>
        </w:tc>
        <w:tc>
          <w:tcPr>
            <w:tcW w:w="1360" w:type="dxa"/>
            <w:vAlign w:val="bottom"/>
          </w:tcPr>
          <w:p>
            <w:pPr>
              <w:jc w:val="right"/>
              <w:spacing w:after="0"/>
              <w:rPr>
                <w:sz w:val="20"/>
                <w:szCs w:val="20"/>
                <w:color w:val="auto"/>
              </w:rPr>
            </w:pPr>
            <w:r>
              <w:rPr>
                <w:rFonts w:ascii="Arial" w:cs="Arial" w:eastAsia="Arial" w:hAnsi="Arial"/>
                <w:sz w:val="16"/>
                <w:szCs w:val="16"/>
                <w:color w:val="auto"/>
              </w:rPr>
              <w:t>6,997,811</w:t>
            </w:r>
          </w:p>
        </w:tc>
        <w:tc>
          <w:tcPr>
            <w:tcW w:w="80" w:type="dxa"/>
            <w:vAlign w:val="bottom"/>
          </w:tcPr>
          <w:p>
            <w:pPr>
              <w:spacing w:after="0"/>
              <w:rPr>
                <w:sz w:val="16"/>
                <w:szCs w:val="16"/>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(6,159,186)</w:t>
            </w:r>
          </w:p>
        </w:tc>
        <w:tc>
          <w:tcPr>
            <w:tcW w:w="1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838,625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840"/>
              <w:spacing w:after="0" w:line="175"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8,935,779</w:t>
            </w:r>
          </w:p>
        </w:tc>
        <w:tc>
          <w:tcPr>
            <w:tcW w:w="16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8,935,779</w:t>
            </w:r>
          </w:p>
        </w:tc>
        <w:tc>
          <w:tcPr>
            <w:tcW w:w="8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(6,470,118)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(56,766)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2,408,895</w:t>
            </w:r>
          </w:p>
        </w:tc>
        <w:tc>
          <w:tcPr>
            <w:tcW w:w="20" w:type="dxa"/>
            <w:vAlign w:val="bottom"/>
            <w:tcBorders>
              <w:top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5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6"/>
                <w:szCs w:val="16"/>
                <w:b w:val="1"/>
                <w:bCs w:val="1"/>
                <w:color w:val="auto"/>
              </w:rPr>
              <w:t>Net of financial</w:t>
            </w:r>
          </w:p>
        </w:tc>
        <w:tc>
          <w:tcPr>
            <w:tcW w:w="2620" w:type="dxa"/>
            <w:vAlign w:val="bottom"/>
            <w:tcBorders>
              <w:top w:val="single" w:sz="8" w:color="auto"/>
            </w:tcBorders>
            <w:gridSpan w:val="5"/>
          </w:tcPr>
          <w:p>
            <w:pPr>
              <w:spacing w:after="0" w:line="150" w:lineRule="exact"/>
              <w:rPr>
                <w:sz w:val="20"/>
                <w:szCs w:val="20"/>
                <w:color w:val="auto"/>
              </w:rPr>
            </w:pPr>
            <w:r>
              <w:rPr>
                <w:rFonts w:ascii="Arial" w:cs="Arial" w:eastAsia="Arial" w:hAnsi="Arial"/>
                <w:sz w:val="16"/>
                <w:szCs w:val="16"/>
                <w:b w:val="1"/>
                <w:bCs w:val="1"/>
                <w:color w:val="auto"/>
              </w:rPr>
              <w:t>Related amounts not offset in the</w:t>
            </w:r>
          </w:p>
        </w:tc>
        <w:tc>
          <w:tcPr>
            <w:tcW w:w="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assets presented</w:t>
            </w:r>
          </w:p>
        </w:tc>
        <w:tc>
          <w:tcPr>
            <w:tcW w:w="262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consolidated statement of</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in the</w:t>
            </w: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8"/>
              </w:rPr>
              <w:t>financial position</w:t>
            </w: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540" w:type="dxa"/>
            <w:vAlign w:val="bottom"/>
          </w:tcPr>
          <w:p>
            <w:pPr>
              <w:spacing w:after="0"/>
              <w:rPr>
                <w:sz w:val="13"/>
                <w:szCs w:val="13"/>
                <w:color w:val="auto"/>
              </w:rPr>
            </w:pPr>
          </w:p>
        </w:tc>
        <w:tc>
          <w:tcPr>
            <w:tcW w:w="144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Gross amounts</w:t>
            </w:r>
          </w:p>
        </w:tc>
        <w:tc>
          <w:tcPr>
            <w:tcW w:w="144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consolidated</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Cash</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Details</w:t>
            </w:r>
          </w:p>
        </w:tc>
        <w:tc>
          <w:tcPr>
            <w:tcW w:w="1440" w:type="dxa"/>
            <w:vAlign w:val="bottom"/>
            <w:gridSpan w:val="3"/>
          </w:tcPr>
          <w:p>
            <w:pPr>
              <w:ind w:left="40"/>
              <w:spacing w:after="0" w:line="175" w:lineRule="exact"/>
              <w:rPr>
                <w:sz w:val="20"/>
                <w:szCs w:val="20"/>
                <w:color w:val="auto"/>
              </w:rPr>
            </w:pPr>
            <w:r>
              <w:rPr>
                <w:rFonts w:ascii="Arial" w:cs="Arial" w:eastAsia="Arial" w:hAnsi="Arial"/>
                <w:sz w:val="16"/>
                <w:szCs w:val="16"/>
                <w:b w:val="1"/>
                <w:bCs w:val="1"/>
                <w:color w:val="auto"/>
              </w:rPr>
              <w:t>recognized</w:t>
            </w:r>
          </w:p>
        </w:tc>
        <w:tc>
          <w:tcPr>
            <w:tcW w:w="14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statements of</w:t>
            </w:r>
          </w:p>
        </w:tc>
        <w:tc>
          <w:tcPr>
            <w:tcW w:w="13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Financial</w:t>
            </w: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collateral</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6"/>
                <w:szCs w:val="16"/>
                <w:b w:val="1"/>
                <w:bCs w:val="1"/>
                <w:color w:val="auto"/>
              </w:rPr>
              <w:t>financial assets</w:t>
            </w: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financial position</w:t>
            </w: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instruments</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rPr>
              <w:t>received</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amount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60" w:type="dxa"/>
            <w:vAlign w:val="bottom"/>
          </w:tcPr>
          <w:p>
            <w:pPr>
              <w:spacing w:after="0"/>
              <w:rPr>
                <w:sz w:val="13"/>
                <w:szCs w:val="13"/>
                <w:color w:val="auto"/>
              </w:rPr>
            </w:pPr>
          </w:p>
        </w:tc>
        <w:tc>
          <w:tcPr>
            <w:tcW w:w="136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12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260" w:type="dxa"/>
            <w:vAlign w:val="bottom"/>
            <w:tcBorders>
              <w:top w:val="single" w:sz="8" w:color="auto"/>
            </w:tcBorders>
            <w:gridSpan w:val="2"/>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rPr>
              <w:t>Receivables from derivatives</w:t>
            </w:r>
          </w:p>
        </w:tc>
        <w:tc>
          <w:tcPr>
            <w:tcW w:w="1440" w:type="dxa"/>
            <w:vAlign w:val="bottom"/>
            <w:gridSpan w:val="3"/>
          </w:tcPr>
          <w:p>
            <w:pPr>
              <w:jc w:val="right"/>
              <w:ind w:right="160"/>
              <w:spacing w:after="0" w:line="175" w:lineRule="exact"/>
              <w:rPr>
                <w:sz w:val="20"/>
                <w:szCs w:val="20"/>
                <w:color w:val="auto"/>
              </w:rPr>
            </w:pPr>
            <w:r>
              <w:rPr>
                <w:rFonts w:ascii="Arial" w:cs="Arial" w:eastAsia="Arial" w:hAnsi="Arial"/>
                <w:sz w:val="16"/>
                <w:szCs w:val="16"/>
                <w:color w:val="auto"/>
              </w:rPr>
              <w:t>987,663</w:t>
            </w:r>
          </w:p>
        </w:tc>
        <w:tc>
          <w:tcPr>
            <w:tcW w:w="1360" w:type="dxa"/>
            <w:vAlign w:val="bottom"/>
          </w:tcPr>
          <w:p>
            <w:pPr>
              <w:jc w:val="right"/>
              <w:spacing w:after="0" w:line="175" w:lineRule="exact"/>
              <w:rPr>
                <w:sz w:val="20"/>
                <w:szCs w:val="20"/>
                <w:color w:val="auto"/>
              </w:rPr>
            </w:pPr>
            <w:r>
              <w:rPr>
                <w:rFonts w:ascii="Arial" w:cs="Arial" w:eastAsia="Arial" w:hAnsi="Arial"/>
                <w:sz w:val="16"/>
                <w:szCs w:val="16"/>
                <w:color w:val="auto"/>
              </w:rPr>
              <w:t>987,663</w:t>
            </w:r>
          </w:p>
        </w:tc>
        <w:tc>
          <w:tcPr>
            <w:tcW w:w="80" w:type="dxa"/>
            <w:vAlign w:val="bottom"/>
          </w:tcPr>
          <w:p>
            <w:pPr>
              <w:spacing w:after="0"/>
              <w:rPr>
                <w:sz w:val="15"/>
                <w:szCs w:val="15"/>
                <w:color w:val="auto"/>
              </w:rPr>
            </w:pPr>
          </w:p>
        </w:tc>
        <w:tc>
          <w:tcPr>
            <w:tcW w:w="13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(234,550)</w:t>
            </w:r>
          </w:p>
        </w:tc>
        <w:tc>
          <w:tcPr>
            <w:tcW w:w="13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(139,833)</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613,280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rPr>
              <w:t>Cash collateral, reverse repurchase</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rPr>
              <w:t>agreements and securities borrowing</w:t>
            </w:r>
          </w:p>
        </w:tc>
        <w:tc>
          <w:tcPr>
            <w:tcW w:w="1440" w:type="dxa"/>
            <w:vAlign w:val="bottom"/>
            <w:gridSpan w:val="3"/>
          </w:tcPr>
          <w:p>
            <w:pPr>
              <w:jc w:val="right"/>
              <w:ind w:right="160"/>
              <w:spacing w:after="0" w:line="175" w:lineRule="exact"/>
              <w:rPr>
                <w:sz w:val="20"/>
                <w:szCs w:val="20"/>
                <w:color w:val="auto"/>
              </w:rPr>
            </w:pPr>
            <w:r>
              <w:rPr>
                <w:rFonts w:ascii="Arial" w:cs="Arial" w:eastAsia="Arial" w:hAnsi="Arial"/>
                <w:sz w:val="16"/>
                <w:szCs w:val="16"/>
                <w:color w:val="auto"/>
              </w:rPr>
              <w:t>1,410,647</w:t>
            </w:r>
          </w:p>
        </w:tc>
        <w:tc>
          <w:tcPr>
            <w:tcW w:w="14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1,410,647</w:t>
            </w:r>
          </w:p>
        </w:tc>
        <w:tc>
          <w:tcPr>
            <w:tcW w:w="13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(16,924)</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1,393,723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w w:val="99"/>
              </w:rPr>
              <w:t>Available-for-sale and held-to-maturity</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840"/>
              <w:spacing w:after="0"/>
              <w:rPr>
                <w:sz w:val="20"/>
                <w:szCs w:val="20"/>
                <w:color w:val="auto"/>
              </w:rPr>
            </w:pPr>
            <w:r>
              <w:rPr>
                <w:rFonts w:ascii="Arial" w:cs="Arial" w:eastAsia="Arial" w:hAnsi="Arial"/>
                <w:sz w:val="16"/>
                <w:szCs w:val="16"/>
                <w:color w:val="auto"/>
              </w:rPr>
              <w:t>investments pledged as collateral</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6,533,959</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6,533,959</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(5,496,964)</w:t>
            </w:r>
          </w:p>
        </w:tc>
        <w:tc>
          <w:tcPr>
            <w:tcW w:w="1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6"/>
                <w:szCs w:val="16"/>
                <w:color w:val="auto"/>
              </w:rPr>
              <w:t>1,036,995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840"/>
              <w:spacing w:after="0" w:line="175"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5"/>
                <w:szCs w:val="15"/>
                <w:color w:val="auto"/>
              </w:rPr>
            </w:pPr>
          </w:p>
        </w:tc>
        <w:tc>
          <w:tcPr>
            <w:tcW w:w="12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8,932,269</w:t>
            </w:r>
          </w:p>
        </w:tc>
        <w:tc>
          <w:tcPr>
            <w:tcW w:w="160" w:type="dxa"/>
            <w:vAlign w:val="bottom"/>
          </w:tcPr>
          <w:p>
            <w:pPr>
              <w:spacing w:after="0"/>
              <w:rPr>
                <w:sz w:val="15"/>
                <w:szCs w:val="15"/>
                <w:color w:val="auto"/>
              </w:rPr>
            </w:pPr>
          </w:p>
        </w:tc>
        <w:tc>
          <w:tcPr>
            <w:tcW w:w="13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8,932,269</w:t>
            </w:r>
          </w:p>
        </w:tc>
        <w:tc>
          <w:tcPr>
            <w:tcW w:w="80" w:type="dxa"/>
            <w:vAlign w:val="bottom"/>
          </w:tcPr>
          <w:p>
            <w:pPr>
              <w:spacing w:after="0"/>
              <w:rPr>
                <w:sz w:val="15"/>
                <w:szCs w:val="15"/>
                <w:color w:val="auto"/>
              </w:rPr>
            </w:pPr>
          </w:p>
        </w:tc>
        <w:tc>
          <w:tcPr>
            <w:tcW w:w="122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(5,731,514)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(156,757)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Borders>
              <w:top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rPr>
              <w:t>3,043,998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2"/>
        </w:trPr>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Borders>
              <w:top w:val="single" w:sz="8" w:color="auto"/>
            </w:tcBorders>
          </w:tcPr>
          <w:p>
            <w:pPr>
              <w:ind w:left="500"/>
              <w:spacing w:after="0"/>
              <w:rPr>
                <w:sz w:val="20"/>
                <w:szCs w:val="20"/>
                <w:color w:val="auto"/>
              </w:rPr>
            </w:pPr>
            <w:r>
              <w:rPr>
                <w:rFonts w:ascii="Arial" w:cs="Arial" w:eastAsia="Arial" w:hAnsi="Arial"/>
                <w:sz w:val="12"/>
                <w:szCs w:val="12"/>
                <w:color w:val="auto"/>
              </w:rPr>
              <w:t>-141-</w:t>
            </w:r>
          </w:p>
        </w:tc>
        <w:tc>
          <w:tcPr>
            <w:tcW w:w="8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44" w:name="page145"/>
    <w:bookmarkEnd w:id="144"/>
    <w:p>
      <w:pPr>
        <w:ind w:left="6"/>
        <w:spacing w:after="0"/>
        <w:rPr>
          <w:sz w:val="20"/>
          <w:szCs w:val="20"/>
          <w:color w:val="auto"/>
        </w:rPr>
      </w:pPr>
      <w:r>
        <w:rPr>
          <w:rFonts w:ascii="Arial" w:cs="Arial" w:eastAsia="Arial" w:hAnsi="Arial"/>
          <w:sz w:val="16"/>
          <w:szCs w:val="16"/>
          <w:color w:val="auto"/>
        </w:rPr>
        <w:t>Financial liabilities subject to offsetting, enforceable offsetting master agreements and similar agreements:</w:t>
      </w:r>
    </w:p>
    <w:p>
      <w:pPr>
        <w:spacing w:after="0" w:line="177"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ind w:left="80"/>
              <w:spacing w:after="0" w:line="150" w:lineRule="exact"/>
              <w:rPr>
                <w:sz w:val="20"/>
                <w:szCs w:val="20"/>
                <w:color w:val="auto"/>
              </w:rPr>
            </w:pPr>
            <w:r>
              <w:rPr>
                <w:rFonts w:ascii="Arial" w:cs="Arial" w:eastAsia="Arial" w:hAnsi="Arial"/>
                <w:sz w:val="16"/>
                <w:szCs w:val="16"/>
                <w:b w:val="1"/>
                <w:bCs w:val="1"/>
                <w:color w:val="auto"/>
              </w:rPr>
              <w:t>Net amounts of</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ind w:left="80"/>
              <w:spacing w:after="0" w:line="180" w:lineRule="exact"/>
              <w:rPr>
                <w:sz w:val="20"/>
                <w:szCs w:val="20"/>
                <w:color w:val="auto"/>
              </w:rPr>
            </w:pPr>
            <w:r>
              <w:rPr>
                <w:rFonts w:ascii="Arial" w:cs="Arial" w:eastAsia="Arial" w:hAnsi="Arial"/>
                <w:sz w:val="16"/>
                <w:szCs w:val="16"/>
                <w:b w:val="1"/>
                <w:bCs w:val="1"/>
                <w:color w:val="auto"/>
              </w:rPr>
              <w:t>financial liabilities</w:t>
            </w:r>
          </w:p>
        </w:tc>
        <w:tc>
          <w:tcPr>
            <w:tcW w:w="2620" w:type="dxa"/>
            <w:vAlign w:val="bottom"/>
            <w:gridSpan w:val="4"/>
          </w:tcPr>
          <w:p>
            <w:pPr>
              <w:spacing w:after="0" w:line="180" w:lineRule="exact"/>
              <w:rPr>
                <w:sz w:val="20"/>
                <w:szCs w:val="20"/>
                <w:color w:val="auto"/>
              </w:rPr>
            </w:pPr>
            <w:r>
              <w:rPr>
                <w:rFonts w:ascii="Arial" w:cs="Arial" w:eastAsia="Arial" w:hAnsi="Arial"/>
                <w:sz w:val="16"/>
                <w:szCs w:val="16"/>
                <w:b w:val="1"/>
                <w:bCs w:val="1"/>
                <w:color w:val="auto"/>
              </w:rPr>
              <w:t>Related amounts not offset in the</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2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Gross amounts</w:t>
            </w:r>
          </w:p>
        </w:tc>
        <w:tc>
          <w:tcPr>
            <w:tcW w:w="1580" w:type="dxa"/>
            <w:vAlign w:val="bottom"/>
            <w:gridSpan w:val="3"/>
          </w:tcPr>
          <w:p>
            <w:pPr>
              <w:ind w:left="80"/>
              <w:spacing w:after="0" w:line="175" w:lineRule="exact"/>
              <w:rPr>
                <w:sz w:val="20"/>
                <w:szCs w:val="20"/>
                <w:color w:val="auto"/>
              </w:rPr>
            </w:pPr>
            <w:r>
              <w:rPr>
                <w:rFonts w:ascii="Arial" w:cs="Arial" w:eastAsia="Arial" w:hAnsi="Arial"/>
                <w:sz w:val="16"/>
                <w:szCs w:val="16"/>
                <w:b w:val="1"/>
                <w:bCs w:val="1"/>
                <w:color w:val="auto"/>
              </w:rPr>
              <w:t>presented in the</w:t>
            </w:r>
          </w:p>
        </w:tc>
        <w:tc>
          <w:tcPr>
            <w:tcW w:w="262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consolidated statement of</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2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of</w:t>
            </w:r>
          </w:p>
        </w:tc>
        <w:tc>
          <w:tcPr>
            <w:tcW w:w="1580" w:type="dxa"/>
            <w:vAlign w:val="bottom"/>
            <w:gridSpan w:val="3"/>
          </w:tcPr>
          <w:p>
            <w:pPr>
              <w:ind w:left="80"/>
              <w:spacing w:after="0" w:line="175" w:lineRule="exact"/>
              <w:rPr>
                <w:sz w:val="20"/>
                <w:szCs w:val="20"/>
                <w:color w:val="auto"/>
              </w:rPr>
            </w:pPr>
            <w:r>
              <w:rPr>
                <w:rFonts w:ascii="Arial" w:cs="Arial" w:eastAsia="Arial" w:hAnsi="Arial"/>
                <w:sz w:val="16"/>
                <w:szCs w:val="16"/>
                <w:b w:val="1"/>
                <w:bCs w:val="1"/>
                <w:color w:val="auto"/>
              </w:rPr>
              <w:t>consolidated</w:t>
            </w:r>
          </w:p>
        </w:tc>
        <w:tc>
          <w:tcPr>
            <w:tcW w:w="13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financial position</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40" w:type="dxa"/>
            <w:vAlign w:val="bottom"/>
          </w:tcPr>
          <w:p>
            <w:pPr>
              <w:spacing w:after="0"/>
              <w:rPr>
                <w:sz w:val="3"/>
                <w:szCs w:val="3"/>
                <w:color w:val="auto"/>
              </w:rPr>
            </w:pPr>
          </w:p>
        </w:tc>
        <w:tc>
          <w:tcPr>
            <w:tcW w:w="1260" w:type="dxa"/>
            <w:vAlign w:val="bottom"/>
            <w:gridSpan w:val="2"/>
            <w:vMerge w:val="restart"/>
          </w:tcPr>
          <w:p>
            <w:pPr>
              <w:spacing w:after="0" w:line="170" w:lineRule="exact"/>
              <w:rPr>
                <w:sz w:val="20"/>
                <w:szCs w:val="20"/>
                <w:color w:val="auto"/>
              </w:rPr>
            </w:pPr>
            <w:r>
              <w:rPr>
                <w:rFonts w:ascii="Arial" w:cs="Arial" w:eastAsia="Arial" w:hAnsi="Arial"/>
                <w:sz w:val="16"/>
                <w:szCs w:val="16"/>
                <w:b w:val="1"/>
                <w:bCs w:val="1"/>
                <w:color w:val="auto"/>
              </w:rPr>
              <w:t>recognized</w:t>
            </w:r>
          </w:p>
        </w:tc>
        <w:tc>
          <w:tcPr>
            <w:tcW w:w="1580" w:type="dxa"/>
            <w:vAlign w:val="bottom"/>
            <w:gridSpan w:val="3"/>
            <w:vMerge w:val="restart"/>
          </w:tcPr>
          <w:p>
            <w:pPr>
              <w:ind w:left="80"/>
              <w:spacing w:after="0" w:line="170" w:lineRule="exact"/>
              <w:rPr>
                <w:sz w:val="20"/>
                <w:szCs w:val="20"/>
                <w:color w:val="auto"/>
              </w:rPr>
            </w:pPr>
            <w:r>
              <w:rPr>
                <w:rFonts w:ascii="Arial" w:cs="Arial" w:eastAsia="Arial" w:hAnsi="Arial"/>
                <w:sz w:val="16"/>
                <w:szCs w:val="16"/>
                <w:b w:val="1"/>
                <w:bCs w:val="1"/>
                <w:color w:val="auto"/>
              </w:rPr>
              <w:t>statement of</w:t>
            </w: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7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Details</w:t>
            </w:r>
          </w:p>
        </w:tc>
        <w:tc>
          <w:tcPr>
            <w:tcW w:w="12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financial</w:t>
            </w:r>
          </w:p>
        </w:tc>
        <w:tc>
          <w:tcPr>
            <w:tcW w:w="1580" w:type="dxa"/>
            <w:vAlign w:val="bottom"/>
            <w:gridSpan w:val="3"/>
          </w:tcPr>
          <w:p>
            <w:pPr>
              <w:ind w:left="80"/>
              <w:spacing w:after="0" w:line="175" w:lineRule="exact"/>
              <w:rPr>
                <w:sz w:val="20"/>
                <w:szCs w:val="20"/>
                <w:color w:val="auto"/>
              </w:rPr>
            </w:pPr>
            <w:r>
              <w:rPr>
                <w:rFonts w:ascii="Arial" w:cs="Arial" w:eastAsia="Arial" w:hAnsi="Arial"/>
                <w:sz w:val="16"/>
                <w:szCs w:val="16"/>
                <w:b w:val="1"/>
                <w:bCs w:val="1"/>
                <w:color w:val="auto"/>
              </w:rPr>
              <w:t>financial</w:t>
            </w:r>
          </w:p>
        </w:tc>
        <w:tc>
          <w:tcPr>
            <w:tcW w:w="13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Financial</w:t>
            </w:r>
          </w:p>
        </w:tc>
        <w:tc>
          <w:tcPr>
            <w:tcW w:w="12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Cash collateral</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position</w:t>
            </w: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instruments</w:t>
            </w: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pledged</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124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line="175" w:lineRule="exact"/>
              <w:rPr>
                <w:sz w:val="20"/>
                <w:szCs w:val="20"/>
                <w:color w:val="auto"/>
              </w:rPr>
            </w:pPr>
            <w:r>
              <w:rPr>
                <w:rFonts w:ascii="Arial" w:cs="Arial" w:eastAsia="Arial" w:hAnsi="Arial"/>
                <w:sz w:val="16"/>
                <w:szCs w:val="16"/>
                <w:color w:val="auto"/>
              </w:rPr>
              <w:t>Payables on derivatives</w:t>
            </w:r>
          </w:p>
        </w:tc>
        <w:tc>
          <w:tcPr>
            <w:tcW w:w="12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819,473</w:t>
            </w:r>
          </w:p>
        </w:tc>
        <w:tc>
          <w:tcPr>
            <w:tcW w:w="15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819,473</w:t>
            </w:r>
          </w:p>
        </w:tc>
        <w:tc>
          <w:tcPr>
            <w:tcW w:w="13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310,932</w:t>
            </w:r>
          </w:p>
        </w:tc>
        <w:tc>
          <w:tcPr>
            <w:tcW w:w="12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(1,115,338)</w:t>
            </w:r>
          </w:p>
        </w:tc>
        <w:tc>
          <w:tcPr>
            <w:tcW w:w="118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15,067</w:t>
            </w:r>
          </w:p>
        </w:tc>
        <w:tc>
          <w:tcPr>
            <w:tcW w:w="0" w:type="dxa"/>
            <w:vAlign w:val="bottom"/>
          </w:tcPr>
          <w:p>
            <w:pPr>
              <w:spacing w:after="0"/>
              <w:rPr>
                <w:sz w:val="1"/>
                <w:szCs w:val="1"/>
                <w:color w:val="auto"/>
              </w:rPr>
            </w:pPr>
          </w:p>
        </w:tc>
      </w:tr>
      <w:tr>
        <w:trPr>
          <w:trHeight w:val="175"/>
        </w:trPr>
        <w:tc>
          <w:tcPr>
            <w:tcW w:w="2740" w:type="dxa"/>
            <w:vAlign w:val="bottom"/>
          </w:tcPr>
          <w:p>
            <w:pPr>
              <w:spacing w:after="0" w:line="175" w:lineRule="exact"/>
              <w:rPr>
                <w:sz w:val="20"/>
                <w:szCs w:val="20"/>
                <w:color w:val="auto"/>
              </w:rPr>
            </w:pPr>
            <w:r>
              <w:rPr>
                <w:rFonts w:ascii="Arial" w:cs="Arial" w:eastAsia="Arial" w:hAnsi="Arial"/>
                <w:sz w:val="16"/>
                <w:szCs w:val="16"/>
                <w:color w:val="auto"/>
              </w:rPr>
              <w:t>Payables on repurchase agreements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Arial" w:cs="Arial" w:eastAsia="Arial" w:hAnsi="Arial"/>
                <w:sz w:val="16"/>
                <w:szCs w:val="16"/>
                <w:color w:val="auto"/>
              </w:rPr>
              <w:t>and securites lending</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9,060,710</w:t>
            </w:r>
          </w:p>
        </w:tc>
        <w:tc>
          <w:tcPr>
            <w:tcW w:w="1580" w:type="dxa"/>
            <w:vAlign w:val="bottom"/>
            <w:gridSpan w:val="3"/>
          </w:tcPr>
          <w:p>
            <w:pPr>
              <w:jc w:val="right"/>
              <w:ind w:right="80"/>
              <w:spacing w:after="0"/>
              <w:rPr>
                <w:sz w:val="20"/>
                <w:szCs w:val="20"/>
                <w:color w:val="auto"/>
              </w:rPr>
            </w:pPr>
            <w:r>
              <w:rPr>
                <w:rFonts w:ascii="Arial" w:cs="Arial" w:eastAsia="Arial" w:hAnsi="Arial"/>
                <w:sz w:val="16"/>
                <w:szCs w:val="16"/>
                <w:color w:val="auto"/>
              </w:rPr>
              <w:t>9,060,710</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(6,692,254)</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(362,723)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2,005,733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1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9,880,183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9,880,183</w:t>
            </w:r>
          </w:p>
        </w:tc>
        <w:tc>
          <w:tcPr>
            <w:tcW w:w="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(6,381,322)</w:t>
            </w:r>
          </w:p>
        </w:tc>
        <w:tc>
          <w:tcPr>
            <w:tcW w:w="1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(1,478,061)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2,020,800</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00"/>
        </w:trPr>
        <w:tc>
          <w:tcPr>
            <w:tcW w:w="274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ind w:left="80"/>
              <w:spacing w:after="0" w:line="150" w:lineRule="exact"/>
              <w:rPr>
                <w:sz w:val="20"/>
                <w:szCs w:val="20"/>
                <w:color w:val="auto"/>
              </w:rPr>
            </w:pPr>
            <w:r>
              <w:rPr>
                <w:rFonts w:ascii="Arial" w:cs="Arial" w:eastAsia="Arial" w:hAnsi="Arial"/>
                <w:sz w:val="16"/>
                <w:szCs w:val="16"/>
                <w:b w:val="1"/>
                <w:bCs w:val="1"/>
                <w:color w:val="auto"/>
              </w:rPr>
              <w:t>Net amounts of</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ind w:left="80"/>
              <w:spacing w:after="0" w:line="180" w:lineRule="exact"/>
              <w:rPr>
                <w:sz w:val="20"/>
                <w:szCs w:val="20"/>
                <w:color w:val="auto"/>
              </w:rPr>
            </w:pPr>
            <w:r>
              <w:rPr>
                <w:rFonts w:ascii="Arial" w:cs="Arial" w:eastAsia="Arial" w:hAnsi="Arial"/>
                <w:sz w:val="16"/>
                <w:szCs w:val="16"/>
                <w:b w:val="1"/>
                <w:bCs w:val="1"/>
                <w:color w:val="auto"/>
              </w:rPr>
              <w:t>financial liabilities</w:t>
            </w:r>
          </w:p>
        </w:tc>
        <w:tc>
          <w:tcPr>
            <w:tcW w:w="2620" w:type="dxa"/>
            <w:vAlign w:val="bottom"/>
            <w:gridSpan w:val="4"/>
          </w:tcPr>
          <w:p>
            <w:pPr>
              <w:spacing w:after="0" w:line="180" w:lineRule="exact"/>
              <w:rPr>
                <w:sz w:val="20"/>
                <w:szCs w:val="20"/>
                <w:color w:val="auto"/>
              </w:rPr>
            </w:pPr>
            <w:r>
              <w:rPr>
                <w:rFonts w:ascii="Arial" w:cs="Arial" w:eastAsia="Arial" w:hAnsi="Arial"/>
                <w:sz w:val="16"/>
                <w:szCs w:val="16"/>
                <w:b w:val="1"/>
                <w:bCs w:val="1"/>
                <w:color w:val="auto"/>
              </w:rPr>
              <w:t>Related amounts not offset in the</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2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Gross amounts</w:t>
            </w:r>
          </w:p>
        </w:tc>
        <w:tc>
          <w:tcPr>
            <w:tcW w:w="1580" w:type="dxa"/>
            <w:vAlign w:val="bottom"/>
            <w:gridSpan w:val="3"/>
          </w:tcPr>
          <w:p>
            <w:pPr>
              <w:ind w:left="80"/>
              <w:spacing w:after="0" w:line="175" w:lineRule="exact"/>
              <w:rPr>
                <w:sz w:val="20"/>
                <w:szCs w:val="20"/>
                <w:color w:val="auto"/>
              </w:rPr>
            </w:pPr>
            <w:r>
              <w:rPr>
                <w:rFonts w:ascii="Arial" w:cs="Arial" w:eastAsia="Arial" w:hAnsi="Arial"/>
                <w:sz w:val="16"/>
                <w:szCs w:val="16"/>
                <w:b w:val="1"/>
                <w:bCs w:val="1"/>
                <w:color w:val="auto"/>
              </w:rPr>
              <w:t>presented in the</w:t>
            </w:r>
          </w:p>
        </w:tc>
        <w:tc>
          <w:tcPr>
            <w:tcW w:w="262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consolidated statement of</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2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of</w:t>
            </w:r>
          </w:p>
        </w:tc>
        <w:tc>
          <w:tcPr>
            <w:tcW w:w="1580" w:type="dxa"/>
            <w:vAlign w:val="bottom"/>
            <w:gridSpan w:val="3"/>
          </w:tcPr>
          <w:p>
            <w:pPr>
              <w:ind w:left="80"/>
              <w:spacing w:after="0" w:line="175" w:lineRule="exact"/>
              <w:rPr>
                <w:sz w:val="20"/>
                <w:szCs w:val="20"/>
                <w:color w:val="auto"/>
              </w:rPr>
            </w:pPr>
            <w:r>
              <w:rPr>
                <w:rFonts w:ascii="Arial" w:cs="Arial" w:eastAsia="Arial" w:hAnsi="Arial"/>
                <w:sz w:val="16"/>
                <w:szCs w:val="16"/>
                <w:b w:val="1"/>
                <w:bCs w:val="1"/>
                <w:color w:val="auto"/>
              </w:rPr>
              <w:t>consolidated</w:t>
            </w:r>
          </w:p>
        </w:tc>
        <w:tc>
          <w:tcPr>
            <w:tcW w:w="13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financial position</w:t>
            </w: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40" w:type="dxa"/>
            <w:vAlign w:val="bottom"/>
          </w:tcPr>
          <w:p>
            <w:pPr>
              <w:spacing w:after="0"/>
              <w:rPr>
                <w:sz w:val="3"/>
                <w:szCs w:val="3"/>
                <w:color w:val="auto"/>
              </w:rPr>
            </w:pPr>
          </w:p>
        </w:tc>
        <w:tc>
          <w:tcPr>
            <w:tcW w:w="1260" w:type="dxa"/>
            <w:vAlign w:val="bottom"/>
            <w:gridSpan w:val="2"/>
            <w:vMerge w:val="restart"/>
          </w:tcPr>
          <w:p>
            <w:pPr>
              <w:spacing w:after="0" w:line="170" w:lineRule="exact"/>
              <w:rPr>
                <w:sz w:val="20"/>
                <w:szCs w:val="20"/>
                <w:color w:val="auto"/>
              </w:rPr>
            </w:pPr>
            <w:r>
              <w:rPr>
                <w:rFonts w:ascii="Arial" w:cs="Arial" w:eastAsia="Arial" w:hAnsi="Arial"/>
                <w:sz w:val="16"/>
                <w:szCs w:val="16"/>
                <w:b w:val="1"/>
                <w:bCs w:val="1"/>
                <w:color w:val="auto"/>
              </w:rPr>
              <w:t>recognized</w:t>
            </w:r>
          </w:p>
        </w:tc>
        <w:tc>
          <w:tcPr>
            <w:tcW w:w="1580" w:type="dxa"/>
            <w:vAlign w:val="bottom"/>
            <w:gridSpan w:val="3"/>
            <w:vMerge w:val="restart"/>
          </w:tcPr>
          <w:p>
            <w:pPr>
              <w:ind w:left="80"/>
              <w:spacing w:after="0" w:line="170" w:lineRule="exact"/>
              <w:rPr>
                <w:sz w:val="20"/>
                <w:szCs w:val="20"/>
                <w:color w:val="auto"/>
              </w:rPr>
            </w:pPr>
            <w:r>
              <w:rPr>
                <w:rFonts w:ascii="Arial" w:cs="Arial" w:eastAsia="Arial" w:hAnsi="Arial"/>
                <w:sz w:val="16"/>
                <w:szCs w:val="16"/>
                <w:b w:val="1"/>
                <w:bCs w:val="1"/>
                <w:color w:val="auto"/>
              </w:rPr>
              <w:t>statement of</w:t>
            </w: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7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Details</w:t>
            </w:r>
          </w:p>
        </w:tc>
        <w:tc>
          <w:tcPr>
            <w:tcW w:w="126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financial</w:t>
            </w:r>
          </w:p>
        </w:tc>
        <w:tc>
          <w:tcPr>
            <w:tcW w:w="1580" w:type="dxa"/>
            <w:vAlign w:val="bottom"/>
            <w:gridSpan w:val="3"/>
          </w:tcPr>
          <w:p>
            <w:pPr>
              <w:ind w:left="80"/>
              <w:spacing w:after="0" w:line="175" w:lineRule="exact"/>
              <w:rPr>
                <w:sz w:val="20"/>
                <w:szCs w:val="20"/>
                <w:color w:val="auto"/>
              </w:rPr>
            </w:pPr>
            <w:r>
              <w:rPr>
                <w:rFonts w:ascii="Arial" w:cs="Arial" w:eastAsia="Arial" w:hAnsi="Arial"/>
                <w:sz w:val="16"/>
                <w:szCs w:val="16"/>
                <w:b w:val="1"/>
                <w:bCs w:val="1"/>
                <w:color w:val="auto"/>
              </w:rPr>
              <w:t>financial</w:t>
            </w:r>
          </w:p>
        </w:tc>
        <w:tc>
          <w:tcPr>
            <w:tcW w:w="13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Financial</w:t>
            </w:r>
          </w:p>
        </w:tc>
        <w:tc>
          <w:tcPr>
            <w:tcW w:w="12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Cash collateral</w:t>
            </w: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position</w:t>
            </w: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instruments</w:t>
            </w: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pledged</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3"/>
                <w:szCs w:val="13"/>
                <w:color w:val="auto"/>
              </w:rPr>
            </w:pPr>
          </w:p>
        </w:tc>
        <w:tc>
          <w:tcPr>
            <w:tcW w:w="124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line="175" w:lineRule="exact"/>
              <w:rPr>
                <w:sz w:val="20"/>
                <w:szCs w:val="20"/>
                <w:color w:val="auto"/>
              </w:rPr>
            </w:pPr>
            <w:r>
              <w:rPr>
                <w:rFonts w:ascii="Arial" w:cs="Arial" w:eastAsia="Arial" w:hAnsi="Arial"/>
                <w:sz w:val="16"/>
                <w:szCs w:val="16"/>
                <w:color w:val="auto"/>
              </w:rPr>
              <w:t>Payables on derivatives</w:t>
            </w:r>
          </w:p>
        </w:tc>
        <w:tc>
          <w:tcPr>
            <w:tcW w:w="12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891,999</w:t>
            </w:r>
          </w:p>
        </w:tc>
        <w:tc>
          <w:tcPr>
            <w:tcW w:w="15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891,999</w:t>
            </w:r>
          </w:p>
        </w:tc>
        <w:tc>
          <w:tcPr>
            <w:tcW w:w="13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(234,550)</w:t>
            </w:r>
          </w:p>
        </w:tc>
        <w:tc>
          <w:tcPr>
            <w:tcW w:w="12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(170,998)</w:t>
            </w:r>
          </w:p>
        </w:tc>
        <w:tc>
          <w:tcPr>
            <w:tcW w:w="116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486,451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Pr>
          <w:p>
            <w:pPr>
              <w:spacing w:after="0" w:line="175" w:lineRule="exact"/>
              <w:rPr>
                <w:sz w:val="20"/>
                <w:szCs w:val="20"/>
                <w:color w:val="auto"/>
              </w:rPr>
            </w:pPr>
            <w:r>
              <w:rPr>
                <w:rFonts w:ascii="Arial" w:cs="Arial" w:eastAsia="Arial" w:hAnsi="Arial"/>
                <w:sz w:val="16"/>
                <w:szCs w:val="16"/>
                <w:color w:val="auto"/>
              </w:rPr>
              <w:t>Payables on repurchase agreements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20"/>
                <w:szCs w:val="20"/>
                <w:color w:val="auto"/>
              </w:rPr>
            </w:pPr>
            <w:r>
              <w:rPr>
                <w:rFonts w:ascii="Arial" w:cs="Arial" w:eastAsia="Arial" w:hAnsi="Arial"/>
                <w:sz w:val="16"/>
                <w:szCs w:val="16"/>
                <w:color w:val="auto"/>
              </w:rPr>
              <w:t>and securites lending</w:t>
            </w:r>
          </w:p>
        </w:tc>
        <w:tc>
          <w:tcPr>
            <w:tcW w:w="1180" w:type="dxa"/>
            <w:vAlign w:val="bottom"/>
          </w:tcPr>
          <w:p>
            <w:pPr>
              <w:jc w:val="right"/>
              <w:spacing w:after="0"/>
              <w:rPr>
                <w:sz w:val="20"/>
                <w:szCs w:val="20"/>
                <w:color w:val="auto"/>
              </w:rPr>
            </w:pPr>
            <w:r>
              <w:rPr>
                <w:rFonts w:ascii="Arial" w:cs="Arial" w:eastAsia="Arial" w:hAnsi="Arial"/>
                <w:sz w:val="16"/>
                <w:szCs w:val="16"/>
                <w:color w:val="auto"/>
              </w:rPr>
              <w:t>10,168,427</w:t>
            </w:r>
          </w:p>
        </w:tc>
        <w:tc>
          <w:tcPr>
            <w:tcW w:w="80" w:type="dxa"/>
            <w:vAlign w:val="bottom"/>
          </w:tcPr>
          <w:p>
            <w:pPr>
              <w:spacing w:after="0"/>
              <w:rPr>
                <w:sz w:val="16"/>
                <w:szCs w:val="16"/>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6"/>
                <w:szCs w:val="16"/>
                <w:color w:val="auto"/>
              </w:rPr>
              <w:t>10,168,427</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(7,566,773)</w:t>
            </w: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(607,639)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1,994,015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11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11,060,426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11,060,426</w:t>
            </w:r>
          </w:p>
        </w:tc>
        <w:tc>
          <w:tcPr>
            <w:tcW w:w="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(7,801,323)</w:t>
            </w:r>
          </w:p>
        </w:tc>
        <w:tc>
          <w:tcPr>
            <w:tcW w:w="10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(778,637)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2,480,466</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 w:right="440"/>
        <w:spacing w:after="0" w:line="255" w:lineRule="auto"/>
        <w:rPr>
          <w:sz w:val="20"/>
          <w:szCs w:val="20"/>
          <w:color w:val="auto"/>
        </w:rPr>
      </w:pPr>
      <w:r>
        <w:rPr>
          <w:rFonts w:ascii="Arial" w:cs="Arial" w:eastAsia="Arial" w:hAnsi="Arial"/>
          <w:sz w:val="16"/>
          <w:szCs w:val="16"/>
          <w:color w:val="auto"/>
        </w:rPr>
        <w:t>The gross amounts of financial assets and liabilities disclosed in the above tables have been measured in the consolidated statement of financial position on the following basis:</w:t>
      </w:r>
    </w:p>
    <w:p>
      <w:pPr>
        <w:spacing w:after="0" w:line="134" w:lineRule="exact"/>
        <w:rPr>
          <w:sz w:val="20"/>
          <w:szCs w:val="20"/>
          <w:color w:val="auto"/>
        </w:rPr>
      </w:pPr>
    </w:p>
    <w:p>
      <w:pPr>
        <w:ind w:left="286" w:hanging="286"/>
        <w:spacing w:after="0"/>
        <w:tabs>
          <w:tab w:leader="none" w:pos="28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Derivative assets and liabilities are measured at fair value.</w:t>
      </w:r>
    </w:p>
    <w:p>
      <w:pPr>
        <w:spacing w:after="0" w:line="5" w:lineRule="exact"/>
        <w:rPr>
          <w:rFonts w:ascii="Arial" w:cs="Arial" w:eastAsia="Arial" w:hAnsi="Arial"/>
          <w:sz w:val="16"/>
          <w:szCs w:val="16"/>
          <w:color w:val="auto"/>
        </w:rPr>
      </w:pPr>
    </w:p>
    <w:p>
      <w:pPr>
        <w:ind w:left="286" w:right="220" w:hanging="286"/>
        <w:spacing w:after="0" w:line="238" w:lineRule="auto"/>
        <w:tabs>
          <w:tab w:leader="none" w:pos="28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Accounts receivable from resale agreements and securities financing and accounts payable from repurchase agreements and securities lending are measured at amortized cost.</w:t>
      </w:r>
    </w:p>
    <w:p>
      <w:pPr>
        <w:spacing w:after="0" w:line="146" w:lineRule="exact"/>
        <w:rPr>
          <w:sz w:val="20"/>
          <w:szCs w:val="20"/>
          <w:color w:val="auto"/>
        </w:rPr>
      </w:pPr>
    </w:p>
    <w:p>
      <w:pPr>
        <w:ind w:left="6"/>
        <w:spacing w:after="0" w:line="241" w:lineRule="auto"/>
        <w:rPr>
          <w:sz w:val="20"/>
          <w:szCs w:val="20"/>
          <w:color w:val="auto"/>
        </w:rPr>
      </w:pPr>
      <w:r>
        <w:rPr>
          <w:rFonts w:ascii="Arial" w:cs="Arial" w:eastAsia="Arial" w:hAnsi="Arial"/>
          <w:sz w:val="16"/>
          <w:szCs w:val="16"/>
          <w:color w:val="auto"/>
        </w:rPr>
        <w:t>The amounts detailed in the tables above for derivatives presented in other assets, Note 12(c), accounts receivable under resale agreements and securities financing, accounts payable under repurchase agreements and securities lending are financial instruments outside the scope of the offsetting disclosures.</w:t>
      </w:r>
    </w:p>
    <w:p>
      <w:pPr>
        <w:spacing w:after="0" w:line="293" w:lineRule="exact"/>
        <w:rPr>
          <w:sz w:val="20"/>
          <w:szCs w:val="20"/>
          <w:color w:val="auto"/>
        </w:rPr>
      </w:pPr>
    </w:p>
    <w:p>
      <w:pPr>
        <w:ind w:left="4646"/>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36195</wp:posOffset>
            </wp:positionV>
            <wp:extent cx="7150735"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386"/>
          </w:cols>
          <w:pgMar w:left="1154" w:top="124" w:right="359" w:bottom="1440" w:gutter="0" w:footer="0" w:header="0"/>
        </w:sectPr>
      </w:pPr>
    </w:p>
    <w:bookmarkStart w:id="145" w:name="page146"/>
    <w:bookmarkEnd w:id="145"/>
    <w:p>
      <w:pPr>
        <w:spacing w:after="0"/>
        <w:tabs>
          <w:tab w:leader="none" w:pos="520" w:val="left"/>
        </w:tabs>
        <w:rPr>
          <w:sz w:val="20"/>
          <w:szCs w:val="20"/>
          <w:color w:val="auto"/>
        </w:rPr>
      </w:pPr>
      <w:r>
        <w:rPr>
          <w:rFonts w:ascii="Arial" w:cs="Arial" w:eastAsia="Arial" w:hAnsi="Arial"/>
          <w:sz w:val="16"/>
          <w:szCs w:val="16"/>
          <w:b w:val="1"/>
          <w:bCs w:val="1"/>
          <w:color w:val="auto"/>
        </w:rPr>
        <w:t>30.2</w:t>
      </w:r>
      <w:r>
        <w:rPr>
          <w:sz w:val="20"/>
          <w:szCs w:val="20"/>
          <w:color w:val="auto"/>
        </w:rPr>
        <w:tab/>
      </w:r>
      <w:r>
        <w:rPr>
          <w:rFonts w:ascii="Arial" w:cs="Arial" w:eastAsia="Arial" w:hAnsi="Arial"/>
          <w:sz w:val="14"/>
          <w:szCs w:val="14"/>
          <w:b w:val="1"/>
          <w:bCs w:val="1"/>
          <w:color w:val="auto"/>
        </w:rPr>
        <w:t>Market risk -</w:t>
      </w:r>
    </w:p>
    <w:p>
      <w:pPr>
        <w:spacing w:after="0" w:line="167" w:lineRule="exact"/>
        <w:rPr>
          <w:sz w:val="20"/>
          <w:szCs w:val="20"/>
          <w:color w:val="auto"/>
        </w:rPr>
      </w:pPr>
    </w:p>
    <w:p>
      <w:pPr>
        <w:ind w:left="560"/>
        <w:spacing w:after="0" w:line="282" w:lineRule="auto"/>
        <w:rPr>
          <w:sz w:val="20"/>
          <w:szCs w:val="20"/>
          <w:color w:val="auto"/>
        </w:rPr>
      </w:pPr>
      <w:r>
        <w:rPr>
          <w:rFonts w:ascii="Arial" w:cs="Arial" w:eastAsia="Arial" w:hAnsi="Arial"/>
          <w:sz w:val="14"/>
          <w:szCs w:val="14"/>
          <w:color w:val="auto"/>
        </w:rPr>
        <w:t>The Group has exposure to market risk,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order of the Group’s current activities, commodity price risk has not been approved, so this type of instrument is not agreed.</w:t>
      </w:r>
    </w:p>
    <w:p>
      <w:pPr>
        <w:spacing w:after="0" w:line="119" w:lineRule="exact"/>
        <w:rPr>
          <w:sz w:val="20"/>
          <w:szCs w:val="20"/>
          <w:color w:val="auto"/>
        </w:rPr>
      </w:pPr>
    </w:p>
    <w:p>
      <w:pPr>
        <w:ind w:left="560" w:right="80"/>
        <w:spacing w:after="0" w:line="238" w:lineRule="auto"/>
        <w:rPr>
          <w:sz w:val="20"/>
          <w:szCs w:val="20"/>
          <w:color w:val="auto"/>
        </w:rPr>
      </w:pPr>
      <w:r>
        <w:rPr>
          <w:rFonts w:ascii="Arial" w:cs="Arial" w:eastAsia="Arial" w:hAnsi="Arial"/>
          <w:sz w:val="16"/>
          <w:szCs w:val="16"/>
          <w:color w:val="auto"/>
        </w:rPr>
        <w:t>The Group separates exposures to market risk in two groups: (i) those that arise from value fluctuation of trading portfolios recognized at fair value through profit or loss due to movements of market rates or prices (Trading Book) and (ii) those that arise from changes in the structural positions of non-trading portfolios due to movements of the interest rates, prices and foreign exchange ratios (Banking Book) and that are recorded at amortized cost and at fair value with changes in other comprehensive income, this is due to movements in interest rates, prices and currency exchange rates.</w:t>
      </w:r>
    </w:p>
    <w:p>
      <w:pPr>
        <w:spacing w:after="0" w:line="145" w:lineRule="exact"/>
        <w:rPr>
          <w:sz w:val="20"/>
          <w:szCs w:val="20"/>
          <w:color w:val="auto"/>
        </w:rPr>
      </w:pPr>
    </w:p>
    <w:p>
      <w:pPr>
        <w:ind w:left="560" w:right="60"/>
        <w:spacing w:after="0" w:line="255" w:lineRule="auto"/>
        <w:rPr>
          <w:sz w:val="20"/>
          <w:szCs w:val="20"/>
          <w:color w:val="auto"/>
        </w:rPr>
      </w:pPr>
      <w:r>
        <w:rPr>
          <w:rFonts w:ascii="Arial" w:cs="Arial" w:eastAsia="Arial" w:hAnsi="Arial"/>
          <w:sz w:val="16"/>
          <w:szCs w:val="16"/>
          <w:color w:val="auto"/>
        </w:rPr>
        <w:t>The risks that trading portfolios face are managed through Value at Risk (VaR) historical simulation techniques; while non-trading portfolios (Banking Book) are monitored using rate sensitivity metrics, which are a part of Asset and Liability Management (ALM).</w:t>
      </w:r>
    </w:p>
    <w:p>
      <w:pPr>
        <w:spacing w:after="0" w:line="134" w:lineRule="exact"/>
        <w:rPr>
          <w:sz w:val="20"/>
          <w:szCs w:val="20"/>
          <w:color w:val="auto"/>
        </w:rPr>
      </w:pPr>
    </w:p>
    <w:p>
      <w:pPr>
        <w:ind w:left="560"/>
        <w:spacing w:after="0"/>
        <w:tabs>
          <w:tab w:leader="none" w:pos="8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Trading Book –</w:t>
      </w:r>
    </w:p>
    <w:p>
      <w:pPr>
        <w:spacing w:after="0" w:line="166" w:lineRule="exact"/>
        <w:rPr>
          <w:sz w:val="20"/>
          <w:szCs w:val="20"/>
          <w:color w:val="auto"/>
        </w:rPr>
      </w:pPr>
    </w:p>
    <w:p>
      <w:pPr>
        <w:ind w:left="840" w:right="420"/>
        <w:spacing w:after="0" w:line="241" w:lineRule="auto"/>
        <w:rPr>
          <w:sz w:val="20"/>
          <w:szCs w:val="20"/>
          <w:color w:val="auto"/>
        </w:rPr>
      </w:pPr>
      <w:r>
        <w:rPr>
          <w:rFonts w:ascii="Arial" w:cs="Arial" w:eastAsia="Arial" w:hAnsi="Arial"/>
          <w:sz w:val="16"/>
          <w:szCs w:val="16"/>
          <w:color w:val="auto"/>
        </w:rPr>
        <w:t>The trading book is characterized for having liquid positions in stocks, bonds, foreign currencies, and derivatives, arising from market-making transactions where the Group acts as principal with the clients or with the market. This portfolio includes investments and derivatives classified by Management as held for trading.</w:t>
      </w:r>
    </w:p>
    <w:p>
      <w:pPr>
        <w:spacing w:after="0" w:line="14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 Value at Risk (VaR) –</w:t>
      </w:r>
    </w:p>
    <w:p>
      <w:pPr>
        <w:spacing w:after="0" w:line="166" w:lineRule="exact"/>
        <w:rPr>
          <w:sz w:val="20"/>
          <w:szCs w:val="20"/>
          <w:color w:val="auto"/>
        </w:rPr>
      </w:pPr>
    </w:p>
    <w:p>
      <w:pPr>
        <w:jc w:val="both"/>
        <w:ind w:left="1120" w:right="60"/>
        <w:spacing w:after="0" w:line="326" w:lineRule="auto"/>
        <w:rPr>
          <w:sz w:val="20"/>
          <w:szCs w:val="20"/>
          <w:color w:val="auto"/>
        </w:rPr>
      </w:pPr>
      <w:r>
        <w:rPr>
          <w:rFonts w:ascii="Arial" w:cs="Arial" w:eastAsia="Arial" w:hAnsi="Arial"/>
          <w:sz w:val="14"/>
          <w:szCs w:val="14"/>
          <w:color w:val="auto"/>
        </w:rPr>
        <w:t>The Group applies the VaR approach to its trading portfolio to estimate the market risk of the main positions held and the maximum losses that are expected, based upon a number of assumptions for various changes in market conditions and considering the risk appetite of the subsidiary.</w:t>
      </w:r>
    </w:p>
    <w:p>
      <w:pPr>
        <w:spacing w:after="0" w:line="88"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Daily calculation of VaR is a statistically based estimate of the maximum potential loss on the current portfolio from adverse market movements.</w:t>
      </w:r>
    </w:p>
    <w:p>
      <w:pPr>
        <w:spacing w:after="0" w:line="189" w:lineRule="exact"/>
        <w:rPr>
          <w:sz w:val="20"/>
          <w:szCs w:val="20"/>
          <w:color w:val="auto"/>
        </w:rPr>
      </w:pPr>
    </w:p>
    <w:p>
      <w:pPr>
        <w:jc w:val="both"/>
        <w:ind w:left="1120" w:right="60"/>
        <w:spacing w:after="0" w:line="241" w:lineRule="auto"/>
        <w:rPr>
          <w:sz w:val="20"/>
          <w:szCs w:val="20"/>
          <w:color w:val="auto"/>
        </w:rPr>
      </w:pPr>
      <w:r>
        <w:rPr>
          <w:rFonts w:ascii="Arial" w:cs="Arial" w:eastAsia="Arial" w:hAnsi="Arial"/>
          <w:sz w:val="16"/>
          <w:szCs w:val="16"/>
          <w:color w:val="auto"/>
        </w:rPr>
        <w:t>VaR expresses the “maximum” amount the Group might lose, but only to a certain level of confidence (99.0 percent). There is therefore a specified statistical probability (1.0 percent) that actual loss could be greater than the VaR estimate. The VaR model assumes a certain “holding period” until positions can be closed (1 - 10 days).</w:t>
      </w:r>
    </w:p>
    <w:p>
      <w:pPr>
        <w:spacing w:after="0" w:line="146" w:lineRule="exact"/>
        <w:rPr>
          <w:sz w:val="20"/>
          <w:szCs w:val="20"/>
          <w:color w:val="auto"/>
        </w:rPr>
      </w:pPr>
    </w:p>
    <w:p>
      <w:pPr>
        <w:ind w:left="1120" w:right="240"/>
        <w:spacing w:after="0" w:line="282" w:lineRule="auto"/>
        <w:rPr>
          <w:sz w:val="20"/>
          <w:szCs w:val="20"/>
          <w:color w:val="auto"/>
        </w:rPr>
      </w:pPr>
      <w:r>
        <w:rPr>
          <w:rFonts w:ascii="Arial" w:cs="Arial" w:eastAsia="Arial" w:hAnsi="Arial"/>
          <w:sz w:val="14"/>
          <w:szCs w:val="14"/>
          <w:color w:val="auto"/>
        </w:rPr>
        <w:t>The time horizon used to calculate VaR is one day; however, the one-day VAR is amplified to a 10-day time frame and calculated multiplying the one-day VaR by the square root of 10. This adjustment will be accurate only if the changes in the portfolio in the following days have a normal distribution independent and identically distributed; because of that, the result is multiplied by a non-normality adjustment factor. The limits and consumptions of the VaR are established on the basis of the risk appetite and the trading strategies of each subsidiary.</w:t>
      </w:r>
    </w:p>
    <w:p>
      <w:pPr>
        <w:spacing w:after="0" w:line="119" w:lineRule="exact"/>
        <w:rPr>
          <w:sz w:val="20"/>
          <w:szCs w:val="20"/>
          <w:color w:val="auto"/>
        </w:rPr>
      </w:pPr>
    </w:p>
    <w:p>
      <w:pPr>
        <w:jc w:val="both"/>
        <w:ind w:left="1120" w:right="280"/>
        <w:spacing w:after="0" w:line="241" w:lineRule="auto"/>
        <w:rPr>
          <w:sz w:val="20"/>
          <w:szCs w:val="20"/>
          <w:color w:val="auto"/>
        </w:rPr>
      </w:pPr>
      <w:r>
        <w:rPr>
          <w:rFonts w:ascii="Arial" w:cs="Arial" w:eastAsia="Arial" w:hAnsi="Arial"/>
          <w:sz w:val="16"/>
          <w:szCs w:val="16"/>
          <w:color w:val="auto"/>
        </w:rPr>
        <w:t>The evaluation of the movements of the trading portfolio has been based on annual historical information and 115 market risk factors, which are detailed following: 30 market curves, 43 stock prices, 40 mutual fund values and 2 series of volatility. The Group directly applies these historical changes in rates to each position in its current portfolio (method known as historical simulation).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6" w:name="page147"/>
    <w:bookmarkEnd w:id="146"/>
    <w:p>
      <w:pPr>
        <w:ind w:left="566" w:right="40"/>
        <w:spacing w:after="0" w:line="257" w:lineRule="auto"/>
        <w:rPr>
          <w:sz w:val="20"/>
          <w:szCs w:val="20"/>
          <w:color w:val="auto"/>
        </w:rPr>
      </w:pPr>
      <w:r>
        <w:rPr>
          <w:rFonts w:ascii="Arial" w:cs="Arial" w:eastAsia="Arial" w:hAnsi="Arial"/>
          <w:sz w:val="16"/>
          <w:szCs w:val="16"/>
          <w:color w:val="auto"/>
        </w:rPr>
        <w:t>The Group Management considers that the market risk factors, incorporated in their VaR model, are adequate to measure the market risk to which its trading portfolio is exposed.</w:t>
      </w:r>
    </w:p>
    <w:p>
      <w:pPr>
        <w:spacing w:after="0" w:line="132" w:lineRule="exact"/>
        <w:rPr>
          <w:sz w:val="20"/>
          <w:szCs w:val="20"/>
          <w:color w:val="auto"/>
        </w:rPr>
      </w:pPr>
    </w:p>
    <w:p>
      <w:pPr>
        <w:ind w:left="566" w:right="40"/>
        <w:spacing w:after="0" w:line="255" w:lineRule="auto"/>
        <w:rPr>
          <w:sz w:val="20"/>
          <w:szCs w:val="20"/>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may occur, on average under normal market conditions, not more than once every hundred days.</w:t>
      </w:r>
    </w:p>
    <w:p>
      <w:pPr>
        <w:spacing w:after="0" w:line="134" w:lineRule="exact"/>
        <w:rPr>
          <w:sz w:val="20"/>
          <w:szCs w:val="20"/>
          <w:color w:val="auto"/>
        </w:rPr>
      </w:pPr>
    </w:p>
    <w:p>
      <w:pPr>
        <w:ind w:left="566"/>
        <w:spacing w:after="0" w:line="241" w:lineRule="auto"/>
        <w:rPr>
          <w:sz w:val="20"/>
          <w:szCs w:val="20"/>
          <w:color w:val="auto"/>
        </w:rPr>
      </w:pPr>
      <w:r>
        <w:rPr>
          <w:rFonts w:ascii="Arial" w:cs="Arial" w:eastAsia="Arial" w:hAnsi="Arial"/>
          <w:sz w:val="16"/>
          <w:szCs w:val="16"/>
          <w:color w:val="auto"/>
        </w:rPr>
        <w:t>VaR limits have been established to control and keep track of all the risks taken. These risks arise from the size of the positions and/or the volatility of the risk factors embedded in each financial instrument. Regular reports are prepared for the Treasury Risk Committee and ALM, the Risk Management Committee and Senior Management.</w:t>
      </w:r>
    </w:p>
    <w:p>
      <w:pPr>
        <w:spacing w:after="0" w:line="146" w:lineRule="exact"/>
        <w:rPr>
          <w:sz w:val="20"/>
          <w:szCs w:val="20"/>
          <w:color w:val="auto"/>
        </w:rPr>
      </w:pPr>
    </w:p>
    <w:p>
      <w:pPr>
        <w:ind w:left="566" w:right="340"/>
        <w:spacing w:after="0" w:line="241" w:lineRule="auto"/>
        <w:rPr>
          <w:sz w:val="20"/>
          <w:szCs w:val="20"/>
          <w:color w:val="auto"/>
        </w:rPr>
      </w:pPr>
      <w:r>
        <w:rPr>
          <w:rFonts w:ascii="Arial" w:cs="Arial" w:eastAsia="Arial" w:hAnsi="Arial"/>
          <w:sz w:val="16"/>
          <w:szCs w:val="16"/>
          <w:color w:val="auto"/>
        </w:rPr>
        <w:t>VaR results are used to generate economic capital estimates by market risk, which are periodically monitored and are part of the overall risk appetite of each subsidiary. Furthermore, at Group level, there is also a limit to the risk appetite of the trading portfolio, which is monitored and informed to the Treasury Risks and ALM Corporate Committee.</w:t>
      </w:r>
    </w:p>
    <w:p>
      <w:pPr>
        <w:spacing w:after="0" w:line="146" w:lineRule="exact"/>
        <w:rPr>
          <w:sz w:val="20"/>
          <w:szCs w:val="20"/>
          <w:color w:val="auto"/>
        </w:rPr>
      </w:pPr>
    </w:p>
    <w:p>
      <w:pPr>
        <w:ind w:left="566" w:right="300"/>
        <w:spacing w:after="0" w:line="255" w:lineRule="auto"/>
        <w:rPr>
          <w:sz w:val="20"/>
          <w:szCs w:val="20"/>
          <w:color w:val="auto"/>
        </w:rPr>
      </w:pPr>
      <w:r>
        <w:rPr>
          <w:rFonts w:ascii="Arial" w:cs="Arial" w:eastAsia="Arial" w:hAnsi="Arial"/>
          <w:sz w:val="16"/>
          <w:szCs w:val="16"/>
          <w:color w:val="auto"/>
        </w:rPr>
        <w:t>In VaR calculation, the effects of the exchange rate are not included because said effects are measured in the net monetary position, see Note 30.2(b)(ii).</w:t>
      </w:r>
    </w:p>
    <w:p>
      <w:pPr>
        <w:spacing w:after="0" w:line="134"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Group's VaR is within the risk appetite limits established by the Risk Management of each subsidiary.</w:t>
      </w:r>
    </w:p>
    <w:p>
      <w:pPr>
        <w:spacing w:after="0" w:line="166" w:lineRule="exact"/>
        <w:rPr>
          <w:sz w:val="20"/>
          <w:szCs w:val="20"/>
          <w:color w:val="auto"/>
        </w:rPr>
      </w:pPr>
    </w:p>
    <w:tbl>
      <w:tblPr>
        <w:tblLayout w:type="fixed"/>
        <w:tblInd w:w="566" w:type="dxa"/>
        <w:tblCellMar>
          <w:top w:w="0" w:type="dxa"/>
          <w:left w:w="0" w:type="dxa"/>
          <w:bottom w:w="0" w:type="dxa"/>
          <w:right w:w="0" w:type="dxa"/>
        </w:tblCellMar>
      </w:tblPr>
      <w:tr>
        <w:trPr>
          <w:trHeight w:val="205"/>
        </w:trPr>
        <w:tc>
          <w:tcPr>
            <w:tcW w:w="6800" w:type="dxa"/>
            <w:vAlign w:val="bottom"/>
          </w:tcPr>
          <w:p>
            <w:pPr>
              <w:spacing w:after="0"/>
              <w:rPr>
                <w:sz w:val="20"/>
                <w:szCs w:val="20"/>
                <w:color w:val="auto"/>
              </w:rPr>
            </w:pPr>
            <w:r>
              <w:rPr>
                <w:rFonts w:ascii="Arial" w:cs="Arial" w:eastAsia="Arial" w:hAnsi="Arial"/>
                <w:sz w:val="16"/>
                <w:szCs w:val="16"/>
                <w:color w:val="auto"/>
              </w:rPr>
              <w:t>As of December 31, 2024 and 2023, the Group’s VaR by risk type is as follows: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5"/>
        </w:trPr>
        <w:tc>
          <w:tcPr>
            <w:tcW w:w="6800" w:type="dxa"/>
            <w:vAlign w:val="bottom"/>
          </w:tcPr>
          <w:p>
            <w:pPr>
              <w:spacing w:after="0"/>
              <w:rPr>
                <w:sz w:val="24"/>
                <w:szCs w:val="24"/>
                <w:color w:val="auto"/>
              </w:rPr>
            </w:pPr>
          </w:p>
        </w:tc>
        <w:tc>
          <w:tcPr>
            <w:tcW w:w="102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w w:val="95"/>
              </w:rPr>
              <w:t>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24"/>
                <w:szCs w:val="24"/>
                <w:color w:val="auto"/>
              </w:rPr>
            </w:pPr>
          </w:p>
        </w:tc>
      </w:tr>
      <w:tr>
        <w:trPr>
          <w:trHeight w:val="206"/>
        </w:trPr>
        <w:tc>
          <w:tcPr>
            <w:tcW w:w="6800" w:type="dxa"/>
            <w:vAlign w:val="bottom"/>
          </w:tcPr>
          <w:p>
            <w:pPr>
              <w:spacing w:after="0"/>
              <w:rPr>
                <w:sz w:val="17"/>
                <w:szCs w:val="17"/>
                <w:color w:val="auto"/>
              </w:rPr>
            </w:pPr>
          </w:p>
        </w:tc>
        <w:tc>
          <w:tcPr>
            <w:tcW w:w="1020" w:type="dxa"/>
            <w:vAlign w:val="bottom"/>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r>
      <w:tr>
        <w:trPr>
          <w:trHeight w:val="296"/>
        </w:trPr>
        <w:tc>
          <w:tcPr>
            <w:tcW w:w="6800" w:type="dxa"/>
            <w:vAlign w:val="bottom"/>
          </w:tcPr>
          <w:p>
            <w:pPr>
              <w:spacing w:after="0"/>
              <w:rPr>
                <w:sz w:val="20"/>
                <w:szCs w:val="20"/>
                <w:color w:val="auto"/>
              </w:rPr>
            </w:pPr>
            <w:r>
              <w:rPr>
                <w:rFonts w:ascii="Arial" w:cs="Arial" w:eastAsia="Arial" w:hAnsi="Arial"/>
                <w:sz w:val="16"/>
                <w:szCs w:val="16"/>
                <w:color w:val="auto"/>
              </w:rPr>
              <w:t>Interest rate risk</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29,138</w:t>
            </w:r>
          </w:p>
        </w:tc>
        <w:tc>
          <w:tcPr>
            <w:tcW w:w="1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29,399</w:t>
            </w:r>
          </w:p>
        </w:tc>
      </w:tr>
      <w:tr>
        <w:trPr>
          <w:trHeight w:val="175"/>
        </w:trPr>
        <w:tc>
          <w:tcPr>
            <w:tcW w:w="6800" w:type="dxa"/>
            <w:vAlign w:val="bottom"/>
          </w:tcPr>
          <w:p>
            <w:pPr>
              <w:spacing w:after="0" w:line="175" w:lineRule="exact"/>
              <w:rPr>
                <w:sz w:val="20"/>
                <w:szCs w:val="20"/>
                <w:color w:val="auto"/>
              </w:rPr>
            </w:pPr>
            <w:r>
              <w:rPr>
                <w:rFonts w:ascii="Arial" w:cs="Arial" w:eastAsia="Arial" w:hAnsi="Arial"/>
                <w:sz w:val="16"/>
                <w:szCs w:val="16"/>
                <w:color w:val="auto"/>
              </w:rPr>
              <w:t>Price risk</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933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5,291</w:t>
            </w:r>
          </w:p>
        </w:tc>
      </w:tr>
      <w:tr>
        <w:trPr>
          <w:trHeight w:val="175"/>
        </w:trPr>
        <w:tc>
          <w:tcPr>
            <w:tcW w:w="6800" w:type="dxa"/>
            <w:vAlign w:val="bottom"/>
          </w:tcPr>
          <w:p>
            <w:pPr>
              <w:spacing w:after="0" w:line="175" w:lineRule="exact"/>
              <w:rPr>
                <w:sz w:val="20"/>
                <w:szCs w:val="20"/>
                <w:color w:val="auto"/>
              </w:rPr>
            </w:pPr>
            <w:r>
              <w:rPr>
                <w:rFonts w:ascii="Arial" w:cs="Arial" w:eastAsia="Arial" w:hAnsi="Arial"/>
                <w:sz w:val="16"/>
                <w:szCs w:val="16"/>
                <w:color w:val="auto"/>
              </w:rPr>
              <w:t>Volatility risk</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462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20</w:t>
            </w:r>
          </w:p>
        </w:tc>
      </w:tr>
      <w:tr>
        <w:trPr>
          <w:trHeight w:val="190"/>
        </w:trPr>
        <w:tc>
          <w:tcPr>
            <w:tcW w:w="6800" w:type="dxa"/>
            <w:vAlign w:val="bottom"/>
          </w:tcPr>
          <w:p>
            <w:pPr>
              <w:spacing w:after="0"/>
              <w:rPr>
                <w:sz w:val="20"/>
                <w:szCs w:val="20"/>
                <w:color w:val="auto"/>
              </w:rPr>
            </w:pPr>
            <w:r>
              <w:rPr>
                <w:rFonts w:ascii="Arial" w:cs="Arial" w:eastAsia="Arial" w:hAnsi="Arial"/>
                <w:sz w:val="16"/>
                <w:szCs w:val="16"/>
                <w:color w:val="auto"/>
              </w:rPr>
              <w:t>Diversification effect</w:t>
            </w:r>
          </w:p>
        </w:tc>
        <w:tc>
          <w:tcPr>
            <w:tcW w:w="1220" w:type="dxa"/>
            <w:vAlign w:val="bottom"/>
            <w:gridSpan w:val="3"/>
          </w:tcPr>
          <w:p>
            <w:pPr>
              <w:jc w:val="right"/>
              <w:ind w:right="140"/>
              <w:spacing w:after="0"/>
              <w:rPr>
                <w:sz w:val="20"/>
                <w:szCs w:val="20"/>
                <w:color w:val="auto"/>
              </w:rPr>
            </w:pPr>
            <w:r>
              <w:rPr>
                <w:rFonts w:ascii="Arial" w:cs="Arial" w:eastAsia="Arial" w:hAnsi="Arial"/>
                <w:sz w:val="16"/>
                <w:szCs w:val="16"/>
                <w:color w:val="auto"/>
              </w:rPr>
              <w:t>(1,685)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(5,850)</w:t>
            </w:r>
          </w:p>
        </w:tc>
      </w:tr>
      <w:tr>
        <w:trPr>
          <w:trHeight w:val="170"/>
        </w:trPr>
        <w:tc>
          <w:tcPr>
            <w:tcW w:w="6800" w:type="dxa"/>
            <w:vAlign w:val="bottom"/>
          </w:tcPr>
          <w:p>
            <w:pPr>
              <w:spacing w:after="0" w:line="167" w:lineRule="exact"/>
              <w:rPr>
                <w:sz w:val="20"/>
                <w:szCs w:val="20"/>
                <w:color w:val="auto"/>
              </w:rPr>
            </w:pPr>
            <w:r>
              <w:rPr>
                <w:rFonts w:ascii="Arial" w:cs="Arial" w:eastAsia="Arial" w:hAnsi="Arial"/>
                <w:sz w:val="16"/>
                <w:szCs w:val="16"/>
                <w:color w:val="auto"/>
              </w:rPr>
              <w:t>Consolidated VaR by type of risk</w:t>
            </w:r>
          </w:p>
        </w:tc>
        <w:tc>
          <w:tcPr>
            <w:tcW w:w="104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28,848</w:t>
            </w:r>
          </w:p>
        </w:tc>
        <w:tc>
          <w:tcPr>
            <w:tcW w:w="1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28,860</w:t>
            </w:r>
          </w:p>
        </w:tc>
        <w:tc>
          <w:tcPr>
            <w:tcW w:w="60" w:type="dxa"/>
            <w:vAlign w:val="bottom"/>
          </w:tcPr>
          <w:p>
            <w:pPr>
              <w:spacing w:after="0"/>
              <w:rPr>
                <w:sz w:val="14"/>
                <w:szCs w:val="14"/>
                <w:color w:val="auto"/>
              </w:rPr>
            </w:pPr>
          </w:p>
        </w:tc>
      </w:tr>
    </w:tbl>
    <w:p>
      <w:pPr>
        <w:spacing w:after="0" w:line="160" w:lineRule="exact"/>
        <w:rPr>
          <w:sz w:val="20"/>
          <w:szCs w:val="20"/>
          <w:color w:val="auto"/>
        </w:rPr>
      </w:pPr>
    </w:p>
    <w:p>
      <w:pPr>
        <w:ind w:left="566" w:right="80"/>
        <w:spacing w:after="0" w:line="326" w:lineRule="auto"/>
        <w:rPr>
          <w:sz w:val="20"/>
          <w:szCs w:val="20"/>
          <w:color w:val="auto"/>
        </w:rPr>
      </w:pPr>
      <w:r>
        <w:rPr>
          <w:rFonts w:ascii="Arial" w:cs="Arial" w:eastAsia="Arial" w:hAnsi="Arial"/>
          <w:sz w:val="14"/>
          <w:szCs w:val="14"/>
          <w:color w:val="auto"/>
        </w:rPr>
        <w:t>On the other hand, those instruments that are accounted for at fair value through profit or loss and that are not intended for trading are included in the rate and price sensitivity analysis in the following section. See table of earnings sensitivity at risk, net economic value and price sensitivity.</w:t>
      </w:r>
    </w:p>
    <w:p>
      <w:pPr>
        <w:spacing w:after="0" w:line="88" w:lineRule="exact"/>
        <w:rPr>
          <w:sz w:val="20"/>
          <w:szCs w:val="20"/>
          <w:color w:val="auto"/>
        </w:rPr>
      </w:pPr>
    </w:p>
    <w:p>
      <w:pPr>
        <w:ind w:left="286" w:hanging="286"/>
        <w:spacing w:after="0"/>
        <w:tabs>
          <w:tab w:leader="none" w:pos="28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Banking Book –</w:t>
      </w:r>
    </w:p>
    <w:p>
      <w:pPr>
        <w:spacing w:after="0" w:line="166" w:lineRule="exact"/>
        <w:rPr>
          <w:rFonts w:ascii="Arial" w:cs="Arial" w:eastAsia="Arial" w:hAnsi="Arial"/>
          <w:sz w:val="16"/>
          <w:szCs w:val="16"/>
          <w:color w:val="auto"/>
        </w:rPr>
      </w:pPr>
    </w:p>
    <w:p>
      <w:pPr>
        <w:ind w:left="286" w:right="120"/>
        <w:spacing w:after="0" w:line="326" w:lineRule="auto"/>
        <w:rPr>
          <w:rFonts w:ascii="Arial" w:cs="Arial" w:eastAsia="Arial" w:hAnsi="Arial"/>
          <w:sz w:val="16"/>
          <w:szCs w:val="16"/>
          <w:color w:val="auto"/>
        </w:rPr>
      </w:pPr>
      <w:r>
        <w:rPr>
          <w:rFonts w:ascii="Arial" w:cs="Arial" w:eastAsia="Arial" w:hAnsi="Arial"/>
          <w:sz w:val="14"/>
          <w:szCs w:val="14"/>
          <w:color w:val="auto"/>
        </w:rPr>
        <w:t>The non-trading portfolios or, belonging to the banking book (“banking book”), are exposed to different risks, since they are sensitive to movements in market rates, which may result in a negative impact on the value of the assets. with respect to its liabilities, and therefore, in its net worth.</w:t>
      </w:r>
    </w:p>
    <w:p>
      <w:pPr>
        <w:spacing w:after="0" w:line="87" w:lineRule="exact"/>
        <w:rPr>
          <w:rFonts w:ascii="Arial" w:cs="Arial" w:eastAsia="Arial" w:hAnsi="Arial"/>
          <w:sz w:val="16"/>
          <w:szCs w:val="16"/>
          <w:color w:val="auto"/>
        </w:rPr>
      </w:pPr>
    </w:p>
    <w:p>
      <w:pPr>
        <w:ind w:left="766" w:hanging="206"/>
        <w:spacing w:after="0"/>
        <w:tabs>
          <w:tab w:leader="none" w:pos="766"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Interest rate risk -</w:t>
      </w:r>
    </w:p>
    <w:p>
      <w:pPr>
        <w:spacing w:after="0" w:line="166" w:lineRule="exact"/>
        <w:rPr>
          <w:sz w:val="20"/>
          <w:szCs w:val="20"/>
          <w:color w:val="auto"/>
        </w:rPr>
      </w:pPr>
    </w:p>
    <w:p>
      <w:pPr>
        <w:ind w:left="846" w:right="20"/>
        <w:spacing w:after="0" w:line="241" w:lineRule="auto"/>
        <w:rPr>
          <w:sz w:val="20"/>
          <w:szCs w:val="20"/>
          <w:color w:val="auto"/>
        </w:rPr>
      </w:pPr>
      <w:r>
        <w:rPr>
          <w:rFonts w:ascii="Arial" w:cs="Arial" w:eastAsia="Arial" w:hAnsi="Arial"/>
          <w:sz w:val="16"/>
          <w:szCs w:val="16"/>
          <w:color w:val="auto"/>
        </w:rPr>
        <w:t>The Banking Book-related interest rate risk arises from eventual changes in interest rates that may adversely affect the expected gains (risk gains) or market value of financial assets and liabilities reported on the balance sheet (net economic value). The Group assumes the exposure to the interest rate risk that may affect their fair value as well as the cash flow risk of future assets and liabilities.</w:t>
      </w:r>
    </w:p>
    <w:p>
      <w:pPr>
        <w:spacing w:after="0" w:line="293" w:lineRule="exact"/>
        <w:rPr>
          <w:sz w:val="20"/>
          <w:szCs w:val="20"/>
          <w:color w:val="auto"/>
        </w:rPr>
      </w:pPr>
    </w:p>
    <w:p>
      <w:pPr>
        <w:jc w:val="center"/>
        <w:ind w:right="494"/>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46"/>
          </w:cols>
          <w:pgMar w:left="874" w:top="124" w:right="379" w:bottom="1440" w:gutter="0" w:footer="0" w:header="0"/>
        </w:sectPr>
      </w:pPr>
    </w:p>
    <w:bookmarkStart w:id="147" w:name="page148"/>
    <w:bookmarkEnd w:id="147"/>
    <w:p>
      <w:pPr>
        <w:ind w:left="280" w:right="60"/>
        <w:spacing w:after="0" w:line="257" w:lineRule="auto"/>
        <w:rPr>
          <w:sz w:val="20"/>
          <w:szCs w:val="20"/>
          <w:color w:val="auto"/>
        </w:rPr>
      </w:pPr>
      <w:r>
        <w:rPr>
          <w:rFonts w:ascii="Arial" w:cs="Arial" w:eastAsia="Arial" w:hAnsi="Arial"/>
          <w:sz w:val="16"/>
          <w:szCs w:val="16"/>
          <w:color w:val="auto"/>
        </w:rPr>
        <w:t>The Risk Committee sets the guidelines regarding the level of unmatched repricing of interest rates that can be tolerated, which is periodically monitored through ALCO.</w:t>
      </w:r>
    </w:p>
    <w:p>
      <w:pPr>
        <w:spacing w:after="0" w:line="132" w:lineRule="exact"/>
        <w:rPr>
          <w:sz w:val="20"/>
          <w:szCs w:val="20"/>
          <w:color w:val="auto"/>
        </w:rPr>
      </w:pPr>
    </w:p>
    <w:p>
      <w:pPr>
        <w:ind w:left="280" w:right="80"/>
        <w:spacing w:after="0" w:line="255" w:lineRule="auto"/>
        <w:rPr>
          <w:sz w:val="20"/>
          <w:szCs w:val="20"/>
          <w:color w:val="auto"/>
        </w:rPr>
      </w:pPr>
      <w:r>
        <w:rPr>
          <w:rFonts w:ascii="Arial" w:cs="Arial" w:eastAsia="Arial" w:hAnsi="Arial"/>
          <w:sz w:val="16"/>
          <w:szCs w:val="16"/>
          <w:color w:val="auto"/>
        </w:rPr>
        <w:t>Corporate policies include guidelines for the management of the Group’s exposure to the interest rate risk. These guidelines are implemented considering the features of each segment of business in which the Group entities operate.</w:t>
      </w:r>
    </w:p>
    <w:p>
      <w:pPr>
        <w:spacing w:after="0" w:line="134" w:lineRule="exact"/>
        <w:rPr>
          <w:sz w:val="20"/>
          <w:szCs w:val="20"/>
          <w:color w:val="auto"/>
        </w:rPr>
      </w:pPr>
    </w:p>
    <w:p>
      <w:pPr>
        <w:ind w:left="280"/>
        <w:spacing w:after="0" w:line="234" w:lineRule="auto"/>
        <w:rPr>
          <w:sz w:val="20"/>
          <w:szCs w:val="20"/>
          <w:color w:val="auto"/>
        </w:rPr>
      </w:pPr>
      <w:r>
        <w:rPr>
          <w:rFonts w:ascii="Arial" w:cs="Arial" w:eastAsia="Arial" w:hAnsi="Arial"/>
          <w:sz w:val="16"/>
          <w:szCs w:val="16"/>
          <w:color w:val="auto"/>
        </w:rPr>
        <w:t>In this regard, Group companies that are exposed to the interest rate risk are those that have yields based on interest, such as credits, investments and technical reserves. Interest rate risk management in Banco de Crédito del Perú, Banco de Crédito de Bolivia, Mibanco - Banco de la Microempresa, Mibanco - Banco de la Microempresa de Colombia, ASB Bank Corp and Pacífico Seguros, is carried out by performing a repricing gap analysis, sensitivity analysis of the financial margin (GER) and sensitivity analysis of the net economic value (VEN). These calculations consider different rate shocks, which are generated through different scenario simulations and consider periods of high volatility.</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Repricing gap analysis (Repricing Gap)</w:t>
      </w:r>
    </w:p>
    <w:p>
      <w:pPr>
        <w:spacing w:after="0" w:line="166" w:lineRule="exact"/>
        <w:rPr>
          <w:sz w:val="20"/>
          <w:szCs w:val="20"/>
          <w:color w:val="auto"/>
        </w:rPr>
      </w:pPr>
    </w:p>
    <w:p>
      <w:pPr>
        <w:ind w:left="280" w:right="140"/>
        <w:spacing w:after="0" w:line="241" w:lineRule="auto"/>
        <w:rPr>
          <w:sz w:val="20"/>
          <w:szCs w:val="20"/>
          <w:color w:val="auto"/>
        </w:rPr>
      </w:pPr>
      <w:r>
        <w:rPr>
          <w:rFonts w:ascii="Arial" w:cs="Arial" w:eastAsia="Arial" w:hAnsi="Arial"/>
          <w:sz w:val="16"/>
          <w:szCs w:val="16"/>
          <w:color w:val="auto"/>
        </w:rPr>
        <w:t>The purpose of the repricing gap analysis is to measure the exposure to interest rate risk by repricing terms, grouping both on-balance sheet and off-balance sheet assets and liabilities. This makes it possible to identify those tranches in which rate variations would have a potential impact.</w:t>
      </w:r>
    </w:p>
    <w:p>
      <w:pPr>
        <w:spacing w:after="0" w:line="293"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36195</wp:posOffset>
            </wp:positionV>
            <wp:extent cx="7150735"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060"/>
          </w:cols>
          <w:pgMar w:left="1440" w:top="124" w:right="399" w:bottom="1440" w:gutter="0" w:footer="0" w:header="0"/>
        </w:sectPr>
      </w:pPr>
    </w:p>
    <w:bookmarkStart w:id="148" w:name="page149"/>
    <w:bookmarkEnd w:id="148"/>
    <w:p>
      <w:pPr>
        <w:ind w:left="6" w:right="140"/>
        <w:spacing w:after="0" w:line="257" w:lineRule="auto"/>
        <w:rPr>
          <w:sz w:val="20"/>
          <w:szCs w:val="20"/>
          <w:color w:val="auto"/>
        </w:rPr>
      </w:pPr>
      <w:r>
        <w:rPr>
          <w:rFonts w:ascii="Arial" w:cs="Arial" w:eastAsia="Arial" w:hAnsi="Arial"/>
          <w:sz w:val="16"/>
          <w:szCs w:val="16"/>
          <w:color w:val="auto"/>
        </w:rPr>
        <w:t>The table below summarizes the Group’s exposure to interest rate risks. It includes the Group’s financial instruments at carrying amounts, categorized by the earlier of contractual re-pricing or maturity dates, what occurs first:</w:t>
      </w:r>
    </w:p>
    <w:p>
      <w:pPr>
        <w:spacing w:after="0" w:line="139" w:lineRule="exact"/>
        <w:rPr>
          <w:sz w:val="20"/>
          <w:szCs w:val="20"/>
          <w:color w:val="auto"/>
        </w:rPr>
      </w:pPr>
    </w:p>
    <w:tbl>
      <w:tblPr>
        <w:tblLayout w:type="fixed"/>
        <w:tblInd w:w="2746" w:type="dxa"/>
        <w:tblCellMar>
          <w:top w:w="0" w:type="dxa"/>
          <w:left w:w="0" w:type="dxa"/>
          <w:bottom w:w="0" w:type="dxa"/>
          <w:right w:w="0" w:type="dxa"/>
        </w:tblCellMar>
      </w:tblPr>
      <w:tr>
        <w:trPr>
          <w:trHeight w:val="160"/>
        </w:trPr>
        <w:tc>
          <w:tcPr>
            <w:tcW w:w="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24"/>
        </w:trPr>
        <w:tc>
          <w:tcPr>
            <w:tcW w:w="780" w:type="dxa"/>
            <w:vAlign w:val="bottom"/>
          </w:tcPr>
          <w:p>
            <w:pPr>
              <w:spacing w:after="0" w:line="124" w:lineRule="exact"/>
              <w:rPr>
                <w:sz w:val="20"/>
                <w:szCs w:val="20"/>
                <w:color w:val="auto"/>
              </w:rPr>
            </w:pPr>
            <w:r>
              <w:rPr>
                <w:rFonts w:ascii="Arial" w:cs="Arial" w:eastAsia="Arial" w:hAnsi="Arial"/>
                <w:sz w:val="12"/>
                <w:szCs w:val="12"/>
                <w:b w:val="1"/>
                <w:bCs w:val="1"/>
                <w:color w:val="auto"/>
              </w:rPr>
              <w:t>Up to 1</w:t>
            </w:r>
          </w:p>
        </w:tc>
        <w:tc>
          <w:tcPr>
            <w:tcW w:w="900" w:type="dxa"/>
            <w:vAlign w:val="bottom"/>
            <w:gridSpan w:val="2"/>
          </w:tcPr>
          <w:p>
            <w:pPr>
              <w:ind w:left="120"/>
              <w:spacing w:after="0" w:line="124" w:lineRule="exact"/>
              <w:rPr>
                <w:sz w:val="20"/>
                <w:szCs w:val="20"/>
                <w:color w:val="auto"/>
              </w:rPr>
            </w:pPr>
            <w:r>
              <w:rPr>
                <w:rFonts w:ascii="Arial" w:cs="Arial" w:eastAsia="Arial" w:hAnsi="Arial"/>
                <w:sz w:val="12"/>
                <w:szCs w:val="12"/>
                <w:b w:val="1"/>
                <w:bCs w:val="1"/>
                <w:color w:val="auto"/>
              </w:rPr>
              <w:t>1 to 3</w:t>
            </w:r>
          </w:p>
        </w:tc>
        <w:tc>
          <w:tcPr>
            <w:tcW w:w="940" w:type="dxa"/>
            <w:vAlign w:val="bottom"/>
            <w:gridSpan w:val="2"/>
          </w:tcPr>
          <w:p>
            <w:pPr>
              <w:ind w:left="120"/>
              <w:spacing w:after="0" w:line="124" w:lineRule="exact"/>
              <w:rPr>
                <w:sz w:val="20"/>
                <w:szCs w:val="20"/>
                <w:color w:val="auto"/>
              </w:rPr>
            </w:pPr>
            <w:r>
              <w:rPr>
                <w:rFonts w:ascii="Arial" w:cs="Arial" w:eastAsia="Arial" w:hAnsi="Arial"/>
                <w:sz w:val="12"/>
                <w:szCs w:val="12"/>
                <w:b w:val="1"/>
                <w:bCs w:val="1"/>
                <w:color w:val="auto"/>
              </w:rPr>
              <w:t>3 to 12</w:t>
            </w:r>
          </w:p>
        </w:tc>
        <w:tc>
          <w:tcPr>
            <w:tcW w:w="8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1 to 5</w:t>
            </w:r>
          </w:p>
        </w:tc>
        <w:tc>
          <w:tcPr>
            <w:tcW w:w="1080" w:type="dxa"/>
            <w:vAlign w:val="bottom"/>
            <w:gridSpan w:val="3"/>
          </w:tcPr>
          <w:p>
            <w:pPr>
              <w:ind w:left="140"/>
              <w:spacing w:after="0" w:line="124" w:lineRule="exact"/>
              <w:rPr>
                <w:sz w:val="20"/>
                <w:szCs w:val="20"/>
                <w:color w:val="auto"/>
              </w:rPr>
            </w:pPr>
            <w:r>
              <w:rPr>
                <w:rFonts w:ascii="Arial" w:cs="Arial" w:eastAsia="Arial" w:hAnsi="Arial"/>
                <w:sz w:val="12"/>
                <w:szCs w:val="12"/>
                <w:b w:val="1"/>
                <w:bCs w:val="1"/>
                <w:color w:val="auto"/>
              </w:rPr>
              <w:t>More than</w:t>
            </w: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Non-interest</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0"/>
        </w:trPr>
        <w:tc>
          <w:tcPr>
            <w:tcW w:w="780" w:type="dxa"/>
            <w:vAlign w:val="bottom"/>
          </w:tcPr>
          <w:p>
            <w:pPr>
              <w:spacing w:after="0"/>
              <w:rPr>
                <w:sz w:val="20"/>
                <w:szCs w:val="20"/>
                <w:color w:val="auto"/>
              </w:rPr>
            </w:pPr>
            <w:r>
              <w:rPr>
                <w:rFonts w:ascii="Arial" w:cs="Arial" w:eastAsia="Arial" w:hAnsi="Arial"/>
                <w:sz w:val="12"/>
                <w:szCs w:val="12"/>
                <w:b w:val="1"/>
                <w:bCs w:val="1"/>
                <w:color w:val="auto"/>
              </w:rPr>
              <w:t>month</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months</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months</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years</w:t>
            </w:r>
          </w:p>
        </w:tc>
        <w:tc>
          <w:tcPr>
            <w:tcW w:w="1080" w:type="dxa"/>
            <w:vAlign w:val="bottom"/>
            <w:gridSpan w:val="3"/>
          </w:tcPr>
          <w:p>
            <w:pPr>
              <w:ind w:left="140"/>
              <w:spacing w:after="0"/>
              <w:rPr>
                <w:sz w:val="20"/>
                <w:szCs w:val="20"/>
                <w:color w:val="auto"/>
              </w:rPr>
            </w:pPr>
            <w:r>
              <w:rPr>
                <w:rFonts w:ascii="Arial" w:cs="Arial" w:eastAsia="Arial" w:hAnsi="Arial"/>
                <w:sz w:val="12"/>
                <w:szCs w:val="12"/>
                <w:b w:val="1"/>
                <w:bCs w:val="1"/>
                <w:color w:val="auto"/>
              </w:rPr>
              <w:t>5 years</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bearing</w:t>
            </w:r>
          </w:p>
        </w:tc>
        <w:tc>
          <w:tcPr>
            <w:tcW w:w="8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3"/>
                <w:szCs w:val="13"/>
                <w:color w:val="auto"/>
              </w:rPr>
            </w:pPr>
          </w:p>
        </w:tc>
      </w:tr>
      <w:tr>
        <w:trPr>
          <w:trHeight w:val="136"/>
        </w:trPr>
        <w:tc>
          <w:tcPr>
            <w:tcW w:w="78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1"/>
                <w:szCs w:val="11"/>
                <w:color w:val="auto"/>
              </w:rPr>
            </w:pPr>
          </w:p>
        </w:tc>
      </w:tr>
    </w:tbl>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28"/>
        </w:trPr>
        <w:tc>
          <w:tcPr>
            <w:tcW w:w="2740" w:type="dxa"/>
            <w:vAlign w:val="bottom"/>
          </w:tcPr>
          <w:p>
            <w:pPr>
              <w:spacing w:after="0" w:line="128" w:lineRule="exact"/>
              <w:rPr>
                <w:sz w:val="20"/>
                <w:szCs w:val="20"/>
                <w:color w:val="auto"/>
              </w:rPr>
            </w:pPr>
            <w:r>
              <w:rPr>
                <w:rFonts w:ascii="Arial" w:cs="Arial" w:eastAsia="Arial" w:hAnsi="Arial"/>
                <w:sz w:val="12"/>
                <w:szCs w:val="12"/>
                <w:b w:val="1"/>
                <w:bCs w:val="1"/>
                <w:color w:val="auto"/>
              </w:rPr>
              <w:t>Assets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Cash and cash collateral, reverse repurchase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agreements and securities borrowing</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35,573,543</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1,085,329</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1,609,783</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2,012,826</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2,342,288</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6,064,604</w:t>
            </w:r>
          </w:p>
        </w:tc>
        <w:tc>
          <w:tcPr>
            <w:tcW w:w="820" w:type="dxa"/>
            <w:vAlign w:val="bottom"/>
          </w:tcPr>
          <w:p>
            <w:pPr>
              <w:jc w:val="right"/>
              <w:spacing w:after="0"/>
              <w:rPr>
                <w:sz w:val="20"/>
                <w:szCs w:val="20"/>
                <w:color w:val="auto"/>
              </w:rPr>
            </w:pPr>
            <w:r>
              <w:rPr>
                <w:rFonts w:ascii="Arial" w:cs="Arial" w:eastAsia="Arial" w:hAnsi="Arial"/>
                <w:sz w:val="12"/>
                <w:szCs w:val="12"/>
                <w:color w:val="auto"/>
              </w:rPr>
              <w:t>48,688,373</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Investments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1,548,776</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3,604,634</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10,192,970</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12,690,421</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20,926,450</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147,264</w:t>
            </w:r>
          </w:p>
        </w:tc>
        <w:tc>
          <w:tcPr>
            <w:tcW w:w="820" w:type="dxa"/>
            <w:vAlign w:val="bottom"/>
          </w:tcPr>
          <w:p>
            <w:pPr>
              <w:jc w:val="right"/>
              <w:spacing w:after="0"/>
              <w:rPr>
                <w:sz w:val="20"/>
                <w:szCs w:val="20"/>
                <w:color w:val="auto"/>
              </w:rPr>
            </w:pPr>
            <w:r>
              <w:rPr>
                <w:rFonts w:ascii="Arial" w:cs="Arial" w:eastAsia="Arial" w:hAnsi="Arial"/>
                <w:sz w:val="12"/>
                <w:szCs w:val="12"/>
                <w:color w:val="auto"/>
              </w:rPr>
              <w:t>49,110,515</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Loans, net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19,023,450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17,337,262</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40,333,482</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46,077,476</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16,239,454</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(1,273,828)</w:t>
            </w:r>
          </w:p>
        </w:tc>
        <w:tc>
          <w:tcPr>
            <w:tcW w:w="820" w:type="dxa"/>
            <w:vAlign w:val="bottom"/>
          </w:tcPr>
          <w:p>
            <w:pPr>
              <w:jc w:val="right"/>
              <w:spacing w:after="0"/>
              <w:rPr>
                <w:sz w:val="20"/>
                <w:szCs w:val="20"/>
                <w:color w:val="auto"/>
              </w:rPr>
            </w:pPr>
            <w:r>
              <w:rPr>
                <w:rFonts w:ascii="Arial" w:cs="Arial" w:eastAsia="Arial" w:hAnsi="Arial"/>
                <w:sz w:val="12"/>
                <w:szCs w:val="12"/>
                <w:color w:val="auto"/>
              </w:rPr>
              <w:t>137,737,296</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Financial assets designated at fair value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through or loss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932,734</w:t>
            </w:r>
          </w:p>
        </w:tc>
        <w:tc>
          <w:tcPr>
            <w:tcW w:w="820" w:type="dxa"/>
            <w:vAlign w:val="bottom"/>
          </w:tcPr>
          <w:p>
            <w:pPr>
              <w:jc w:val="right"/>
              <w:spacing w:after="0"/>
              <w:rPr>
                <w:sz w:val="20"/>
                <w:szCs w:val="20"/>
                <w:color w:val="auto"/>
              </w:rPr>
            </w:pPr>
            <w:r>
              <w:rPr>
                <w:rFonts w:ascii="Arial" w:cs="Arial" w:eastAsia="Arial" w:hAnsi="Arial"/>
                <w:sz w:val="12"/>
                <w:szCs w:val="12"/>
                <w:color w:val="auto"/>
              </w:rPr>
              <w:t>932,734</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Reinsurance contract assets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841,170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841,170</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Other assets (*)</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110,454</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74,073</w:t>
            </w:r>
          </w:p>
        </w:tc>
        <w:tc>
          <w:tcPr>
            <w:tcW w:w="800" w:type="dxa"/>
            <w:vAlign w:val="bottom"/>
          </w:tcPr>
          <w:p>
            <w:pPr>
              <w:jc w:val="right"/>
              <w:spacing w:after="0"/>
              <w:rPr>
                <w:sz w:val="20"/>
                <w:szCs w:val="20"/>
                <w:color w:val="auto"/>
              </w:rPr>
            </w:pPr>
            <w:r>
              <w:rPr>
                <w:rFonts w:ascii="Arial" w:cs="Arial" w:eastAsia="Arial" w:hAnsi="Arial"/>
                <w:sz w:val="12"/>
                <w:szCs w:val="12"/>
                <w:color w:val="auto"/>
              </w:rPr>
              <w:t>3,675,254</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3,859,781</w:t>
            </w:r>
          </w:p>
        </w:tc>
        <w:tc>
          <w:tcPr>
            <w:tcW w:w="0" w:type="dxa"/>
            <w:vAlign w:val="bottom"/>
          </w:tcPr>
          <w:p>
            <w:pPr>
              <w:spacing w:after="0"/>
              <w:rPr>
                <w:sz w:val="1"/>
                <w:szCs w:val="1"/>
                <w:color w:val="auto"/>
              </w:rPr>
            </w:pPr>
          </w:p>
        </w:tc>
      </w:tr>
      <w:tr>
        <w:trPr>
          <w:trHeight w:val="132"/>
        </w:trPr>
        <w:tc>
          <w:tcPr>
            <w:tcW w:w="2740" w:type="dxa"/>
            <w:vAlign w:val="bottom"/>
          </w:tcPr>
          <w:p>
            <w:pPr>
              <w:spacing w:after="0" w:line="132" w:lineRule="exact"/>
              <w:rPr>
                <w:sz w:val="20"/>
                <w:szCs w:val="20"/>
                <w:color w:val="auto"/>
              </w:rPr>
            </w:pPr>
            <w:r>
              <w:rPr>
                <w:rFonts w:ascii="Arial" w:cs="Arial" w:eastAsia="Arial" w:hAnsi="Arial"/>
                <w:sz w:val="12"/>
                <w:szCs w:val="12"/>
                <w:b w:val="1"/>
                <w:bCs w:val="1"/>
                <w:color w:val="auto"/>
              </w:rPr>
              <w:t>Total assets</w:t>
            </w: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57,097,393</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22,027,225</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52,136,235</w:t>
            </w:r>
          </w:p>
        </w:tc>
        <w:tc>
          <w:tcPr>
            <w:tcW w:w="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60,780,723</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39,582,265</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9,546,028</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241,169,869</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Deposits and obligations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30,965,685</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20,248,915</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35,585,502</w:t>
            </w:r>
          </w:p>
        </w:tc>
        <w:tc>
          <w:tcPr>
            <w:tcW w:w="800" w:type="dxa"/>
            <w:vAlign w:val="bottom"/>
          </w:tcPr>
          <w:p>
            <w:pPr>
              <w:jc w:val="right"/>
              <w:spacing w:after="0"/>
              <w:rPr>
                <w:sz w:val="20"/>
                <w:szCs w:val="20"/>
                <w:color w:val="auto"/>
              </w:rPr>
            </w:pPr>
            <w:r>
              <w:rPr>
                <w:rFonts w:ascii="Arial" w:cs="Arial" w:eastAsia="Arial" w:hAnsi="Arial"/>
                <w:sz w:val="12"/>
                <w:szCs w:val="12"/>
                <w:color w:val="auto"/>
              </w:rPr>
              <w:t>47,713,442</w:t>
            </w:r>
          </w:p>
        </w:tc>
        <w:tc>
          <w:tcPr>
            <w:tcW w:w="14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26,875,898</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452,624</w:t>
            </w:r>
          </w:p>
        </w:tc>
        <w:tc>
          <w:tcPr>
            <w:tcW w:w="820" w:type="dxa"/>
            <w:vAlign w:val="bottom"/>
          </w:tcPr>
          <w:p>
            <w:pPr>
              <w:jc w:val="right"/>
              <w:spacing w:after="0"/>
              <w:rPr>
                <w:sz w:val="20"/>
                <w:szCs w:val="20"/>
                <w:color w:val="auto"/>
              </w:rPr>
            </w:pPr>
            <w:r>
              <w:rPr>
                <w:rFonts w:ascii="Arial" w:cs="Arial" w:eastAsia="Arial" w:hAnsi="Arial"/>
                <w:sz w:val="12"/>
                <w:szCs w:val="12"/>
                <w:color w:val="auto"/>
              </w:rPr>
              <w:t>161,842,066</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Payables from repurchase agreements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and securities lending</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3,371,128</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6,893,979</w:t>
            </w:r>
          </w:p>
        </w:tc>
        <w:tc>
          <w:tcPr>
            <w:tcW w:w="820" w:type="dxa"/>
            <w:vAlign w:val="bottom"/>
          </w:tcPr>
          <w:p>
            <w:pPr>
              <w:jc w:val="right"/>
              <w:spacing w:after="0"/>
              <w:rPr>
                <w:sz w:val="20"/>
                <w:szCs w:val="20"/>
                <w:color w:val="auto"/>
              </w:rPr>
            </w:pPr>
            <w:r>
              <w:rPr>
                <w:rFonts w:ascii="Arial" w:cs="Arial" w:eastAsia="Arial" w:hAnsi="Arial"/>
                <w:sz w:val="12"/>
                <w:szCs w:val="12"/>
                <w:color w:val="auto"/>
              </w:rPr>
              <w:t>4,410,854</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1,749,262</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3,074,502</w:t>
            </w: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315,370</w:t>
            </w:r>
          </w:p>
        </w:tc>
        <w:tc>
          <w:tcPr>
            <w:tcW w:w="820" w:type="dxa"/>
            <w:vAlign w:val="bottom"/>
          </w:tcPr>
          <w:p>
            <w:pPr>
              <w:jc w:val="right"/>
              <w:spacing w:after="0"/>
              <w:rPr>
                <w:sz w:val="20"/>
                <w:szCs w:val="20"/>
                <w:color w:val="auto"/>
              </w:rPr>
            </w:pPr>
            <w:r>
              <w:rPr>
                <w:rFonts w:ascii="Arial" w:cs="Arial" w:eastAsia="Arial" w:hAnsi="Arial"/>
                <w:sz w:val="12"/>
                <w:szCs w:val="12"/>
                <w:color w:val="auto"/>
              </w:rPr>
              <w:t>19,815,095</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Insurance contract liability</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121,965</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189,997</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582,662</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2,149,411</w:t>
            </w:r>
          </w:p>
        </w:tc>
        <w:tc>
          <w:tcPr>
            <w:tcW w:w="820" w:type="dxa"/>
            <w:vAlign w:val="bottom"/>
          </w:tcPr>
          <w:p>
            <w:pPr>
              <w:jc w:val="right"/>
              <w:spacing w:after="0"/>
              <w:rPr>
                <w:sz w:val="20"/>
                <w:szCs w:val="20"/>
                <w:color w:val="auto"/>
              </w:rPr>
            </w:pPr>
            <w:r>
              <w:rPr>
                <w:rFonts w:ascii="Arial" w:cs="Arial" w:eastAsia="Arial" w:hAnsi="Arial"/>
                <w:sz w:val="12"/>
                <w:szCs w:val="12"/>
                <w:color w:val="auto"/>
              </w:rPr>
              <w:t>7,271,617</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3,106,633</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13,422,285</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Financial liabilities at fair value through profit or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loss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151,485</w:t>
            </w:r>
          </w:p>
        </w:tc>
        <w:tc>
          <w:tcPr>
            <w:tcW w:w="820" w:type="dxa"/>
            <w:vAlign w:val="bottom"/>
          </w:tcPr>
          <w:p>
            <w:pPr>
              <w:jc w:val="right"/>
              <w:spacing w:after="0"/>
              <w:rPr>
                <w:sz w:val="20"/>
                <w:szCs w:val="20"/>
                <w:color w:val="auto"/>
              </w:rPr>
            </w:pPr>
            <w:r>
              <w:rPr>
                <w:rFonts w:ascii="Arial" w:cs="Arial" w:eastAsia="Arial" w:hAnsi="Arial"/>
                <w:sz w:val="12"/>
                <w:szCs w:val="12"/>
                <w:color w:val="auto"/>
              </w:rPr>
              <w:t>151,485</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Bonds and Notes issued</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2,913,005</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2,108,291</w:t>
            </w:r>
          </w:p>
        </w:tc>
        <w:tc>
          <w:tcPr>
            <w:tcW w:w="820" w:type="dxa"/>
            <w:vAlign w:val="bottom"/>
          </w:tcPr>
          <w:p>
            <w:pPr>
              <w:jc w:val="right"/>
              <w:spacing w:after="0"/>
              <w:rPr>
                <w:sz w:val="20"/>
                <w:szCs w:val="20"/>
                <w:color w:val="auto"/>
              </w:rPr>
            </w:pPr>
            <w:r>
              <w:rPr>
                <w:rFonts w:ascii="Arial" w:cs="Arial" w:eastAsia="Arial" w:hAnsi="Arial"/>
                <w:sz w:val="12"/>
                <w:szCs w:val="12"/>
                <w:color w:val="auto"/>
              </w:rPr>
              <w:t>3,977,975</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5,284,838</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2,787,909</w:t>
            </w: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196,425</w:t>
            </w:r>
          </w:p>
        </w:tc>
        <w:tc>
          <w:tcPr>
            <w:tcW w:w="820" w:type="dxa"/>
            <w:vAlign w:val="bottom"/>
          </w:tcPr>
          <w:p>
            <w:pPr>
              <w:jc w:val="right"/>
              <w:spacing w:after="0"/>
              <w:rPr>
                <w:sz w:val="20"/>
                <w:szCs w:val="20"/>
                <w:color w:val="auto"/>
              </w:rPr>
            </w:pPr>
            <w:r>
              <w:rPr>
                <w:rFonts w:ascii="Arial" w:cs="Arial" w:eastAsia="Arial" w:hAnsi="Arial"/>
                <w:sz w:val="12"/>
                <w:szCs w:val="12"/>
                <w:color w:val="auto"/>
              </w:rPr>
              <w:t>17,268,443</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Other liabilities (**)</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442,572</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w:t>
            </w:r>
          </w:p>
        </w:tc>
        <w:tc>
          <w:tcPr>
            <w:tcW w:w="14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101,587</w:t>
            </w:r>
          </w:p>
        </w:tc>
        <w:tc>
          <w:tcPr>
            <w:tcW w:w="800" w:type="dxa"/>
            <w:vAlign w:val="bottom"/>
          </w:tcPr>
          <w:p>
            <w:pPr>
              <w:jc w:val="right"/>
              <w:spacing w:after="0"/>
              <w:rPr>
                <w:sz w:val="20"/>
                <w:szCs w:val="20"/>
                <w:color w:val="auto"/>
              </w:rPr>
            </w:pPr>
            <w:r>
              <w:rPr>
                <w:rFonts w:ascii="Arial" w:cs="Arial" w:eastAsia="Arial" w:hAnsi="Arial"/>
                <w:sz w:val="12"/>
                <w:szCs w:val="12"/>
                <w:color w:val="auto"/>
              </w:rPr>
              <w:t>5,220,609</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5,764,772</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Equity</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34,977,234</w:t>
            </w:r>
          </w:p>
        </w:tc>
        <w:tc>
          <w:tcPr>
            <w:tcW w:w="820" w:type="dxa"/>
            <w:vAlign w:val="bottom"/>
          </w:tcPr>
          <w:p>
            <w:pPr>
              <w:jc w:val="right"/>
              <w:spacing w:after="0"/>
              <w:rPr>
                <w:sz w:val="20"/>
                <w:szCs w:val="20"/>
                <w:color w:val="auto"/>
              </w:rPr>
            </w:pPr>
            <w:r>
              <w:rPr>
                <w:rFonts w:ascii="Arial" w:cs="Arial" w:eastAsia="Arial" w:hAnsi="Arial"/>
                <w:sz w:val="12"/>
                <w:szCs w:val="12"/>
                <w:color w:val="auto"/>
              </w:rPr>
              <w:t>34,977,234</w:t>
            </w:r>
          </w:p>
        </w:tc>
        <w:tc>
          <w:tcPr>
            <w:tcW w:w="0" w:type="dxa"/>
            <w:vAlign w:val="bottom"/>
          </w:tcPr>
          <w:p>
            <w:pPr>
              <w:spacing w:after="0"/>
              <w:rPr>
                <w:sz w:val="1"/>
                <w:szCs w:val="1"/>
                <w:color w:val="auto"/>
              </w:rPr>
            </w:pPr>
          </w:p>
        </w:tc>
      </w:tr>
      <w:tr>
        <w:trPr>
          <w:trHeight w:val="132"/>
        </w:trPr>
        <w:tc>
          <w:tcPr>
            <w:tcW w:w="2740" w:type="dxa"/>
            <w:vAlign w:val="bottom"/>
          </w:tcPr>
          <w:p>
            <w:pPr>
              <w:spacing w:after="0" w:line="132" w:lineRule="exact"/>
              <w:rPr>
                <w:sz w:val="20"/>
                <w:szCs w:val="20"/>
                <w:color w:val="auto"/>
              </w:rPr>
            </w:pPr>
            <w:r>
              <w:rPr>
                <w:rFonts w:ascii="Arial" w:cs="Arial" w:eastAsia="Arial" w:hAnsi="Arial"/>
                <w:sz w:val="12"/>
                <w:szCs w:val="12"/>
                <w:b w:val="1"/>
                <w:bCs w:val="1"/>
                <w:color w:val="auto"/>
              </w:rPr>
              <w:t>Total liabilities and equity</w:t>
            </w: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37,814,355</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29,441,182</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44,556,993</w:t>
            </w:r>
          </w:p>
        </w:tc>
        <w:tc>
          <w:tcPr>
            <w:tcW w:w="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56,896,957</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40,111,513</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44,420,380</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253,241,380</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0"/>
                <w:szCs w:val="20"/>
                <w:color w:val="auto"/>
              </w:rPr>
            </w:pPr>
            <w:r>
              <w:rPr>
                <w:rFonts w:ascii="Arial" w:cs="Arial" w:eastAsia="Arial" w:hAnsi="Arial"/>
                <w:sz w:val="12"/>
                <w:szCs w:val="12"/>
                <w:b w:val="1"/>
                <w:bCs w:val="1"/>
                <w:color w:val="auto"/>
              </w:rPr>
              <w:t>Off-balance-sheet accounts</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Derivative financial assets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865,949</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508,140</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592,591</w:t>
            </w:r>
          </w:p>
        </w:tc>
        <w:tc>
          <w:tcPr>
            <w:tcW w:w="800" w:type="dxa"/>
            <w:vAlign w:val="bottom"/>
          </w:tcPr>
          <w:p>
            <w:pPr>
              <w:jc w:val="right"/>
              <w:spacing w:after="0"/>
              <w:rPr>
                <w:sz w:val="20"/>
                <w:szCs w:val="20"/>
                <w:color w:val="auto"/>
              </w:rPr>
            </w:pPr>
            <w:r>
              <w:rPr>
                <w:rFonts w:ascii="Arial" w:cs="Arial" w:eastAsia="Arial" w:hAnsi="Arial"/>
                <w:sz w:val="12"/>
                <w:szCs w:val="12"/>
                <w:color w:val="auto"/>
              </w:rPr>
              <w:t>564,599</w:t>
            </w:r>
          </w:p>
        </w:tc>
        <w:tc>
          <w:tcPr>
            <w:tcW w:w="14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2,531,279</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Derivative financial liabilities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1,382,049</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112,920</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354,289</w:t>
            </w:r>
          </w:p>
        </w:tc>
        <w:tc>
          <w:tcPr>
            <w:tcW w:w="800" w:type="dxa"/>
            <w:vAlign w:val="bottom"/>
          </w:tcPr>
          <w:p>
            <w:pPr>
              <w:jc w:val="right"/>
              <w:spacing w:after="0"/>
              <w:rPr>
                <w:sz w:val="20"/>
                <w:szCs w:val="20"/>
                <w:color w:val="auto"/>
              </w:rPr>
            </w:pPr>
            <w:r>
              <w:rPr>
                <w:rFonts w:ascii="Arial" w:cs="Arial" w:eastAsia="Arial" w:hAnsi="Arial"/>
                <w:sz w:val="12"/>
                <w:szCs w:val="12"/>
                <w:color w:val="auto"/>
              </w:rPr>
              <w:t>658,699</w:t>
            </w:r>
          </w:p>
        </w:tc>
        <w:tc>
          <w:tcPr>
            <w:tcW w:w="1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2,507,957</w:t>
            </w:r>
          </w:p>
        </w:tc>
        <w:tc>
          <w:tcPr>
            <w:tcW w:w="0" w:type="dxa"/>
            <w:vAlign w:val="bottom"/>
          </w:tcPr>
          <w:p>
            <w:pPr>
              <w:spacing w:after="0"/>
              <w:rPr>
                <w:sz w:val="1"/>
                <w:szCs w:val="1"/>
                <w:color w:val="auto"/>
              </w:rPr>
            </w:pPr>
          </w:p>
        </w:tc>
      </w:tr>
      <w:tr>
        <w:trPr>
          <w:trHeight w:val="132"/>
        </w:trPr>
        <w:tc>
          <w:tcPr>
            <w:tcW w:w="2740" w:type="dxa"/>
            <w:vAlign w:val="bottom"/>
            <w:vMerge w:val="restart"/>
          </w:tcPr>
          <w:p>
            <w:pPr>
              <w:spacing w:after="0"/>
              <w:rPr>
                <w:sz w:val="20"/>
                <w:szCs w:val="20"/>
                <w:color w:val="auto"/>
              </w:rPr>
            </w:pPr>
            <w:r>
              <w:rPr>
                <w:rFonts w:ascii="Arial" w:cs="Arial" w:eastAsia="Arial" w:hAnsi="Arial"/>
                <w:sz w:val="12"/>
                <w:szCs w:val="12"/>
                <w:b w:val="1"/>
                <w:bCs w:val="1"/>
                <w:color w:val="auto"/>
              </w:rPr>
              <w:t>Marginal gap</w:t>
            </w: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(516,100)</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395,220</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238,302</w:t>
            </w:r>
          </w:p>
        </w:tc>
        <w:tc>
          <w:tcPr>
            <w:tcW w:w="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(94,100)</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23,322</w:t>
            </w:r>
          </w:p>
        </w:tc>
        <w:tc>
          <w:tcPr>
            <w:tcW w:w="0" w:type="dxa"/>
            <w:vAlign w:val="bottom"/>
          </w:tcPr>
          <w:p>
            <w:pPr>
              <w:spacing w:after="0"/>
              <w:rPr>
                <w:sz w:val="1"/>
                <w:szCs w:val="1"/>
                <w:color w:val="auto"/>
              </w:rPr>
            </w:pPr>
          </w:p>
        </w:tc>
      </w:tr>
      <w:tr>
        <w:trPr>
          <w:trHeight w:val="132"/>
        </w:trPr>
        <w:tc>
          <w:tcPr>
            <w:tcW w:w="2740" w:type="dxa"/>
            <w:vAlign w:val="bottom"/>
            <w:vMerge w:val="continue"/>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18,766,938</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(7,018,737)</w:t>
            </w:r>
          </w:p>
        </w:tc>
        <w:tc>
          <w:tcPr>
            <w:tcW w:w="12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7,817,544</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3,789,666</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(529,248)</w:t>
            </w: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(34,874,352)</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(12,048,189)</w:t>
            </w:r>
          </w:p>
        </w:tc>
        <w:tc>
          <w:tcPr>
            <w:tcW w:w="0" w:type="dxa"/>
            <w:vAlign w:val="bottom"/>
          </w:tcPr>
          <w:p>
            <w:pPr>
              <w:spacing w:after="0"/>
              <w:rPr>
                <w:sz w:val="1"/>
                <w:szCs w:val="1"/>
                <w:color w:val="auto"/>
              </w:rPr>
            </w:pPr>
          </w:p>
        </w:tc>
      </w:tr>
      <w:tr>
        <w:trPr>
          <w:trHeight w:val="135"/>
        </w:trPr>
        <w:tc>
          <w:tcPr>
            <w:tcW w:w="2740" w:type="dxa"/>
            <w:vAlign w:val="bottom"/>
          </w:tcPr>
          <w:p>
            <w:pPr>
              <w:spacing w:after="0" w:line="132" w:lineRule="exact"/>
              <w:rPr>
                <w:sz w:val="20"/>
                <w:szCs w:val="20"/>
                <w:color w:val="auto"/>
              </w:rPr>
            </w:pPr>
            <w:r>
              <w:rPr>
                <w:rFonts w:ascii="Arial" w:cs="Arial" w:eastAsia="Arial" w:hAnsi="Arial"/>
                <w:sz w:val="12"/>
                <w:szCs w:val="12"/>
                <w:color w:val="auto"/>
              </w:rPr>
              <w:t>Accumulated gap</w:t>
            </w:r>
          </w:p>
        </w:tc>
        <w:tc>
          <w:tcPr>
            <w:tcW w:w="7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18,766,938</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11,748,201</w:t>
            </w:r>
          </w:p>
        </w:tc>
        <w:tc>
          <w:tcPr>
            <w:tcW w:w="12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19,565,745</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23,355,411</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22,826,163</w:t>
            </w: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(12,048,189)</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6" w:right="1480" w:hanging="6"/>
        <w:spacing w:after="0" w:line="326" w:lineRule="auto"/>
        <w:tabs>
          <w:tab w:leader="none" w:pos="257" w:val="left"/>
        </w:tabs>
        <w:numPr>
          <w:ilvl w:val="0"/>
          <w:numId w:val="177"/>
        </w:numPr>
        <w:rPr>
          <w:rFonts w:ascii="Arial" w:cs="Arial" w:eastAsia="Arial" w:hAnsi="Arial"/>
          <w:sz w:val="14"/>
          <w:szCs w:val="14"/>
          <w:color w:val="auto"/>
        </w:rPr>
      </w:pPr>
      <w:r>
        <w:rPr>
          <w:rFonts w:ascii="Arial" w:cs="Arial" w:eastAsia="Arial" w:hAnsi="Arial"/>
          <w:sz w:val="14"/>
          <w:szCs w:val="14"/>
          <w:color w:val="auto"/>
        </w:rPr>
        <w:t>Made up of financial assets and bank acceptances without considering accounts receivable for trading derivatives. (**) Made up of financial liabilities and bank acceptances without considering accounts payable for trading derivatives.</w:t>
      </w:r>
    </w:p>
    <w:p>
      <w:pPr>
        <w:spacing w:after="0" w:line="88" w:lineRule="exact"/>
        <w:rPr>
          <w:sz w:val="20"/>
          <w:szCs w:val="20"/>
          <w:color w:val="auto"/>
        </w:rPr>
      </w:pPr>
    </w:p>
    <w:p>
      <w:pPr>
        <w:ind w:left="6"/>
        <w:spacing w:after="0" w:line="255" w:lineRule="auto"/>
        <w:rPr>
          <w:sz w:val="20"/>
          <w:szCs w:val="20"/>
          <w:color w:val="auto"/>
        </w:rPr>
      </w:pPr>
      <w:r>
        <w:rPr>
          <w:rFonts w:ascii="Arial" w:cs="Arial" w:eastAsia="Arial" w:hAnsi="Arial"/>
          <w:sz w:val="16"/>
          <w:szCs w:val="16"/>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281" w:lineRule="exact"/>
        <w:rPr>
          <w:sz w:val="20"/>
          <w:szCs w:val="20"/>
          <w:color w:val="auto"/>
        </w:rPr>
      </w:pPr>
    </w:p>
    <w:p>
      <w:pPr>
        <w:ind w:left="4366"/>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9586"/>
          </w:cols>
          <w:pgMar w:left="1434" w:top="124" w:right="879" w:bottom="1440" w:gutter="0" w:footer="0" w:header="0"/>
        </w:sectPr>
      </w:pPr>
    </w:p>
    <w:bookmarkStart w:id="149" w:name="page150"/>
    <w:bookmarkEnd w:id="149"/>
    <w:tbl>
      <w:tblPr>
        <w:tblLayout w:type="fixed"/>
        <w:tblInd w:w="2746" w:type="dxa"/>
        <w:tblCellMar>
          <w:top w:w="0" w:type="dxa"/>
          <w:left w:w="0" w:type="dxa"/>
          <w:bottom w:w="0" w:type="dxa"/>
          <w:right w:w="0" w:type="dxa"/>
        </w:tblCellMar>
      </w:tblPr>
      <w:tr>
        <w:trPr>
          <w:trHeight w:val="160"/>
        </w:trPr>
        <w:tc>
          <w:tcPr>
            <w:tcW w:w="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2023</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24"/>
        </w:trPr>
        <w:tc>
          <w:tcPr>
            <w:tcW w:w="780" w:type="dxa"/>
            <w:vAlign w:val="bottom"/>
          </w:tcPr>
          <w:p>
            <w:pPr>
              <w:spacing w:after="0" w:line="124" w:lineRule="exact"/>
              <w:rPr>
                <w:sz w:val="20"/>
                <w:szCs w:val="20"/>
                <w:color w:val="auto"/>
              </w:rPr>
            </w:pPr>
            <w:r>
              <w:rPr>
                <w:rFonts w:ascii="Arial" w:cs="Arial" w:eastAsia="Arial" w:hAnsi="Arial"/>
                <w:sz w:val="12"/>
                <w:szCs w:val="12"/>
                <w:b w:val="1"/>
                <w:bCs w:val="1"/>
                <w:color w:val="auto"/>
              </w:rPr>
              <w:t>Up to 1</w:t>
            </w:r>
          </w:p>
        </w:tc>
        <w:tc>
          <w:tcPr>
            <w:tcW w:w="900" w:type="dxa"/>
            <w:vAlign w:val="bottom"/>
            <w:gridSpan w:val="2"/>
          </w:tcPr>
          <w:p>
            <w:pPr>
              <w:ind w:left="120"/>
              <w:spacing w:after="0" w:line="124" w:lineRule="exact"/>
              <w:rPr>
                <w:sz w:val="20"/>
                <w:szCs w:val="20"/>
                <w:color w:val="auto"/>
              </w:rPr>
            </w:pPr>
            <w:r>
              <w:rPr>
                <w:rFonts w:ascii="Arial" w:cs="Arial" w:eastAsia="Arial" w:hAnsi="Arial"/>
                <w:sz w:val="12"/>
                <w:szCs w:val="12"/>
                <w:b w:val="1"/>
                <w:bCs w:val="1"/>
                <w:color w:val="auto"/>
              </w:rPr>
              <w:t>1 to 3</w:t>
            </w:r>
          </w:p>
        </w:tc>
        <w:tc>
          <w:tcPr>
            <w:tcW w:w="940" w:type="dxa"/>
            <w:vAlign w:val="bottom"/>
            <w:gridSpan w:val="2"/>
          </w:tcPr>
          <w:p>
            <w:pPr>
              <w:ind w:left="120"/>
              <w:spacing w:after="0" w:line="124" w:lineRule="exact"/>
              <w:rPr>
                <w:sz w:val="20"/>
                <w:szCs w:val="20"/>
                <w:color w:val="auto"/>
              </w:rPr>
            </w:pPr>
            <w:r>
              <w:rPr>
                <w:rFonts w:ascii="Arial" w:cs="Arial" w:eastAsia="Arial" w:hAnsi="Arial"/>
                <w:sz w:val="12"/>
                <w:szCs w:val="12"/>
                <w:b w:val="1"/>
                <w:bCs w:val="1"/>
                <w:color w:val="auto"/>
              </w:rPr>
              <w:t>3 to 12</w:t>
            </w:r>
          </w:p>
        </w:tc>
        <w:tc>
          <w:tcPr>
            <w:tcW w:w="88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1 to 5</w:t>
            </w:r>
          </w:p>
        </w:tc>
        <w:tc>
          <w:tcPr>
            <w:tcW w:w="1080" w:type="dxa"/>
            <w:vAlign w:val="bottom"/>
            <w:gridSpan w:val="3"/>
          </w:tcPr>
          <w:p>
            <w:pPr>
              <w:ind w:left="140"/>
              <w:spacing w:after="0" w:line="124" w:lineRule="exact"/>
              <w:rPr>
                <w:sz w:val="20"/>
                <w:szCs w:val="20"/>
                <w:color w:val="auto"/>
              </w:rPr>
            </w:pPr>
            <w:r>
              <w:rPr>
                <w:rFonts w:ascii="Arial" w:cs="Arial" w:eastAsia="Arial" w:hAnsi="Arial"/>
                <w:sz w:val="12"/>
                <w:szCs w:val="12"/>
                <w:b w:val="1"/>
                <w:bCs w:val="1"/>
                <w:color w:val="auto"/>
              </w:rPr>
              <w:t>More than</w:t>
            </w: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Non-interest</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0"/>
        </w:trPr>
        <w:tc>
          <w:tcPr>
            <w:tcW w:w="780" w:type="dxa"/>
            <w:vAlign w:val="bottom"/>
          </w:tcPr>
          <w:p>
            <w:pPr>
              <w:spacing w:after="0"/>
              <w:rPr>
                <w:sz w:val="20"/>
                <w:szCs w:val="20"/>
                <w:color w:val="auto"/>
              </w:rPr>
            </w:pPr>
            <w:r>
              <w:rPr>
                <w:rFonts w:ascii="Arial" w:cs="Arial" w:eastAsia="Arial" w:hAnsi="Arial"/>
                <w:sz w:val="12"/>
                <w:szCs w:val="12"/>
                <w:b w:val="1"/>
                <w:bCs w:val="1"/>
                <w:color w:val="auto"/>
              </w:rPr>
              <w:t>month</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months</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months</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years</w:t>
            </w:r>
          </w:p>
        </w:tc>
        <w:tc>
          <w:tcPr>
            <w:tcW w:w="1080" w:type="dxa"/>
            <w:vAlign w:val="bottom"/>
            <w:gridSpan w:val="3"/>
          </w:tcPr>
          <w:p>
            <w:pPr>
              <w:ind w:left="140"/>
              <w:spacing w:after="0"/>
              <w:rPr>
                <w:sz w:val="20"/>
                <w:szCs w:val="20"/>
                <w:color w:val="auto"/>
              </w:rPr>
            </w:pPr>
            <w:r>
              <w:rPr>
                <w:rFonts w:ascii="Arial" w:cs="Arial" w:eastAsia="Arial" w:hAnsi="Arial"/>
                <w:sz w:val="12"/>
                <w:szCs w:val="12"/>
                <w:b w:val="1"/>
                <w:bCs w:val="1"/>
                <w:color w:val="auto"/>
              </w:rPr>
              <w:t>5 years</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bearing</w:t>
            </w:r>
          </w:p>
        </w:tc>
        <w:tc>
          <w:tcPr>
            <w:tcW w:w="82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3"/>
                <w:szCs w:val="13"/>
                <w:color w:val="auto"/>
              </w:rPr>
            </w:pPr>
          </w:p>
        </w:tc>
      </w:tr>
      <w:tr>
        <w:trPr>
          <w:trHeight w:val="136"/>
        </w:trPr>
        <w:tc>
          <w:tcPr>
            <w:tcW w:w="78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S/000</w:t>
            </w:r>
          </w:p>
        </w:tc>
        <w:tc>
          <w:tcPr>
            <w:tcW w:w="40" w:type="dxa"/>
            <w:vAlign w:val="bottom"/>
          </w:tcPr>
          <w:p>
            <w:pPr>
              <w:spacing w:after="0"/>
              <w:rPr>
                <w:sz w:val="11"/>
                <w:szCs w:val="11"/>
                <w:color w:val="auto"/>
              </w:rPr>
            </w:pPr>
          </w:p>
        </w:tc>
      </w:tr>
    </w:tbl>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28"/>
        </w:trPr>
        <w:tc>
          <w:tcPr>
            <w:tcW w:w="2740" w:type="dxa"/>
            <w:vAlign w:val="bottom"/>
          </w:tcPr>
          <w:p>
            <w:pPr>
              <w:spacing w:after="0" w:line="128" w:lineRule="exact"/>
              <w:rPr>
                <w:sz w:val="20"/>
                <w:szCs w:val="20"/>
                <w:color w:val="auto"/>
              </w:rPr>
            </w:pPr>
            <w:r>
              <w:rPr>
                <w:rFonts w:ascii="Arial" w:cs="Arial" w:eastAsia="Arial" w:hAnsi="Arial"/>
                <w:sz w:val="12"/>
                <w:szCs w:val="12"/>
                <w:b w:val="1"/>
                <w:bCs w:val="1"/>
                <w:color w:val="auto"/>
              </w:rPr>
              <w:t>Assets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Cash and cash collateral, reverse repurchase</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13,900,784</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1,707,822</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3,050,481</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8,674,709</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273,214</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7,734,585</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35,341,595</w:t>
            </w:r>
          </w:p>
        </w:tc>
        <w:tc>
          <w:tcPr>
            <w:tcW w:w="0" w:type="dxa"/>
            <w:vAlign w:val="bottom"/>
          </w:tcPr>
          <w:p>
            <w:pPr>
              <w:spacing w:after="0"/>
              <w:rPr>
                <w:sz w:val="1"/>
                <w:szCs w:val="1"/>
                <w:color w:val="auto"/>
              </w:rPr>
            </w:pPr>
          </w:p>
        </w:tc>
      </w:tr>
      <w:tr>
        <w:trPr>
          <w:trHeight w:val="95"/>
        </w:trPr>
        <w:tc>
          <w:tcPr>
            <w:tcW w:w="2740" w:type="dxa"/>
            <w:vAlign w:val="bottom"/>
            <w:vMerge w:val="restart"/>
          </w:tcPr>
          <w:p>
            <w:pPr>
              <w:spacing w:after="0"/>
              <w:rPr>
                <w:sz w:val="20"/>
                <w:szCs w:val="20"/>
                <w:color w:val="auto"/>
              </w:rPr>
            </w:pPr>
            <w:r>
              <w:rPr>
                <w:rFonts w:ascii="Arial" w:cs="Arial" w:eastAsia="Arial" w:hAnsi="Arial"/>
                <w:sz w:val="12"/>
                <w:szCs w:val="12"/>
                <w:color w:val="auto"/>
              </w:rPr>
              <w:t>agreements and securities borrowing</w:t>
            </w: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7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Investment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1,331,553</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4,489,604</w:t>
            </w:r>
          </w:p>
        </w:tc>
        <w:tc>
          <w:tcPr>
            <w:tcW w:w="820" w:type="dxa"/>
            <w:vAlign w:val="bottom"/>
          </w:tcPr>
          <w:p>
            <w:pPr>
              <w:jc w:val="right"/>
              <w:spacing w:after="0"/>
              <w:rPr>
                <w:sz w:val="20"/>
                <w:szCs w:val="20"/>
                <w:color w:val="auto"/>
              </w:rPr>
            </w:pPr>
            <w:r>
              <w:rPr>
                <w:rFonts w:ascii="Arial" w:cs="Arial" w:eastAsia="Arial" w:hAnsi="Arial"/>
                <w:sz w:val="12"/>
                <w:szCs w:val="12"/>
                <w:color w:val="auto"/>
              </w:rPr>
              <w:t>9,475,564</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12,827,007</w:t>
            </w:r>
          </w:p>
        </w:tc>
        <w:tc>
          <w:tcPr>
            <w:tcW w:w="14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18,773,061</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336,078</w:t>
            </w:r>
          </w:p>
        </w:tc>
        <w:tc>
          <w:tcPr>
            <w:tcW w:w="820" w:type="dxa"/>
            <w:vAlign w:val="bottom"/>
          </w:tcPr>
          <w:p>
            <w:pPr>
              <w:jc w:val="right"/>
              <w:spacing w:after="0"/>
              <w:rPr>
                <w:sz w:val="20"/>
                <w:szCs w:val="20"/>
                <w:color w:val="auto"/>
              </w:rPr>
            </w:pPr>
            <w:r>
              <w:rPr>
                <w:rFonts w:ascii="Arial" w:cs="Arial" w:eastAsia="Arial" w:hAnsi="Arial"/>
                <w:sz w:val="12"/>
                <w:szCs w:val="12"/>
                <w:color w:val="auto"/>
              </w:rPr>
              <w:t>47,232,867</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Loans, net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19,650,760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16,975,402</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38,874,328</w:t>
            </w:r>
          </w:p>
        </w:tc>
        <w:tc>
          <w:tcPr>
            <w:tcW w:w="800" w:type="dxa"/>
            <w:vAlign w:val="bottom"/>
          </w:tcPr>
          <w:p>
            <w:pPr>
              <w:jc w:val="right"/>
              <w:spacing w:after="0"/>
              <w:rPr>
                <w:sz w:val="20"/>
                <w:szCs w:val="20"/>
                <w:color w:val="auto"/>
              </w:rPr>
            </w:pPr>
            <w:r>
              <w:rPr>
                <w:rFonts w:ascii="Arial" w:cs="Arial" w:eastAsia="Arial" w:hAnsi="Arial"/>
                <w:sz w:val="12"/>
                <w:szCs w:val="12"/>
                <w:color w:val="auto"/>
              </w:rPr>
              <w:t>46,963,496</w:t>
            </w:r>
          </w:p>
        </w:tc>
        <w:tc>
          <w:tcPr>
            <w:tcW w:w="14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14,420,760</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(186,611)</w:t>
            </w:r>
          </w:p>
        </w:tc>
        <w:tc>
          <w:tcPr>
            <w:tcW w:w="820" w:type="dxa"/>
            <w:vAlign w:val="bottom"/>
          </w:tcPr>
          <w:p>
            <w:pPr>
              <w:jc w:val="right"/>
              <w:spacing w:after="0"/>
              <w:rPr>
                <w:sz w:val="20"/>
                <w:szCs w:val="20"/>
                <w:color w:val="auto"/>
              </w:rPr>
            </w:pPr>
            <w:r>
              <w:rPr>
                <w:rFonts w:ascii="Arial" w:cs="Arial" w:eastAsia="Arial" w:hAnsi="Arial"/>
                <w:sz w:val="12"/>
                <w:szCs w:val="12"/>
                <w:color w:val="auto"/>
              </w:rPr>
              <w:t>136,698,135</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Financial assets designated at fair value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through profit or loss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810,932</w:t>
            </w:r>
          </w:p>
        </w:tc>
        <w:tc>
          <w:tcPr>
            <w:tcW w:w="820" w:type="dxa"/>
            <w:vAlign w:val="bottom"/>
          </w:tcPr>
          <w:p>
            <w:pPr>
              <w:jc w:val="right"/>
              <w:spacing w:after="0"/>
              <w:rPr>
                <w:sz w:val="20"/>
                <w:szCs w:val="20"/>
                <w:color w:val="auto"/>
              </w:rPr>
            </w:pPr>
            <w:r>
              <w:rPr>
                <w:rFonts w:ascii="Arial" w:cs="Arial" w:eastAsia="Arial" w:hAnsi="Arial"/>
                <w:sz w:val="12"/>
                <w:szCs w:val="12"/>
                <w:color w:val="auto"/>
              </w:rPr>
              <w:t>810,932</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Reinsurance contract assets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872,046</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872,046</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Other assets (*)</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143,214</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7,053</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31,753</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2,381,135</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2,563,155</w:t>
            </w:r>
          </w:p>
        </w:tc>
        <w:tc>
          <w:tcPr>
            <w:tcW w:w="0" w:type="dxa"/>
            <w:vAlign w:val="bottom"/>
          </w:tcPr>
          <w:p>
            <w:pPr>
              <w:spacing w:after="0"/>
              <w:rPr>
                <w:sz w:val="1"/>
                <w:szCs w:val="1"/>
                <w:color w:val="auto"/>
              </w:rPr>
            </w:pPr>
          </w:p>
        </w:tc>
      </w:tr>
      <w:tr>
        <w:trPr>
          <w:trHeight w:val="132"/>
        </w:trPr>
        <w:tc>
          <w:tcPr>
            <w:tcW w:w="2740" w:type="dxa"/>
            <w:vAlign w:val="bottom"/>
          </w:tcPr>
          <w:p>
            <w:pPr>
              <w:spacing w:after="0" w:line="132" w:lineRule="exact"/>
              <w:rPr>
                <w:sz w:val="20"/>
                <w:szCs w:val="20"/>
                <w:color w:val="auto"/>
              </w:rPr>
            </w:pPr>
            <w:r>
              <w:rPr>
                <w:rFonts w:ascii="Arial" w:cs="Arial" w:eastAsia="Arial" w:hAnsi="Arial"/>
                <w:sz w:val="12"/>
                <w:szCs w:val="12"/>
                <w:b w:val="1"/>
                <w:bCs w:val="1"/>
                <w:color w:val="auto"/>
              </w:rPr>
              <w:t>Total assets</w:t>
            </w: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35,898,357</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23,179,881</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51,432,126</w:t>
            </w:r>
          </w:p>
        </w:tc>
        <w:tc>
          <w:tcPr>
            <w:tcW w:w="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68,465,212</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33,467,035</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11,076,119</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223,518,730</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Deposits and obligations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40,740,255</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16,793,946</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22,762,047</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57,611,088</w:t>
            </w:r>
          </w:p>
        </w:tc>
        <w:tc>
          <w:tcPr>
            <w:tcW w:w="820" w:type="dxa"/>
            <w:vAlign w:val="bottom"/>
          </w:tcPr>
          <w:p>
            <w:pPr>
              <w:jc w:val="right"/>
              <w:spacing w:after="0"/>
              <w:rPr>
                <w:sz w:val="20"/>
                <w:szCs w:val="20"/>
                <w:color w:val="auto"/>
              </w:rPr>
            </w:pPr>
            <w:r>
              <w:rPr>
                <w:rFonts w:ascii="Arial" w:cs="Arial" w:eastAsia="Arial" w:hAnsi="Arial"/>
                <w:sz w:val="12"/>
                <w:szCs w:val="12"/>
                <w:color w:val="auto"/>
              </w:rPr>
              <w:t>8,418,281</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1,379,377</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147,704,994</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Payables from repurchase agreements</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5,987,961</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6,344,769</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3,477,433</w:t>
            </w: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3,238,356</w:t>
            </w: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3,026,066</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372,523</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22,447,108</w:t>
            </w:r>
          </w:p>
        </w:tc>
        <w:tc>
          <w:tcPr>
            <w:tcW w:w="0" w:type="dxa"/>
            <w:vAlign w:val="bottom"/>
          </w:tcPr>
          <w:p>
            <w:pPr>
              <w:spacing w:after="0"/>
              <w:rPr>
                <w:sz w:val="1"/>
                <w:szCs w:val="1"/>
                <w:color w:val="auto"/>
              </w:rPr>
            </w:pPr>
          </w:p>
        </w:tc>
      </w:tr>
      <w:tr>
        <w:trPr>
          <w:trHeight w:val="95"/>
        </w:trPr>
        <w:tc>
          <w:tcPr>
            <w:tcW w:w="2740" w:type="dxa"/>
            <w:vAlign w:val="bottom"/>
            <w:vMerge w:val="restart"/>
          </w:tcPr>
          <w:p>
            <w:pPr>
              <w:spacing w:after="0"/>
              <w:rPr>
                <w:sz w:val="20"/>
                <w:szCs w:val="20"/>
                <w:color w:val="auto"/>
              </w:rPr>
            </w:pPr>
            <w:r>
              <w:rPr>
                <w:rFonts w:ascii="Arial" w:cs="Arial" w:eastAsia="Arial" w:hAnsi="Arial"/>
                <w:sz w:val="12"/>
                <w:szCs w:val="12"/>
                <w:color w:val="auto"/>
              </w:rPr>
              <w:t>and securities lending</w:t>
            </w: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7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Insurance contract liability</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116,515</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178,525</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496,768</w:t>
            </w:r>
          </w:p>
        </w:tc>
        <w:tc>
          <w:tcPr>
            <w:tcW w:w="800" w:type="dxa"/>
            <w:vAlign w:val="bottom"/>
          </w:tcPr>
          <w:p>
            <w:pPr>
              <w:jc w:val="right"/>
              <w:spacing w:after="0"/>
              <w:rPr>
                <w:sz w:val="20"/>
                <w:szCs w:val="20"/>
                <w:color w:val="auto"/>
              </w:rPr>
            </w:pPr>
            <w:r>
              <w:rPr>
                <w:rFonts w:ascii="Arial" w:cs="Arial" w:eastAsia="Arial" w:hAnsi="Arial"/>
                <w:sz w:val="12"/>
                <w:szCs w:val="12"/>
                <w:color w:val="auto"/>
              </w:rPr>
              <w:t>1,862,006</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6,822,694</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2,841,625</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12,318,133</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Financial liabilities at fair value through profit or</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641,915</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641,915</w:t>
            </w:r>
          </w:p>
        </w:tc>
        <w:tc>
          <w:tcPr>
            <w:tcW w:w="0" w:type="dxa"/>
            <w:vAlign w:val="bottom"/>
          </w:tcPr>
          <w:p>
            <w:pPr>
              <w:spacing w:after="0"/>
              <w:rPr>
                <w:sz w:val="1"/>
                <w:szCs w:val="1"/>
                <w:color w:val="auto"/>
              </w:rPr>
            </w:pPr>
          </w:p>
        </w:tc>
      </w:tr>
      <w:tr>
        <w:trPr>
          <w:trHeight w:val="95"/>
        </w:trPr>
        <w:tc>
          <w:tcPr>
            <w:tcW w:w="2740" w:type="dxa"/>
            <w:vAlign w:val="bottom"/>
            <w:vMerge w:val="restart"/>
          </w:tcPr>
          <w:p>
            <w:pPr>
              <w:spacing w:after="0"/>
              <w:rPr>
                <w:sz w:val="20"/>
                <w:szCs w:val="20"/>
                <w:color w:val="auto"/>
              </w:rPr>
            </w:pPr>
            <w:r>
              <w:rPr>
                <w:rFonts w:ascii="Arial" w:cs="Arial" w:eastAsia="Arial" w:hAnsi="Arial"/>
                <w:sz w:val="12"/>
                <w:szCs w:val="12"/>
                <w:color w:val="auto"/>
              </w:rPr>
              <w:t>loss</w:t>
            </w: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7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Bonds and Notes issued</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81,635</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94,831</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5,711,424</w:t>
            </w:r>
          </w:p>
        </w:tc>
        <w:tc>
          <w:tcPr>
            <w:tcW w:w="800" w:type="dxa"/>
            <w:vAlign w:val="bottom"/>
          </w:tcPr>
          <w:p>
            <w:pPr>
              <w:jc w:val="right"/>
              <w:spacing w:after="0"/>
              <w:rPr>
                <w:sz w:val="20"/>
                <w:szCs w:val="20"/>
                <w:color w:val="auto"/>
              </w:rPr>
            </w:pPr>
            <w:r>
              <w:rPr>
                <w:rFonts w:ascii="Arial" w:cs="Arial" w:eastAsia="Arial" w:hAnsi="Arial"/>
                <w:sz w:val="12"/>
                <w:szCs w:val="12"/>
                <w:color w:val="auto"/>
              </w:rPr>
              <w:t>7,944,189</w:t>
            </w:r>
          </w:p>
        </w:tc>
        <w:tc>
          <w:tcPr>
            <w:tcW w:w="14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603,511</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159,195</w:t>
            </w:r>
          </w:p>
        </w:tc>
        <w:tc>
          <w:tcPr>
            <w:tcW w:w="820" w:type="dxa"/>
            <w:vAlign w:val="bottom"/>
          </w:tcPr>
          <w:p>
            <w:pPr>
              <w:jc w:val="right"/>
              <w:spacing w:after="0"/>
              <w:rPr>
                <w:sz w:val="20"/>
                <w:szCs w:val="20"/>
                <w:color w:val="auto"/>
              </w:rPr>
            </w:pPr>
            <w:r>
              <w:rPr>
                <w:rFonts w:ascii="Arial" w:cs="Arial" w:eastAsia="Arial" w:hAnsi="Arial"/>
                <w:sz w:val="12"/>
                <w:szCs w:val="12"/>
                <w:color w:val="auto"/>
              </w:rPr>
              <w:t>14,594,785</w:t>
            </w: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Other liabilities (**)</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497,682</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2,046</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4,546,082</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5,045,810</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Equity</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33,107,065</w:t>
            </w:r>
          </w:p>
        </w:tc>
        <w:tc>
          <w:tcPr>
            <w:tcW w:w="820" w:type="dxa"/>
            <w:vAlign w:val="bottom"/>
          </w:tcPr>
          <w:p>
            <w:pPr>
              <w:jc w:val="right"/>
              <w:spacing w:after="0"/>
              <w:rPr>
                <w:sz w:val="20"/>
                <w:szCs w:val="20"/>
                <w:color w:val="auto"/>
              </w:rPr>
            </w:pPr>
            <w:r>
              <w:rPr>
                <w:rFonts w:ascii="Arial" w:cs="Arial" w:eastAsia="Arial" w:hAnsi="Arial"/>
                <w:sz w:val="12"/>
                <w:szCs w:val="12"/>
                <w:color w:val="auto"/>
              </w:rPr>
              <w:t>33,107,065</w:t>
            </w:r>
          </w:p>
        </w:tc>
        <w:tc>
          <w:tcPr>
            <w:tcW w:w="0" w:type="dxa"/>
            <w:vAlign w:val="bottom"/>
          </w:tcPr>
          <w:p>
            <w:pPr>
              <w:spacing w:after="0"/>
              <w:rPr>
                <w:sz w:val="1"/>
                <w:szCs w:val="1"/>
                <w:color w:val="auto"/>
              </w:rPr>
            </w:pPr>
          </w:p>
        </w:tc>
      </w:tr>
      <w:tr>
        <w:trPr>
          <w:trHeight w:val="132"/>
        </w:trPr>
        <w:tc>
          <w:tcPr>
            <w:tcW w:w="2740" w:type="dxa"/>
            <w:vAlign w:val="bottom"/>
          </w:tcPr>
          <w:p>
            <w:pPr>
              <w:spacing w:after="0" w:line="132" w:lineRule="exact"/>
              <w:rPr>
                <w:sz w:val="20"/>
                <w:szCs w:val="20"/>
                <w:color w:val="auto"/>
              </w:rPr>
            </w:pPr>
            <w:r>
              <w:rPr>
                <w:rFonts w:ascii="Arial" w:cs="Arial" w:eastAsia="Arial" w:hAnsi="Arial"/>
                <w:sz w:val="12"/>
                <w:szCs w:val="12"/>
                <w:b w:val="1"/>
                <w:bCs w:val="1"/>
                <w:color w:val="auto"/>
              </w:rPr>
              <w:t>Total liabilities and equity</w:t>
            </w: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47,424,048</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23,412,071</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32,449,718</w:t>
            </w:r>
          </w:p>
        </w:tc>
        <w:tc>
          <w:tcPr>
            <w:tcW w:w="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70,655,639</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18,870,552</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43,047,782</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235,859,810</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0"/>
                <w:szCs w:val="20"/>
                <w:color w:val="auto"/>
              </w:rPr>
            </w:pPr>
            <w:r>
              <w:rPr>
                <w:rFonts w:ascii="Arial" w:cs="Arial" w:eastAsia="Arial" w:hAnsi="Arial"/>
                <w:sz w:val="12"/>
                <w:szCs w:val="12"/>
                <w:b w:val="1"/>
                <w:bCs w:val="1"/>
                <w:color w:val="auto"/>
              </w:rPr>
              <w:t>Off-balance-sheet accounts</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2740" w:type="dxa"/>
            <w:vAlign w:val="bottom"/>
          </w:tcPr>
          <w:p>
            <w:pPr>
              <w:spacing w:after="0"/>
              <w:rPr>
                <w:sz w:val="20"/>
                <w:szCs w:val="20"/>
                <w:color w:val="auto"/>
              </w:rPr>
            </w:pPr>
            <w:r>
              <w:rPr>
                <w:rFonts w:ascii="Arial" w:cs="Arial" w:eastAsia="Arial" w:hAnsi="Arial"/>
                <w:sz w:val="12"/>
                <w:szCs w:val="12"/>
                <w:color w:val="auto"/>
              </w:rPr>
              <w:t>Derivative financial assets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72,943</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676,380</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749,323</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20"/>
                <w:szCs w:val="20"/>
                <w:color w:val="auto"/>
              </w:rPr>
            </w:pPr>
            <w:r>
              <w:rPr>
                <w:rFonts w:ascii="Arial" w:cs="Arial" w:eastAsia="Arial" w:hAnsi="Arial"/>
                <w:sz w:val="12"/>
                <w:szCs w:val="12"/>
                <w:color w:val="auto"/>
              </w:rPr>
              <w:t>Derivative financial liabilities</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630,109</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401,730</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54,849</w:t>
            </w:r>
          </w:p>
        </w:tc>
        <w:tc>
          <w:tcPr>
            <w:tcW w:w="800" w:type="dxa"/>
            <w:vAlign w:val="bottom"/>
          </w:tcPr>
          <w:p>
            <w:pPr>
              <w:jc w:val="right"/>
              <w:spacing w:after="0"/>
              <w:rPr>
                <w:sz w:val="20"/>
                <w:szCs w:val="20"/>
                <w:color w:val="auto"/>
              </w:rPr>
            </w:pPr>
            <w:r>
              <w:rPr>
                <w:rFonts w:ascii="Arial" w:cs="Arial" w:eastAsia="Arial" w:hAnsi="Arial"/>
                <w:sz w:val="12"/>
                <w:szCs w:val="12"/>
                <w:color w:val="auto"/>
              </w:rPr>
              <w:t>1,936,331</w:t>
            </w:r>
          </w:p>
        </w:tc>
        <w:tc>
          <w:tcPr>
            <w:tcW w:w="1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3,023,019</w:t>
            </w:r>
          </w:p>
        </w:tc>
        <w:tc>
          <w:tcPr>
            <w:tcW w:w="0" w:type="dxa"/>
            <w:vAlign w:val="bottom"/>
          </w:tcPr>
          <w:p>
            <w:pPr>
              <w:spacing w:after="0"/>
              <w:rPr>
                <w:sz w:val="1"/>
                <w:szCs w:val="1"/>
                <w:color w:val="auto"/>
              </w:rPr>
            </w:pPr>
          </w:p>
        </w:tc>
      </w:tr>
      <w:tr>
        <w:trPr>
          <w:trHeight w:val="132"/>
        </w:trPr>
        <w:tc>
          <w:tcPr>
            <w:tcW w:w="2740" w:type="dxa"/>
            <w:vAlign w:val="bottom"/>
            <w:vMerge w:val="restart"/>
          </w:tcPr>
          <w:p>
            <w:pPr>
              <w:spacing w:after="0"/>
              <w:rPr>
                <w:sz w:val="20"/>
                <w:szCs w:val="20"/>
                <w:color w:val="auto"/>
              </w:rPr>
            </w:pPr>
            <w:r>
              <w:rPr>
                <w:rFonts w:ascii="Arial" w:cs="Arial" w:eastAsia="Arial" w:hAnsi="Arial"/>
                <w:sz w:val="12"/>
                <w:szCs w:val="12"/>
                <w:b w:val="1"/>
                <w:bCs w:val="1"/>
                <w:color w:val="auto"/>
              </w:rPr>
              <w:t>Marginal gap</w:t>
            </w: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(557,166)</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(401,730)</w:t>
            </w:r>
          </w:p>
        </w:tc>
        <w:tc>
          <w:tcPr>
            <w:tcW w:w="12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621,531</w:t>
            </w:r>
          </w:p>
        </w:tc>
        <w:tc>
          <w:tcPr>
            <w:tcW w:w="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(1,936,331)</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(2,273,696)</w:t>
            </w:r>
          </w:p>
        </w:tc>
        <w:tc>
          <w:tcPr>
            <w:tcW w:w="0" w:type="dxa"/>
            <w:vAlign w:val="bottom"/>
          </w:tcPr>
          <w:p>
            <w:pPr>
              <w:spacing w:after="0"/>
              <w:rPr>
                <w:sz w:val="1"/>
                <w:szCs w:val="1"/>
                <w:color w:val="auto"/>
              </w:rPr>
            </w:pPr>
          </w:p>
        </w:tc>
      </w:tr>
      <w:tr>
        <w:trPr>
          <w:trHeight w:val="132"/>
        </w:trPr>
        <w:tc>
          <w:tcPr>
            <w:tcW w:w="2740" w:type="dxa"/>
            <w:vAlign w:val="bottom"/>
            <w:vMerge w:val="continue"/>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(12,082,857)</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(633,920)</w:t>
            </w:r>
          </w:p>
        </w:tc>
        <w:tc>
          <w:tcPr>
            <w:tcW w:w="12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19,603,939</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(4,126,758)</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14,596,483</w:t>
            </w: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(31,971,663)</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(14,614,776)</w:t>
            </w:r>
          </w:p>
        </w:tc>
        <w:tc>
          <w:tcPr>
            <w:tcW w:w="0" w:type="dxa"/>
            <w:vAlign w:val="bottom"/>
          </w:tcPr>
          <w:p>
            <w:pPr>
              <w:spacing w:after="0"/>
              <w:rPr>
                <w:sz w:val="1"/>
                <w:szCs w:val="1"/>
                <w:color w:val="auto"/>
              </w:rPr>
            </w:pPr>
          </w:p>
        </w:tc>
      </w:tr>
      <w:tr>
        <w:trPr>
          <w:trHeight w:val="135"/>
        </w:trPr>
        <w:tc>
          <w:tcPr>
            <w:tcW w:w="2740" w:type="dxa"/>
            <w:vAlign w:val="bottom"/>
          </w:tcPr>
          <w:p>
            <w:pPr>
              <w:spacing w:after="0" w:line="132" w:lineRule="exact"/>
              <w:rPr>
                <w:sz w:val="20"/>
                <w:szCs w:val="20"/>
                <w:color w:val="auto"/>
              </w:rPr>
            </w:pPr>
            <w:r>
              <w:rPr>
                <w:rFonts w:ascii="Arial" w:cs="Arial" w:eastAsia="Arial" w:hAnsi="Arial"/>
                <w:sz w:val="12"/>
                <w:szCs w:val="12"/>
                <w:color w:val="auto"/>
              </w:rPr>
              <w:t>Accumulated gap</w:t>
            </w:r>
          </w:p>
        </w:tc>
        <w:tc>
          <w:tcPr>
            <w:tcW w:w="7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(12,082,857)</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(12,716,777)</w:t>
            </w:r>
          </w:p>
        </w:tc>
        <w:tc>
          <w:tcPr>
            <w:tcW w:w="12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6,887,162</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2,760,404</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17,356,887</w:t>
            </w:r>
          </w:p>
        </w:tc>
        <w:tc>
          <w:tcPr>
            <w:tcW w:w="120" w:type="dxa"/>
            <w:vAlign w:val="bottom"/>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(14,614,776)</w:t>
            </w: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6" w:right="1480" w:hanging="6"/>
        <w:spacing w:after="0" w:line="326" w:lineRule="auto"/>
        <w:tabs>
          <w:tab w:leader="none" w:pos="257" w:val="left"/>
        </w:tabs>
        <w:numPr>
          <w:ilvl w:val="0"/>
          <w:numId w:val="178"/>
        </w:numPr>
        <w:rPr>
          <w:rFonts w:ascii="Arial" w:cs="Arial" w:eastAsia="Arial" w:hAnsi="Arial"/>
          <w:sz w:val="14"/>
          <w:szCs w:val="14"/>
          <w:color w:val="auto"/>
        </w:rPr>
      </w:pPr>
      <w:r>
        <w:rPr>
          <w:rFonts w:ascii="Arial" w:cs="Arial" w:eastAsia="Arial" w:hAnsi="Arial"/>
          <w:sz w:val="14"/>
          <w:szCs w:val="14"/>
          <w:color w:val="auto"/>
        </w:rPr>
        <w:t>Made up of financial assets and bank acceptances without considering accounts receivable for trading derivatives. (**) Made up of financial liabilities and bank acceptances without considering accounts payable for trading derivatives.</w:t>
      </w:r>
    </w:p>
    <w:p>
      <w:pPr>
        <w:spacing w:after="0" w:line="88" w:lineRule="exact"/>
        <w:rPr>
          <w:sz w:val="20"/>
          <w:szCs w:val="20"/>
          <w:color w:val="auto"/>
        </w:rPr>
      </w:pPr>
    </w:p>
    <w:p>
      <w:pPr>
        <w:ind w:left="6"/>
        <w:spacing w:after="0" w:line="255" w:lineRule="auto"/>
        <w:rPr>
          <w:sz w:val="20"/>
          <w:szCs w:val="20"/>
          <w:color w:val="auto"/>
        </w:rPr>
      </w:pPr>
      <w:r>
        <w:rPr>
          <w:rFonts w:ascii="Arial" w:cs="Arial" w:eastAsia="Arial" w:hAnsi="Arial"/>
          <w:sz w:val="16"/>
          <w:szCs w:val="16"/>
          <w:color w:val="auto"/>
        </w:rPr>
        <w:t>Investments for trading purposes are not considered (investments at fair value through profit or loss and trading derivatives), because these instruments are part of the trading book and the Value at Risk methodology is used to measure market risks.</w:t>
      </w:r>
    </w:p>
    <w:p>
      <w:pPr>
        <w:spacing w:after="0" w:line="281" w:lineRule="exact"/>
        <w:rPr>
          <w:sz w:val="20"/>
          <w:szCs w:val="20"/>
          <w:color w:val="auto"/>
        </w:rPr>
      </w:pPr>
    </w:p>
    <w:p>
      <w:pPr>
        <w:ind w:left="4366"/>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36195</wp:posOffset>
            </wp:positionV>
            <wp:extent cx="715073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9586"/>
          </w:cols>
          <w:pgMar w:left="1434" w:top="131" w:right="879" w:bottom="1440" w:gutter="0" w:footer="0" w:header="0"/>
        </w:sectPr>
      </w:pPr>
    </w:p>
    <w:bookmarkStart w:id="150" w:name="page151"/>
    <w:bookmarkEnd w:id="150"/>
    <w:p>
      <w:pPr>
        <w:ind w:left="1120"/>
        <w:spacing w:after="0"/>
        <w:rPr>
          <w:sz w:val="20"/>
          <w:szCs w:val="20"/>
          <w:color w:val="auto"/>
        </w:rPr>
      </w:pPr>
      <w:r>
        <w:rPr>
          <w:rFonts w:ascii="Arial" w:cs="Arial" w:eastAsia="Arial" w:hAnsi="Arial"/>
          <w:sz w:val="16"/>
          <w:szCs w:val="16"/>
          <w:color w:val="auto"/>
        </w:rPr>
        <w:t>Sensitivity to changes in interest rates -</w:t>
      </w:r>
    </w:p>
    <w:p>
      <w:pPr>
        <w:spacing w:after="0" w:line="167" w:lineRule="exact"/>
        <w:rPr>
          <w:sz w:val="20"/>
          <w:szCs w:val="20"/>
          <w:color w:val="auto"/>
        </w:rPr>
      </w:pPr>
    </w:p>
    <w:p>
      <w:pPr>
        <w:ind w:left="1120"/>
        <w:spacing w:after="0" w:line="238" w:lineRule="auto"/>
        <w:rPr>
          <w:sz w:val="20"/>
          <w:szCs w:val="20"/>
          <w:color w:val="auto"/>
        </w:rPr>
      </w:pPr>
      <w:r>
        <w:rPr>
          <w:rFonts w:ascii="Arial" w:cs="Arial" w:eastAsia="Arial" w:hAnsi="Arial"/>
          <w:sz w:val="16"/>
          <w:szCs w:val="16"/>
          <w:color w:val="auto"/>
        </w:rPr>
        <w:t>The sensitivity analysis of a reasonable possible change in interest rates on the banking book comprises an assessment of the sensitivity of the financial margins that seeks to measure the potential changes in the interest accruals over a period of time and the expected movement of the interest rate curves, as well as the sensitivity of the net economic value, which is a long-term metric measured as the difference arising between the Net Economic Value of assets and liabilities before and after a variation in interest rates.</w:t>
      </w:r>
    </w:p>
    <w:p>
      <w:pPr>
        <w:spacing w:after="0" w:line="145" w:lineRule="exact"/>
        <w:rPr>
          <w:sz w:val="20"/>
          <w:szCs w:val="20"/>
          <w:color w:val="auto"/>
        </w:rPr>
      </w:pPr>
    </w:p>
    <w:p>
      <w:pPr>
        <w:ind w:left="1120" w:right="180"/>
        <w:spacing w:after="0" w:line="241" w:lineRule="auto"/>
        <w:rPr>
          <w:sz w:val="20"/>
          <w:szCs w:val="20"/>
          <w:color w:val="auto"/>
        </w:rPr>
      </w:pPr>
      <w:r>
        <w:rPr>
          <w:rFonts w:ascii="Arial" w:cs="Arial" w:eastAsia="Arial" w:hAnsi="Arial"/>
          <w:sz w:val="16"/>
          <w:szCs w:val="16"/>
          <w:color w:val="auto"/>
        </w:rPr>
        <w:t>The sensitivity of the financial margin is the effect of the assumed changes in interest rates on the net financial interest income before income tax and non-controlling interest for one year, based on non-trading financial assets and financial liabilities held as of December 31, 2024, and 2023, including the effect of derivative instruments.</w:t>
      </w:r>
    </w:p>
    <w:p>
      <w:pPr>
        <w:spacing w:after="0" w:line="146" w:lineRule="exact"/>
        <w:rPr>
          <w:sz w:val="20"/>
          <w:szCs w:val="20"/>
          <w:color w:val="auto"/>
        </w:rPr>
      </w:pPr>
    </w:p>
    <w:p>
      <w:pPr>
        <w:ind w:left="1120" w:right="260"/>
        <w:spacing w:after="0" w:line="241" w:lineRule="auto"/>
        <w:rPr>
          <w:sz w:val="20"/>
          <w:szCs w:val="20"/>
          <w:color w:val="auto"/>
        </w:rPr>
      </w:pPr>
      <w:r>
        <w:rPr>
          <w:rFonts w:ascii="Arial" w:cs="Arial" w:eastAsia="Arial" w:hAnsi="Arial"/>
          <w:sz w:val="16"/>
          <w:szCs w:val="16"/>
          <w:color w:val="auto"/>
        </w:rPr>
        <w:t>The sensitivity of the Net Economic Value is calculated by reassessing the financial assets and liabilities sensitive to rates, except for the trading instruments, including the effect of any associated hedge, and derivative instruments designated as a cash flow hedge. Regarding rate risk management, no distinction is made by accounting category for the investments that are considered in these calculations.</w:t>
      </w:r>
    </w:p>
    <w:p>
      <w:pPr>
        <w:spacing w:after="0" w:line="14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 results of the sensitivity analysis regarding changes in interest rates at December 31, 2024 and 2023 are presented below:</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2024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120" w:type="dxa"/>
            <w:vAlign w:val="bottom"/>
          </w:tcPr>
          <w:p>
            <w:pPr>
              <w:spacing w:after="0"/>
              <w:rPr>
                <w:sz w:val="13"/>
                <w:szCs w:val="13"/>
                <w:color w:val="auto"/>
              </w:rPr>
            </w:pPr>
          </w:p>
        </w:tc>
        <w:tc>
          <w:tcPr>
            <w:tcW w:w="2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Changes in</w:t>
            </w: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ind w:left="40"/>
              <w:spacing w:after="0" w:line="150" w:lineRule="exact"/>
              <w:rPr>
                <w:sz w:val="20"/>
                <w:szCs w:val="20"/>
                <w:color w:val="auto"/>
              </w:rPr>
            </w:pPr>
            <w:r>
              <w:rPr>
                <w:rFonts w:ascii="Arial" w:cs="Arial" w:eastAsia="Arial" w:hAnsi="Arial"/>
                <w:sz w:val="16"/>
                <w:szCs w:val="16"/>
                <w:b w:val="1"/>
                <w:bCs w:val="1"/>
                <w:color w:val="auto"/>
              </w:rPr>
              <w:t>Sensitivity of net</w:t>
            </w: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Sensitivity of Net</w:t>
            </w:r>
          </w:p>
        </w:tc>
        <w:tc>
          <w:tcPr>
            <w:tcW w:w="900" w:type="dxa"/>
            <w:vAlign w:val="bottom"/>
            <w:tcBorders>
              <w:top w:val="single" w:sz="8" w:color="auto"/>
            </w:tcBorders>
          </w:tcPr>
          <w:p>
            <w:pPr>
              <w:spacing w:after="0"/>
              <w:rPr>
                <w:sz w:val="13"/>
                <w:szCs w:val="13"/>
                <w:color w:val="auto"/>
              </w:rPr>
            </w:pPr>
          </w:p>
        </w:tc>
        <w:tc>
          <w:tcPr>
            <w:tcW w:w="1020" w:type="dxa"/>
            <w:vAlign w:val="bottom"/>
          </w:tcPr>
          <w:p>
            <w:pPr>
              <w:spacing w:after="0"/>
              <w:rPr>
                <w:sz w:val="13"/>
                <w:szCs w:val="13"/>
                <w:color w:val="auto"/>
              </w:rPr>
            </w:pPr>
          </w:p>
        </w:tc>
      </w:tr>
      <w:tr>
        <w:trPr>
          <w:trHeight w:val="192"/>
        </w:trPr>
        <w:tc>
          <w:tcPr>
            <w:tcW w:w="3340" w:type="dxa"/>
            <w:vAlign w:val="bottom"/>
            <w:gridSpan w:val="3"/>
          </w:tcPr>
          <w:p>
            <w:pPr>
              <w:ind w:left="1120"/>
              <w:spacing w:after="0"/>
              <w:rPr>
                <w:sz w:val="20"/>
                <w:szCs w:val="20"/>
                <w:color w:val="auto"/>
              </w:rPr>
            </w:pPr>
            <w:r>
              <w:rPr>
                <w:rFonts w:ascii="Arial" w:cs="Arial" w:eastAsia="Arial" w:hAnsi="Arial"/>
                <w:sz w:val="16"/>
                <w:szCs w:val="16"/>
                <w:b w:val="1"/>
                <w:bCs w:val="1"/>
                <w:color w:val="auto"/>
              </w:rPr>
              <w:t>Currency</w:t>
            </w:r>
          </w:p>
        </w:tc>
        <w:tc>
          <w:tcPr>
            <w:tcW w:w="1280" w:type="dxa"/>
            <w:vAlign w:val="bottom"/>
          </w:tcPr>
          <w:p>
            <w:pPr>
              <w:spacing w:after="0"/>
              <w:rPr>
                <w:sz w:val="20"/>
                <w:szCs w:val="20"/>
                <w:color w:val="auto"/>
              </w:rPr>
            </w:pPr>
            <w:r>
              <w:rPr>
                <w:rFonts w:ascii="Arial" w:cs="Arial" w:eastAsia="Arial" w:hAnsi="Arial"/>
                <w:sz w:val="16"/>
                <w:szCs w:val="16"/>
                <w:b w:val="1"/>
                <w:bCs w:val="1"/>
                <w:color w:val="auto"/>
              </w:rPr>
              <w:t>basis points</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profit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Arial" w:cs="Arial" w:eastAsia="Arial" w:hAnsi="Arial"/>
                <w:sz w:val="16"/>
                <w:szCs w:val="16"/>
                <w:b w:val="1"/>
                <w:bCs w:val="1"/>
                <w:color w:val="auto"/>
              </w:rPr>
              <w:t>Economic Value</w:t>
            </w: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112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90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296"/>
        </w:trPr>
        <w:tc>
          <w:tcPr>
            <w:tcW w:w="3340" w:type="dxa"/>
            <w:vAlign w:val="bottom"/>
            <w:gridSpan w:val="3"/>
          </w:tcPr>
          <w:p>
            <w:pPr>
              <w:ind w:left="1120"/>
              <w:spacing w:after="0"/>
              <w:rPr>
                <w:sz w:val="20"/>
                <w:szCs w:val="20"/>
                <w:color w:val="auto"/>
              </w:rPr>
            </w:pPr>
            <w:r>
              <w:rPr>
                <w:rFonts w:ascii="Arial" w:cs="Arial" w:eastAsia="Arial" w:hAnsi="Arial"/>
                <w:sz w:val="16"/>
                <w:szCs w:val="16"/>
                <w:color w:val="auto"/>
              </w:rPr>
              <w:t>Soles</w:t>
            </w: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16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30,754</w:t>
            </w:r>
          </w:p>
        </w:tc>
        <w:tc>
          <w:tcPr>
            <w:tcW w:w="1460" w:type="dxa"/>
            <w:vAlign w:val="bottom"/>
          </w:tcPr>
          <w:p>
            <w:pPr>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rPr>
                <w:sz w:val="20"/>
                <w:szCs w:val="20"/>
                <w:color w:val="auto"/>
              </w:rPr>
            </w:pPr>
            <w:r>
              <w:rPr>
                <w:rFonts w:ascii="Arial" w:cs="Arial" w:eastAsia="Arial" w:hAnsi="Arial"/>
                <w:sz w:val="16"/>
                <w:szCs w:val="16"/>
                <w:color w:val="auto"/>
              </w:rPr>
              <w:t>425,783</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Soles</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75</w:t>
            </w: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46,132</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638,675</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Soles</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100</w:t>
            </w:r>
          </w:p>
        </w:tc>
        <w:tc>
          <w:tcPr>
            <w:tcW w:w="60" w:type="dxa"/>
            <w:vAlign w:val="bottom"/>
          </w:tcPr>
          <w:p>
            <w:pPr>
              <w:spacing w:after="0"/>
              <w:rPr>
                <w:sz w:val="15"/>
                <w:szCs w:val="15"/>
                <w:color w:val="auto"/>
              </w:rPr>
            </w:pP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61,509</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851,567</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Soles</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150</w:t>
            </w:r>
          </w:p>
        </w:tc>
        <w:tc>
          <w:tcPr>
            <w:tcW w:w="60" w:type="dxa"/>
            <w:vAlign w:val="bottom"/>
          </w:tcPr>
          <w:p>
            <w:pPr>
              <w:spacing w:after="0"/>
              <w:rPr>
                <w:sz w:val="15"/>
                <w:szCs w:val="15"/>
                <w:color w:val="auto"/>
              </w:rPr>
            </w:pP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92,263</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1,277,350</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U.S. Dollar</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50</w:t>
            </w: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134,532</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191,211</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U.S. Dollar</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75</w:t>
            </w: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201,798</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286,816</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U.S. Dollar</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100</w:t>
            </w:r>
          </w:p>
        </w:tc>
        <w:tc>
          <w:tcPr>
            <w:tcW w:w="60" w:type="dxa"/>
            <w:vAlign w:val="bottom"/>
          </w:tcPr>
          <w:p>
            <w:pPr>
              <w:spacing w:after="0"/>
              <w:rPr>
                <w:sz w:val="15"/>
                <w:szCs w:val="15"/>
                <w:color w:val="auto"/>
              </w:rPr>
            </w:pP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269,064</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382,421</w:t>
            </w:r>
          </w:p>
        </w:tc>
      </w:tr>
      <w:tr>
        <w:trPr>
          <w:trHeight w:val="205"/>
        </w:trPr>
        <w:tc>
          <w:tcPr>
            <w:tcW w:w="3340" w:type="dxa"/>
            <w:vAlign w:val="bottom"/>
            <w:gridSpan w:val="3"/>
          </w:tcPr>
          <w:p>
            <w:pPr>
              <w:ind w:left="1120"/>
              <w:spacing w:after="0"/>
              <w:rPr>
                <w:sz w:val="20"/>
                <w:szCs w:val="20"/>
                <w:color w:val="auto"/>
              </w:rPr>
            </w:pPr>
            <w:r>
              <w:rPr>
                <w:rFonts w:ascii="Arial" w:cs="Arial" w:eastAsia="Arial" w:hAnsi="Arial"/>
                <w:sz w:val="16"/>
                <w:szCs w:val="16"/>
                <w:color w:val="auto"/>
              </w:rPr>
              <w:t>U.S. Dollar</w:t>
            </w: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403,595</w:t>
            </w:r>
          </w:p>
        </w:tc>
        <w:tc>
          <w:tcPr>
            <w:tcW w:w="1460" w:type="dxa"/>
            <w:vAlign w:val="bottom"/>
          </w:tcPr>
          <w:p>
            <w:pPr>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rPr>
                <w:sz w:val="20"/>
                <w:szCs w:val="20"/>
                <w:color w:val="auto"/>
              </w:rPr>
            </w:pPr>
            <w:r>
              <w:rPr>
                <w:rFonts w:ascii="Arial" w:cs="Arial" w:eastAsia="Arial" w:hAnsi="Arial"/>
                <w:sz w:val="16"/>
                <w:szCs w:val="16"/>
                <w:color w:val="auto"/>
              </w:rPr>
              <w:t>573,632</w:t>
            </w:r>
          </w:p>
        </w:tc>
      </w:tr>
      <w:tr>
        <w:trPr>
          <w:trHeight w:val="323"/>
        </w:trPr>
        <w:tc>
          <w:tcPr>
            <w:tcW w:w="3260" w:type="dxa"/>
            <w:vAlign w:val="bottom"/>
            <w:gridSpan w:val="2"/>
          </w:tcPr>
          <w:p>
            <w:pPr>
              <w:ind w:left="112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50"/>
        </w:trPr>
        <w:tc>
          <w:tcPr>
            <w:tcW w:w="1120" w:type="dxa"/>
            <w:vAlign w:val="bottom"/>
          </w:tcPr>
          <w:p>
            <w:pPr>
              <w:spacing w:after="0"/>
              <w:rPr>
                <w:sz w:val="13"/>
                <w:szCs w:val="13"/>
                <w:color w:val="auto"/>
              </w:rPr>
            </w:pPr>
          </w:p>
        </w:tc>
        <w:tc>
          <w:tcPr>
            <w:tcW w:w="2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Changes in</w:t>
            </w: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ind w:left="40"/>
              <w:spacing w:after="0" w:line="150" w:lineRule="exact"/>
              <w:rPr>
                <w:sz w:val="20"/>
                <w:szCs w:val="20"/>
                <w:color w:val="auto"/>
              </w:rPr>
            </w:pPr>
            <w:r>
              <w:rPr>
                <w:rFonts w:ascii="Arial" w:cs="Arial" w:eastAsia="Arial" w:hAnsi="Arial"/>
                <w:sz w:val="16"/>
                <w:szCs w:val="16"/>
                <w:b w:val="1"/>
                <w:bCs w:val="1"/>
                <w:color w:val="auto"/>
              </w:rPr>
              <w:t>Sensitivity of net</w:t>
            </w: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b w:val="1"/>
                <w:bCs w:val="1"/>
                <w:color w:val="auto"/>
              </w:rPr>
              <w:t>Sensitivity of Net</w:t>
            </w:r>
          </w:p>
        </w:tc>
        <w:tc>
          <w:tcPr>
            <w:tcW w:w="900" w:type="dxa"/>
            <w:vAlign w:val="bottom"/>
            <w:tcBorders>
              <w:top w:val="single" w:sz="8" w:color="auto"/>
            </w:tcBorders>
          </w:tcPr>
          <w:p>
            <w:pPr>
              <w:spacing w:after="0"/>
              <w:rPr>
                <w:sz w:val="13"/>
                <w:szCs w:val="13"/>
                <w:color w:val="auto"/>
              </w:rPr>
            </w:pPr>
          </w:p>
        </w:tc>
        <w:tc>
          <w:tcPr>
            <w:tcW w:w="1020" w:type="dxa"/>
            <w:vAlign w:val="bottom"/>
          </w:tcPr>
          <w:p>
            <w:pPr>
              <w:spacing w:after="0"/>
              <w:rPr>
                <w:sz w:val="13"/>
                <w:szCs w:val="13"/>
                <w:color w:val="auto"/>
              </w:rPr>
            </w:pPr>
          </w:p>
        </w:tc>
      </w:tr>
      <w:tr>
        <w:trPr>
          <w:trHeight w:val="192"/>
        </w:trPr>
        <w:tc>
          <w:tcPr>
            <w:tcW w:w="3340" w:type="dxa"/>
            <w:vAlign w:val="bottom"/>
            <w:gridSpan w:val="3"/>
          </w:tcPr>
          <w:p>
            <w:pPr>
              <w:ind w:left="1120"/>
              <w:spacing w:after="0"/>
              <w:rPr>
                <w:sz w:val="20"/>
                <w:szCs w:val="20"/>
                <w:color w:val="auto"/>
              </w:rPr>
            </w:pPr>
            <w:r>
              <w:rPr>
                <w:rFonts w:ascii="Arial" w:cs="Arial" w:eastAsia="Arial" w:hAnsi="Arial"/>
                <w:sz w:val="16"/>
                <w:szCs w:val="16"/>
                <w:b w:val="1"/>
                <w:bCs w:val="1"/>
                <w:color w:val="auto"/>
              </w:rPr>
              <w:t>Currency</w:t>
            </w:r>
          </w:p>
        </w:tc>
        <w:tc>
          <w:tcPr>
            <w:tcW w:w="1280" w:type="dxa"/>
            <w:vAlign w:val="bottom"/>
          </w:tcPr>
          <w:p>
            <w:pPr>
              <w:spacing w:after="0"/>
              <w:rPr>
                <w:sz w:val="20"/>
                <w:szCs w:val="20"/>
                <w:color w:val="auto"/>
              </w:rPr>
            </w:pPr>
            <w:r>
              <w:rPr>
                <w:rFonts w:ascii="Arial" w:cs="Arial" w:eastAsia="Arial" w:hAnsi="Arial"/>
                <w:sz w:val="16"/>
                <w:szCs w:val="16"/>
                <w:b w:val="1"/>
                <w:bCs w:val="1"/>
                <w:color w:val="auto"/>
              </w:rPr>
              <w:t>basis points</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profit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Arial" w:cs="Arial" w:eastAsia="Arial" w:hAnsi="Arial"/>
                <w:sz w:val="16"/>
                <w:szCs w:val="16"/>
                <w:b w:val="1"/>
                <w:bCs w:val="1"/>
                <w:color w:val="auto"/>
              </w:rPr>
              <w:t>Economic Value</w:t>
            </w: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6"/>
        </w:trPr>
        <w:tc>
          <w:tcPr>
            <w:tcW w:w="112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90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296"/>
        </w:trPr>
        <w:tc>
          <w:tcPr>
            <w:tcW w:w="3340" w:type="dxa"/>
            <w:vAlign w:val="bottom"/>
            <w:gridSpan w:val="3"/>
          </w:tcPr>
          <w:p>
            <w:pPr>
              <w:ind w:left="1120"/>
              <w:spacing w:after="0"/>
              <w:rPr>
                <w:sz w:val="20"/>
                <w:szCs w:val="20"/>
                <w:color w:val="auto"/>
              </w:rPr>
            </w:pPr>
            <w:r>
              <w:rPr>
                <w:rFonts w:ascii="Arial" w:cs="Arial" w:eastAsia="Arial" w:hAnsi="Arial"/>
                <w:sz w:val="16"/>
                <w:szCs w:val="16"/>
                <w:color w:val="auto"/>
              </w:rPr>
              <w:t>Soles</w:t>
            </w: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16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15,052</w:t>
            </w:r>
          </w:p>
        </w:tc>
        <w:tc>
          <w:tcPr>
            <w:tcW w:w="1460" w:type="dxa"/>
            <w:vAlign w:val="bottom"/>
          </w:tcPr>
          <w:p>
            <w:pPr>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rPr>
                <w:sz w:val="20"/>
                <w:szCs w:val="20"/>
                <w:color w:val="auto"/>
              </w:rPr>
            </w:pPr>
            <w:r>
              <w:rPr>
                <w:rFonts w:ascii="Arial" w:cs="Arial" w:eastAsia="Arial" w:hAnsi="Arial"/>
                <w:sz w:val="16"/>
                <w:szCs w:val="16"/>
                <w:color w:val="auto"/>
              </w:rPr>
              <w:t>511,851</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Soles</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75</w:t>
            </w: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22,578</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767,776</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Soles</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100</w:t>
            </w:r>
          </w:p>
        </w:tc>
        <w:tc>
          <w:tcPr>
            <w:tcW w:w="60" w:type="dxa"/>
            <w:vAlign w:val="bottom"/>
          </w:tcPr>
          <w:p>
            <w:pPr>
              <w:spacing w:after="0"/>
              <w:rPr>
                <w:sz w:val="15"/>
                <w:szCs w:val="15"/>
                <w:color w:val="auto"/>
              </w:rPr>
            </w:pP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30,104</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1,023,702</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Soles</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150</w:t>
            </w:r>
          </w:p>
        </w:tc>
        <w:tc>
          <w:tcPr>
            <w:tcW w:w="60" w:type="dxa"/>
            <w:vAlign w:val="bottom"/>
          </w:tcPr>
          <w:p>
            <w:pPr>
              <w:spacing w:after="0"/>
              <w:rPr>
                <w:sz w:val="15"/>
                <w:szCs w:val="15"/>
                <w:color w:val="auto"/>
              </w:rPr>
            </w:pP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45,156</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1,535,553</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U.S. Dollar</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50</w:t>
            </w: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48,060</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119,342</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U.S. Dollar</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75</w:t>
            </w: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72,090</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179,013</w:t>
            </w:r>
          </w:p>
        </w:tc>
      </w:tr>
      <w:tr>
        <w:trPr>
          <w:trHeight w:val="175"/>
        </w:trPr>
        <w:tc>
          <w:tcPr>
            <w:tcW w:w="3340" w:type="dxa"/>
            <w:vAlign w:val="bottom"/>
            <w:gridSpan w:val="3"/>
          </w:tcPr>
          <w:p>
            <w:pPr>
              <w:ind w:left="1120"/>
              <w:spacing w:after="0" w:line="175" w:lineRule="exact"/>
              <w:rPr>
                <w:sz w:val="20"/>
                <w:szCs w:val="20"/>
                <w:color w:val="auto"/>
              </w:rPr>
            </w:pPr>
            <w:r>
              <w:rPr>
                <w:rFonts w:ascii="Arial" w:cs="Arial" w:eastAsia="Arial" w:hAnsi="Arial"/>
                <w:sz w:val="16"/>
                <w:szCs w:val="16"/>
                <w:color w:val="auto"/>
              </w:rPr>
              <w:t>U.S. Dollar</w:t>
            </w:r>
          </w:p>
        </w:tc>
        <w:tc>
          <w:tcPr>
            <w:tcW w:w="128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100</w:t>
            </w:r>
          </w:p>
        </w:tc>
        <w:tc>
          <w:tcPr>
            <w:tcW w:w="60" w:type="dxa"/>
            <w:vAlign w:val="bottom"/>
          </w:tcPr>
          <w:p>
            <w:pPr>
              <w:spacing w:after="0"/>
              <w:rPr>
                <w:sz w:val="15"/>
                <w:szCs w:val="15"/>
                <w:color w:val="auto"/>
              </w:rPr>
            </w:pPr>
          </w:p>
        </w:tc>
        <w:tc>
          <w:tcPr>
            <w:tcW w:w="160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96,120</w:t>
            </w:r>
          </w:p>
        </w:tc>
        <w:tc>
          <w:tcPr>
            <w:tcW w:w="14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line="175" w:lineRule="exact"/>
              <w:rPr>
                <w:sz w:val="20"/>
                <w:szCs w:val="20"/>
                <w:color w:val="auto"/>
              </w:rPr>
            </w:pPr>
            <w:r>
              <w:rPr>
                <w:rFonts w:ascii="Arial" w:cs="Arial" w:eastAsia="Arial" w:hAnsi="Arial"/>
                <w:sz w:val="16"/>
                <w:szCs w:val="16"/>
                <w:color w:val="auto"/>
              </w:rPr>
              <w:t>238,684</w:t>
            </w:r>
          </w:p>
        </w:tc>
      </w:tr>
      <w:tr>
        <w:trPr>
          <w:trHeight w:val="205"/>
        </w:trPr>
        <w:tc>
          <w:tcPr>
            <w:tcW w:w="3340" w:type="dxa"/>
            <w:vAlign w:val="bottom"/>
            <w:gridSpan w:val="3"/>
          </w:tcPr>
          <w:p>
            <w:pPr>
              <w:ind w:left="1120"/>
              <w:spacing w:after="0"/>
              <w:rPr>
                <w:sz w:val="20"/>
                <w:szCs w:val="20"/>
                <w:color w:val="auto"/>
              </w:rPr>
            </w:pPr>
            <w:r>
              <w:rPr>
                <w:rFonts w:ascii="Arial" w:cs="Arial" w:eastAsia="Arial" w:hAnsi="Arial"/>
                <w:sz w:val="16"/>
                <w:szCs w:val="16"/>
                <w:color w:val="auto"/>
              </w:rPr>
              <w:t>U.S. Dollar</w:t>
            </w:r>
          </w:p>
        </w:tc>
        <w:tc>
          <w:tcPr>
            <w:tcW w:w="12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144,180</w:t>
            </w:r>
          </w:p>
        </w:tc>
        <w:tc>
          <w:tcPr>
            <w:tcW w:w="1460" w:type="dxa"/>
            <w:vAlign w:val="bottom"/>
          </w:tcPr>
          <w:p>
            <w:pPr>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1020"/>
              <w:spacing w:after="0"/>
              <w:rPr>
                <w:sz w:val="20"/>
                <w:szCs w:val="20"/>
                <w:color w:val="auto"/>
              </w:rPr>
            </w:pPr>
            <w:r>
              <w:rPr>
                <w:rFonts w:ascii="Arial" w:cs="Arial" w:eastAsia="Arial" w:hAnsi="Arial"/>
                <w:sz w:val="16"/>
                <w:szCs w:val="16"/>
                <w:color w:val="auto"/>
              </w:rPr>
              <w:t>358,026</w:t>
            </w:r>
          </w:p>
        </w:tc>
      </w:tr>
      <w:tr>
        <w:trPr>
          <w:trHeight w:val="457"/>
        </w:trPr>
        <w:tc>
          <w:tcPr>
            <w:tcW w:w="1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right"/>
              <w:ind w:right="1082"/>
              <w:spacing w:after="0"/>
              <w:rPr>
                <w:sz w:val="20"/>
                <w:szCs w:val="20"/>
                <w:color w:val="auto"/>
              </w:rPr>
            </w:pPr>
            <w:r>
              <w:rPr>
                <w:rFonts w:ascii="Arial" w:cs="Arial" w:eastAsia="Arial" w:hAnsi="Arial"/>
                <w:sz w:val="12"/>
                <w:szCs w:val="12"/>
                <w:color w:val="auto"/>
              </w:rPr>
              <w:t>-148-</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1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151" w:name="page152"/>
    <w:bookmarkEnd w:id="151"/>
    <w:p>
      <w:pPr>
        <w:ind w:left="1120" w:right="160"/>
        <w:spacing w:after="0" w:line="294" w:lineRule="auto"/>
        <w:rPr>
          <w:sz w:val="20"/>
          <w:szCs w:val="20"/>
          <w:color w:val="auto"/>
        </w:rPr>
      </w:pPr>
      <w:r>
        <w:rPr>
          <w:rFonts w:ascii="Arial" w:cs="Arial" w:eastAsia="Arial" w:hAnsi="Arial"/>
          <w:sz w:val="14"/>
          <w:szCs w:val="14"/>
          <w:color w:val="auto"/>
        </w:rPr>
        <w:t>The interest rate sensitivities set out in the table above are only illustrative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w:t>
      </w:r>
    </w:p>
    <w:p>
      <w:pPr>
        <w:spacing w:after="0" w:line="110" w:lineRule="exact"/>
        <w:rPr>
          <w:sz w:val="20"/>
          <w:szCs w:val="20"/>
          <w:color w:val="auto"/>
        </w:rPr>
      </w:pPr>
    </w:p>
    <w:p>
      <w:pPr>
        <w:ind w:left="1120" w:right="160"/>
        <w:spacing w:after="0" w:line="241" w:lineRule="auto"/>
        <w:rPr>
          <w:sz w:val="20"/>
          <w:szCs w:val="20"/>
          <w:color w:val="auto"/>
        </w:rPr>
      </w:pPr>
      <w:r>
        <w:rPr>
          <w:rFonts w:ascii="Arial" w:cs="Arial" w:eastAsia="Arial" w:hAnsi="Arial"/>
          <w:sz w:val="16"/>
          <w:szCs w:val="16"/>
          <w:color w:val="auto"/>
        </w:rPr>
        <w:t>The Group seeks proactively to change the interest rate risk profile to minimize losses and optimize net revenues. The projections above also assume that the interest rate of all maturities moves by the same amount and, therefore, do not reflect the potential impact on net interest income of some rates changing while others remain unchanged.</w:t>
      </w:r>
    </w:p>
    <w:p>
      <w:pPr>
        <w:spacing w:after="0" w:line="146" w:lineRule="exact"/>
        <w:rPr>
          <w:sz w:val="20"/>
          <w:szCs w:val="20"/>
          <w:color w:val="auto"/>
        </w:rPr>
      </w:pPr>
    </w:p>
    <w:p>
      <w:pPr>
        <w:ind w:left="1120" w:right="80"/>
        <w:spacing w:after="0" w:line="238" w:lineRule="auto"/>
        <w:rPr>
          <w:sz w:val="20"/>
          <w:szCs w:val="20"/>
          <w:color w:val="auto"/>
        </w:rPr>
      </w:pPr>
      <w:r>
        <w:rPr>
          <w:rFonts w:ascii="Arial" w:cs="Arial" w:eastAsia="Arial" w:hAnsi="Arial"/>
          <w:sz w:val="16"/>
          <w:szCs w:val="16"/>
          <w:color w:val="auto"/>
        </w:rPr>
        <w:t>As of December 31, 2024 and 2023, investments in equity securities and funds that are non-trading, recorded at fair value through other comprehensive income and at fair value through profit or loss, respectively, are not considered as comprising investment securities for interest rate sensitivity calculation purposes; however, a 10.0, 25.0 and 30.0 percent of changes in market prices is conducted to these price-sensitivity securities.</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 market price sensitivity tests as of December 31, 2024 and 2023 are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Equity securities</w:t>
            </w:r>
          </w:p>
        </w:tc>
        <w:tc>
          <w:tcPr>
            <w:tcW w:w="1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50"/>
        </w:trPr>
        <w:tc>
          <w:tcPr>
            <w:tcW w:w="1120" w:type="dxa"/>
            <w:vAlign w:val="bottom"/>
          </w:tcPr>
          <w:p>
            <w:pPr>
              <w:spacing w:after="0"/>
              <w:rPr>
                <w:sz w:val="13"/>
                <w:szCs w:val="13"/>
                <w:color w:val="auto"/>
              </w:rPr>
            </w:pPr>
          </w:p>
        </w:tc>
        <w:tc>
          <w:tcPr>
            <w:tcW w:w="3800" w:type="dxa"/>
            <w:vAlign w:val="bottom"/>
          </w:tcPr>
          <w:p>
            <w:pPr>
              <w:spacing w:after="0" w:line="150" w:lineRule="exact"/>
              <w:rPr>
                <w:sz w:val="20"/>
                <w:szCs w:val="20"/>
                <w:color w:val="auto"/>
              </w:rPr>
            </w:pPr>
            <w:r>
              <w:rPr>
                <w:rFonts w:ascii="Arial" w:cs="Arial" w:eastAsia="Arial" w:hAnsi="Arial"/>
                <w:sz w:val="16"/>
                <w:szCs w:val="16"/>
                <w:b w:val="1"/>
                <w:bCs w:val="1"/>
                <w:color w:val="auto"/>
              </w:rPr>
              <w:t>Measured at fair value through</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line="150" w:lineRule="exact"/>
              <w:rPr>
                <w:sz w:val="20"/>
                <w:szCs w:val="20"/>
                <w:color w:val="auto"/>
              </w:rPr>
            </w:pPr>
            <w:r>
              <w:rPr>
                <w:rFonts w:ascii="Arial" w:cs="Arial" w:eastAsia="Arial" w:hAnsi="Arial"/>
                <w:sz w:val="16"/>
                <w:szCs w:val="16"/>
                <w:b w:val="1"/>
                <w:bCs w:val="1"/>
                <w:color w:val="auto"/>
              </w:rPr>
              <w:t>Change in</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3"/>
        </w:trPr>
        <w:tc>
          <w:tcPr>
            <w:tcW w:w="11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market prices</w:t>
            </w:r>
          </w:p>
        </w:tc>
        <w:tc>
          <w:tcPr>
            <w:tcW w:w="1020" w:type="dxa"/>
            <w:vAlign w:val="bottom"/>
          </w:tcPr>
          <w:p>
            <w:pPr>
              <w:jc w:val="right"/>
              <w:ind w:right="582"/>
              <w:spacing w:after="0"/>
              <w:rPr>
                <w:sz w:val="20"/>
                <w:szCs w:val="20"/>
                <w:color w:val="auto"/>
              </w:rPr>
            </w:pPr>
            <w:r>
              <w:rPr>
                <w:rFonts w:ascii="Arial" w:cs="Arial" w:eastAsia="Arial" w:hAnsi="Arial"/>
                <w:sz w:val="16"/>
                <w:szCs w:val="16"/>
                <w:b w:val="1"/>
                <w:bCs w:val="1"/>
                <w:color w:val="auto"/>
                <w:w w:val="95"/>
              </w:rPr>
              <w:t>2024</w:t>
            </w:r>
          </w:p>
        </w:tc>
        <w:tc>
          <w:tcPr>
            <w:tcW w:w="200" w:type="dxa"/>
            <w:vAlign w:val="bottom"/>
          </w:tcPr>
          <w:p>
            <w:pPr>
              <w:spacing w:after="0"/>
              <w:rPr>
                <w:sz w:val="17"/>
                <w:szCs w:val="17"/>
                <w:color w:val="auto"/>
              </w:rPr>
            </w:pPr>
          </w:p>
        </w:tc>
        <w:tc>
          <w:tcPr>
            <w:tcW w:w="1000" w:type="dxa"/>
            <w:vAlign w:val="bottom"/>
          </w:tcPr>
          <w:p>
            <w:pPr>
              <w:jc w:val="right"/>
              <w:ind w:right="582"/>
              <w:spacing w:after="0"/>
              <w:rPr>
                <w:sz w:val="20"/>
                <w:szCs w:val="20"/>
                <w:color w:val="auto"/>
              </w:rPr>
            </w:pPr>
            <w:r>
              <w:rPr>
                <w:rFonts w:ascii="Arial" w:cs="Arial" w:eastAsia="Arial" w:hAnsi="Arial"/>
                <w:sz w:val="16"/>
                <w:szCs w:val="16"/>
                <w:b w:val="1"/>
                <w:bCs w:val="1"/>
                <w:color w:val="auto"/>
                <w:w w:val="89"/>
              </w:rPr>
              <w:t>2023</w:t>
            </w:r>
          </w:p>
        </w:tc>
        <w:tc>
          <w:tcPr>
            <w:tcW w:w="11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38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02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00" w:type="dxa"/>
            <w:vAlign w:val="bottom"/>
            <w:tcBorders>
              <w:top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S/(000)</w:t>
            </w:r>
          </w:p>
        </w:tc>
        <w:tc>
          <w:tcPr>
            <w:tcW w:w="1120" w:type="dxa"/>
            <w:vAlign w:val="bottom"/>
          </w:tcPr>
          <w:p>
            <w:pPr>
              <w:spacing w:after="0"/>
              <w:rPr>
                <w:sz w:val="17"/>
                <w:szCs w:val="17"/>
                <w:color w:val="auto"/>
              </w:rPr>
            </w:pPr>
          </w:p>
        </w:tc>
      </w:tr>
      <w:tr>
        <w:trPr>
          <w:trHeight w:val="296"/>
        </w:trPr>
        <w:tc>
          <w:tcPr>
            <w:tcW w:w="112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Equity securities</w:t>
            </w:r>
          </w:p>
        </w:tc>
        <w:tc>
          <w:tcPr>
            <w:tcW w:w="3000" w:type="dxa"/>
            <w:vAlign w:val="bottom"/>
            <w:gridSpan w:val="4"/>
          </w:tcPr>
          <w:p>
            <w:pPr>
              <w:jc w:val="right"/>
              <w:ind w:right="160"/>
              <w:spacing w:after="0"/>
              <w:rPr>
                <w:sz w:val="20"/>
                <w:szCs w:val="20"/>
                <w:color w:val="auto"/>
              </w:rPr>
            </w:pPr>
            <w:r>
              <w:rPr>
                <w:rFonts w:ascii="Arial" w:cs="Arial" w:eastAsia="Arial" w:hAnsi="Arial"/>
                <w:sz w:val="16"/>
                <w:szCs w:val="16"/>
                <w:color w:val="auto"/>
              </w:rPr>
              <w:t>+/-10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14,726</w:t>
            </w:r>
          </w:p>
        </w:tc>
        <w:tc>
          <w:tcPr>
            <w:tcW w:w="2120" w:type="dxa"/>
            <w:vAlign w:val="bottom"/>
            <w:gridSpan w:val="2"/>
          </w:tcPr>
          <w:p>
            <w:pPr>
              <w:jc w:val="right"/>
              <w:ind w:right="1120"/>
              <w:spacing w:after="0"/>
              <w:rPr>
                <w:sz w:val="20"/>
                <w:szCs w:val="20"/>
                <w:color w:val="auto"/>
              </w:rPr>
            </w:pPr>
            <w:r>
              <w:rPr>
                <w:rFonts w:ascii="Arial" w:cs="Arial" w:eastAsia="Arial" w:hAnsi="Arial"/>
                <w:sz w:val="16"/>
                <w:szCs w:val="16"/>
                <w:color w:val="auto"/>
              </w:rPr>
              <w:t>33,480</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Equity securities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+/-25</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36,816</w:t>
            </w: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83,700</w:t>
            </w:r>
          </w:p>
        </w:tc>
      </w:tr>
      <w:tr>
        <w:trPr>
          <w:trHeight w:val="205"/>
        </w:trPr>
        <w:tc>
          <w:tcPr>
            <w:tcW w:w="11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Equity securities</w:t>
            </w:r>
          </w:p>
        </w:tc>
        <w:tc>
          <w:tcPr>
            <w:tcW w:w="3000" w:type="dxa"/>
            <w:vAlign w:val="bottom"/>
            <w:gridSpan w:val="4"/>
          </w:tcPr>
          <w:p>
            <w:pPr>
              <w:jc w:val="right"/>
              <w:ind w:right="160"/>
              <w:spacing w:after="0"/>
              <w:rPr>
                <w:sz w:val="20"/>
                <w:szCs w:val="20"/>
                <w:color w:val="auto"/>
              </w:rPr>
            </w:pPr>
            <w:r>
              <w:rPr>
                <w:rFonts w:ascii="Arial" w:cs="Arial" w:eastAsia="Arial" w:hAnsi="Arial"/>
                <w:sz w:val="16"/>
                <w:szCs w:val="16"/>
                <w:color w:val="auto"/>
              </w:rPr>
              <w:t>+/-30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44,179</w:t>
            </w:r>
          </w:p>
        </w:tc>
        <w:tc>
          <w:tcPr>
            <w:tcW w:w="1000" w:type="dxa"/>
            <w:vAlign w:val="bottom"/>
          </w:tcPr>
          <w:p>
            <w:pPr>
              <w:jc w:val="right"/>
              <w:spacing w:after="0"/>
              <w:rPr>
                <w:sz w:val="20"/>
                <w:szCs w:val="20"/>
                <w:color w:val="auto"/>
              </w:rPr>
            </w:pPr>
            <w:r>
              <w:rPr>
                <w:rFonts w:ascii="Arial" w:cs="Arial" w:eastAsia="Arial" w:hAnsi="Arial"/>
                <w:sz w:val="16"/>
                <w:szCs w:val="16"/>
                <w:color w:val="auto"/>
              </w:rPr>
              <w:t>100,440</w:t>
            </w:r>
          </w:p>
        </w:tc>
        <w:tc>
          <w:tcPr>
            <w:tcW w:w="1120" w:type="dxa"/>
            <w:vAlign w:val="bottom"/>
          </w:tcPr>
          <w:p>
            <w:pPr>
              <w:spacing w:after="0"/>
              <w:rPr>
                <w:sz w:val="17"/>
                <w:szCs w:val="17"/>
                <w:color w:val="auto"/>
              </w:rPr>
            </w:pPr>
          </w:p>
        </w:tc>
      </w:tr>
      <w:tr>
        <w:trPr>
          <w:trHeight w:val="323"/>
        </w:trPr>
        <w:tc>
          <w:tcPr>
            <w:tcW w:w="1120" w:type="dxa"/>
            <w:vAlign w:val="bottom"/>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Funds</w:t>
            </w:r>
          </w:p>
        </w:tc>
        <w:tc>
          <w:tcPr>
            <w:tcW w:w="1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50"/>
        </w:trPr>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line="150" w:lineRule="exact"/>
              <w:rPr>
                <w:sz w:val="20"/>
                <w:szCs w:val="20"/>
                <w:color w:val="auto"/>
              </w:rPr>
            </w:pPr>
            <w:r>
              <w:rPr>
                <w:rFonts w:ascii="Arial" w:cs="Arial" w:eastAsia="Arial" w:hAnsi="Arial"/>
                <w:sz w:val="16"/>
                <w:szCs w:val="16"/>
                <w:b w:val="1"/>
                <w:bCs w:val="1"/>
                <w:color w:val="auto"/>
              </w:rPr>
              <w:t>Change in</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3"/>
        </w:trPr>
        <w:tc>
          <w:tcPr>
            <w:tcW w:w="11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b w:val="1"/>
                <w:bCs w:val="1"/>
                <w:color w:val="auto"/>
              </w:rPr>
              <w:t>Measured at fair value through profit or loss</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market prices</w:t>
            </w:r>
          </w:p>
        </w:tc>
        <w:tc>
          <w:tcPr>
            <w:tcW w:w="1020" w:type="dxa"/>
            <w:vAlign w:val="bottom"/>
          </w:tcPr>
          <w:p>
            <w:pPr>
              <w:jc w:val="right"/>
              <w:ind w:right="582"/>
              <w:spacing w:after="0"/>
              <w:rPr>
                <w:sz w:val="20"/>
                <w:szCs w:val="20"/>
                <w:color w:val="auto"/>
              </w:rPr>
            </w:pPr>
            <w:r>
              <w:rPr>
                <w:rFonts w:ascii="Arial" w:cs="Arial" w:eastAsia="Arial" w:hAnsi="Arial"/>
                <w:sz w:val="16"/>
                <w:szCs w:val="16"/>
                <w:b w:val="1"/>
                <w:bCs w:val="1"/>
                <w:color w:val="auto"/>
                <w:w w:val="95"/>
              </w:rPr>
              <w:t>2024</w:t>
            </w:r>
          </w:p>
        </w:tc>
        <w:tc>
          <w:tcPr>
            <w:tcW w:w="200" w:type="dxa"/>
            <w:vAlign w:val="bottom"/>
          </w:tcPr>
          <w:p>
            <w:pPr>
              <w:spacing w:after="0"/>
              <w:rPr>
                <w:sz w:val="17"/>
                <w:szCs w:val="17"/>
                <w:color w:val="auto"/>
              </w:rPr>
            </w:pPr>
          </w:p>
        </w:tc>
        <w:tc>
          <w:tcPr>
            <w:tcW w:w="1000" w:type="dxa"/>
            <w:vAlign w:val="bottom"/>
          </w:tcPr>
          <w:p>
            <w:pPr>
              <w:jc w:val="right"/>
              <w:ind w:right="582"/>
              <w:spacing w:after="0"/>
              <w:rPr>
                <w:sz w:val="20"/>
                <w:szCs w:val="20"/>
                <w:color w:val="auto"/>
              </w:rPr>
            </w:pPr>
            <w:r>
              <w:rPr>
                <w:rFonts w:ascii="Arial" w:cs="Arial" w:eastAsia="Arial" w:hAnsi="Arial"/>
                <w:sz w:val="16"/>
                <w:szCs w:val="16"/>
                <w:b w:val="1"/>
                <w:bCs w:val="1"/>
                <w:color w:val="auto"/>
                <w:w w:val="89"/>
              </w:rPr>
              <w:t>2023</w:t>
            </w:r>
          </w:p>
        </w:tc>
        <w:tc>
          <w:tcPr>
            <w:tcW w:w="1120" w:type="dxa"/>
            <w:vAlign w:val="bottom"/>
          </w:tcPr>
          <w:p>
            <w:pPr>
              <w:spacing w:after="0"/>
              <w:rPr>
                <w:sz w:val="17"/>
                <w:szCs w:val="17"/>
                <w:color w:val="auto"/>
              </w:rPr>
            </w:pPr>
          </w:p>
        </w:tc>
      </w:tr>
      <w:tr>
        <w:trPr>
          <w:trHeight w:val="152"/>
        </w:trPr>
        <w:tc>
          <w:tcPr>
            <w:tcW w:w="1120" w:type="dxa"/>
            <w:vAlign w:val="bottom"/>
          </w:tcPr>
          <w:p>
            <w:pPr>
              <w:spacing w:after="0"/>
              <w:rPr>
                <w:sz w:val="13"/>
                <w:szCs w:val="13"/>
                <w:color w:val="auto"/>
              </w:rPr>
            </w:pPr>
          </w:p>
        </w:tc>
        <w:tc>
          <w:tcPr>
            <w:tcW w:w="38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line="152"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1020" w:type="dxa"/>
            <w:vAlign w:val="bottom"/>
            <w:tcBorders>
              <w:top w:val="single" w:sz="8" w:color="auto"/>
            </w:tcBorders>
          </w:tcPr>
          <w:p>
            <w:pPr>
              <w:jc w:val="right"/>
              <w:ind w:right="322"/>
              <w:spacing w:after="0" w:line="152" w:lineRule="exact"/>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3"/>
                <w:szCs w:val="13"/>
                <w:color w:val="auto"/>
              </w:rPr>
            </w:pPr>
          </w:p>
        </w:tc>
        <w:tc>
          <w:tcPr>
            <w:tcW w:w="1000" w:type="dxa"/>
            <w:vAlign w:val="bottom"/>
            <w:tcBorders>
              <w:top w:val="single" w:sz="8" w:color="auto"/>
            </w:tcBorders>
          </w:tcPr>
          <w:p>
            <w:pPr>
              <w:jc w:val="right"/>
              <w:ind w:right="322"/>
              <w:spacing w:after="0" w:line="152" w:lineRule="exact"/>
              <w:rPr>
                <w:sz w:val="20"/>
                <w:szCs w:val="20"/>
                <w:color w:val="auto"/>
              </w:rPr>
            </w:pPr>
            <w:r>
              <w:rPr>
                <w:rFonts w:ascii="Arial" w:cs="Arial" w:eastAsia="Arial" w:hAnsi="Arial"/>
                <w:sz w:val="16"/>
                <w:szCs w:val="16"/>
                <w:b w:val="1"/>
                <w:bCs w:val="1"/>
                <w:color w:val="auto"/>
              </w:rPr>
              <w:t>S/(000)</w:t>
            </w:r>
          </w:p>
        </w:tc>
        <w:tc>
          <w:tcPr>
            <w:tcW w:w="1120" w:type="dxa"/>
            <w:vAlign w:val="bottom"/>
          </w:tcPr>
          <w:p>
            <w:pPr>
              <w:spacing w:after="0"/>
              <w:rPr>
                <w:sz w:val="13"/>
                <w:szCs w:val="13"/>
                <w:color w:val="auto"/>
              </w:rPr>
            </w:pP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Participation in mutual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+/-10</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62,216</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108,747</w:t>
            </w:r>
          </w:p>
        </w:tc>
        <w:tc>
          <w:tcPr>
            <w:tcW w:w="112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Participation in mutual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+/-25</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155,539</w:t>
            </w:r>
          </w:p>
        </w:tc>
        <w:tc>
          <w:tcPr>
            <w:tcW w:w="2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271,867</w:t>
            </w:r>
          </w:p>
        </w:tc>
        <w:tc>
          <w:tcPr>
            <w:tcW w:w="112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Participation in mutual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+/-30</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186,647</w:t>
            </w:r>
          </w:p>
        </w:tc>
        <w:tc>
          <w:tcPr>
            <w:tcW w:w="2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326,241</w:t>
            </w:r>
          </w:p>
        </w:tc>
        <w:tc>
          <w:tcPr>
            <w:tcW w:w="112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Restricted mutual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+/-10</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31,820</w:t>
            </w: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33,416</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Restricted mutual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+/-25</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79,549</w:t>
            </w: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83,541</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Restricted mutual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+/-30</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95,459</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100,249</w:t>
            </w:r>
          </w:p>
        </w:tc>
        <w:tc>
          <w:tcPr>
            <w:tcW w:w="112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Participation in RAL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+/-10</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43,250</w:t>
            </w: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14,541</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Participation in RAL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+/-25</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108,126</w:t>
            </w:r>
          </w:p>
        </w:tc>
        <w:tc>
          <w:tcPr>
            <w:tcW w:w="200" w:type="dxa"/>
            <w:vAlign w:val="bottom"/>
          </w:tcPr>
          <w:p>
            <w:pPr>
              <w:spacing w:after="0"/>
              <w:rPr>
                <w:sz w:val="15"/>
                <w:szCs w:val="15"/>
                <w:color w:val="auto"/>
              </w:rPr>
            </w:pP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36,354</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Participation in RAL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+/-30</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129,751</w:t>
            </w:r>
          </w:p>
        </w:tc>
        <w:tc>
          <w:tcPr>
            <w:tcW w:w="200" w:type="dxa"/>
            <w:vAlign w:val="bottom"/>
          </w:tcPr>
          <w:p>
            <w:pPr>
              <w:spacing w:after="0"/>
              <w:rPr>
                <w:sz w:val="15"/>
                <w:szCs w:val="15"/>
                <w:color w:val="auto"/>
              </w:rPr>
            </w:pP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43,624</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Investment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+/-10</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140,196</w:t>
            </w:r>
          </w:p>
        </w:tc>
        <w:tc>
          <w:tcPr>
            <w:tcW w:w="2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118,071</w:t>
            </w:r>
          </w:p>
        </w:tc>
        <w:tc>
          <w:tcPr>
            <w:tcW w:w="112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Investment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+/-25</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350,489</w:t>
            </w:r>
          </w:p>
        </w:tc>
        <w:tc>
          <w:tcPr>
            <w:tcW w:w="2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295,178</w:t>
            </w:r>
          </w:p>
        </w:tc>
        <w:tc>
          <w:tcPr>
            <w:tcW w:w="112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Investment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+/-30</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420,587</w:t>
            </w:r>
          </w:p>
        </w:tc>
        <w:tc>
          <w:tcPr>
            <w:tcW w:w="2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354,214</w:t>
            </w:r>
          </w:p>
        </w:tc>
        <w:tc>
          <w:tcPr>
            <w:tcW w:w="112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Hedge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+/-10</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32</w:t>
            </w: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29</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Hedge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+/-25</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81</w:t>
            </w: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73</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Hedge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+/-30</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97</w:t>
            </w: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87</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Exchange Trade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+/-10</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3,931</w:t>
            </w: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2,958</w:t>
            </w:r>
          </w:p>
        </w:tc>
      </w:tr>
      <w:tr>
        <w:trPr>
          <w:trHeight w:val="175"/>
        </w:trPr>
        <w:tc>
          <w:tcPr>
            <w:tcW w:w="1120" w:type="dxa"/>
            <w:vAlign w:val="bottom"/>
          </w:tcPr>
          <w:p>
            <w:pPr>
              <w:spacing w:after="0"/>
              <w:rPr>
                <w:sz w:val="15"/>
                <w:szCs w:val="15"/>
                <w:color w:val="auto"/>
              </w:rPr>
            </w:pPr>
          </w:p>
        </w:tc>
        <w:tc>
          <w:tcPr>
            <w:tcW w:w="3800" w:type="dxa"/>
            <w:vAlign w:val="bottom"/>
          </w:tcPr>
          <w:p>
            <w:pPr>
              <w:spacing w:after="0" w:line="175" w:lineRule="exact"/>
              <w:rPr>
                <w:sz w:val="20"/>
                <w:szCs w:val="20"/>
                <w:color w:val="auto"/>
              </w:rPr>
            </w:pPr>
            <w:r>
              <w:rPr>
                <w:rFonts w:ascii="Arial" w:cs="Arial" w:eastAsia="Arial" w:hAnsi="Arial"/>
                <w:sz w:val="16"/>
                <w:szCs w:val="16"/>
                <w:color w:val="auto"/>
              </w:rPr>
              <w:t>Exchange Trade Funds</w:t>
            </w:r>
          </w:p>
        </w:tc>
        <w:tc>
          <w:tcPr>
            <w:tcW w:w="3000" w:type="dxa"/>
            <w:vAlign w:val="bottom"/>
            <w:gridSpan w:val="4"/>
          </w:tcPr>
          <w:p>
            <w:pPr>
              <w:jc w:val="right"/>
              <w:ind w:right="160"/>
              <w:spacing w:after="0" w:line="175" w:lineRule="exact"/>
              <w:rPr>
                <w:sz w:val="20"/>
                <w:szCs w:val="20"/>
                <w:color w:val="auto"/>
              </w:rPr>
            </w:pPr>
            <w:r>
              <w:rPr>
                <w:rFonts w:ascii="Arial" w:cs="Arial" w:eastAsia="Arial" w:hAnsi="Arial"/>
                <w:sz w:val="16"/>
                <w:szCs w:val="16"/>
                <w:color w:val="auto"/>
              </w:rPr>
              <w:t>+/-25</w:t>
            </w:r>
          </w:p>
        </w:tc>
        <w:tc>
          <w:tcPr>
            <w:tcW w:w="122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9,827</w:t>
            </w:r>
          </w:p>
        </w:tc>
        <w:tc>
          <w:tcPr>
            <w:tcW w:w="2120" w:type="dxa"/>
            <w:vAlign w:val="bottom"/>
            <w:gridSpan w:val="2"/>
          </w:tcPr>
          <w:p>
            <w:pPr>
              <w:jc w:val="right"/>
              <w:ind w:right="1120"/>
              <w:spacing w:after="0" w:line="175" w:lineRule="exact"/>
              <w:rPr>
                <w:sz w:val="20"/>
                <w:szCs w:val="20"/>
                <w:color w:val="auto"/>
              </w:rPr>
            </w:pPr>
            <w:r>
              <w:rPr>
                <w:rFonts w:ascii="Arial" w:cs="Arial" w:eastAsia="Arial" w:hAnsi="Arial"/>
                <w:sz w:val="16"/>
                <w:szCs w:val="16"/>
                <w:color w:val="auto"/>
              </w:rPr>
              <w:t>7,396</w:t>
            </w:r>
          </w:p>
        </w:tc>
      </w:tr>
      <w:tr>
        <w:trPr>
          <w:trHeight w:val="205"/>
        </w:trPr>
        <w:tc>
          <w:tcPr>
            <w:tcW w:w="11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6"/>
                <w:szCs w:val="16"/>
                <w:color w:val="auto"/>
              </w:rPr>
              <w:t>Exchange Trade Funds</w:t>
            </w:r>
          </w:p>
        </w:tc>
        <w:tc>
          <w:tcPr>
            <w:tcW w:w="3000" w:type="dxa"/>
            <w:vAlign w:val="bottom"/>
            <w:gridSpan w:val="4"/>
          </w:tcPr>
          <w:p>
            <w:pPr>
              <w:jc w:val="right"/>
              <w:ind w:right="160"/>
              <w:spacing w:after="0"/>
              <w:rPr>
                <w:sz w:val="20"/>
                <w:szCs w:val="20"/>
                <w:color w:val="auto"/>
              </w:rPr>
            </w:pPr>
            <w:r>
              <w:rPr>
                <w:rFonts w:ascii="Arial" w:cs="Arial" w:eastAsia="Arial" w:hAnsi="Arial"/>
                <w:sz w:val="16"/>
                <w:szCs w:val="16"/>
                <w:color w:val="auto"/>
              </w:rPr>
              <w:t>+/-30</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11,793</w:t>
            </w:r>
          </w:p>
        </w:tc>
        <w:tc>
          <w:tcPr>
            <w:tcW w:w="2120" w:type="dxa"/>
            <w:vAlign w:val="bottom"/>
            <w:gridSpan w:val="2"/>
          </w:tcPr>
          <w:p>
            <w:pPr>
              <w:jc w:val="right"/>
              <w:ind w:right="1120"/>
              <w:spacing w:after="0"/>
              <w:rPr>
                <w:sz w:val="20"/>
                <w:szCs w:val="20"/>
                <w:color w:val="auto"/>
              </w:rPr>
            </w:pPr>
            <w:r>
              <w:rPr>
                <w:rFonts w:ascii="Arial" w:cs="Arial" w:eastAsia="Arial" w:hAnsi="Arial"/>
                <w:sz w:val="16"/>
                <w:szCs w:val="16"/>
                <w:color w:val="auto"/>
              </w:rPr>
              <w:t>8,875</w:t>
            </w:r>
          </w:p>
        </w:tc>
      </w:tr>
      <w:tr>
        <w:trPr>
          <w:trHeight w:val="457"/>
        </w:trPr>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60" w:type="dxa"/>
            <w:vAlign w:val="bottom"/>
          </w:tcPr>
          <w:p>
            <w:pPr>
              <w:jc w:val="right"/>
              <w:ind w:right="743"/>
              <w:spacing w:after="0"/>
              <w:rPr>
                <w:sz w:val="20"/>
                <w:szCs w:val="20"/>
                <w:color w:val="auto"/>
              </w:rPr>
            </w:pPr>
            <w:r>
              <w:rPr>
                <w:rFonts w:ascii="Arial" w:cs="Arial" w:eastAsia="Arial" w:hAnsi="Arial"/>
                <w:sz w:val="12"/>
                <w:szCs w:val="12"/>
                <w:color w:val="auto"/>
              </w:rPr>
              <w:t>-149-</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
        </w:trPr>
        <w:tc>
          <w:tcPr>
            <w:tcW w:w="11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(ii) Foreign currency exchange risk –</w:t>
      </w:r>
    </w:p>
    <w:p>
      <w:pPr>
        <w:spacing w:after="0" w:line="167" w:lineRule="exact"/>
        <w:rPr>
          <w:sz w:val="20"/>
          <w:szCs w:val="20"/>
          <w:color w:val="auto"/>
        </w:rPr>
      </w:pPr>
    </w:p>
    <w:p>
      <w:pPr>
        <w:ind w:left="280" w:right="160"/>
        <w:spacing w:after="0" w:line="255" w:lineRule="auto"/>
        <w:rPr>
          <w:sz w:val="20"/>
          <w:szCs w:val="20"/>
          <w:color w:val="auto"/>
        </w:rPr>
      </w:pPr>
      <w:r>
        <w:rPr>
          <w:rFonts w:ascii="Arial" w:cs="Arial" w:eastAsia="Arial" w:hAnsi="Arial"/>
          <w:sz w:val="16"/>
          <w:szCs w:val="16"/>
          <w:color w:val="auto"/>
        </w:rPr>
        <w:t>The Group is exposed to fluctuations in foreign currency exchange rates, which impact net open monetary positions and equity positions in a different currency than the group's functional currency.</w:t>
      </w:r>
    </w:p>
    <w:p>
      <w:pPr>
        <w:spacing w:after="0" w:line="134" w:lineRule="exact"/>
        <w:rPr>
          <w:sz w:val="20"/>
          <w:szCs w:val="20"/>
          <w:color w:val="auto"/>
        </w:rPr>
      </w:pPr>
    </w:p>
    <w:p>
      <w:pPr>
        <w:ind w:left="280" w:right="60"/>
        <w:spacing w:after="0" w:line="236" w:lineRule="auto"/>
        <w:rPr>
          <w:sz w:val="20"/>
          <w:szCs w:val="20"/>
          <w:color w:val="auto"/>
        </w:rPr>
      </w:pPr>
      <w:r>
        <w:rPr>
          <w:rFonts w:ascii="Arial" w:cs="Arial" w:eastAsia="Arial" w:hAnsi="Arial"/>
          <w:sz w:val="16"/>
          <w:szCs w:val="16"/>
          <w:color w:val="auto"/>
        </w:rPr>
        <w:t>The group's monetary position is made up of the net open position of monetary assets, monetary liabilities and off-balance sheet items expressed in foreign currency for which the entity itself assumes the risk; as well as the equity position generated by the investment in the group's subsidiaries whose functional currency is different from soles. In the first case, any appreciation/depreciation of the foreign currency would affect the consolidated income statement, on the contrary, in the case of the equity position, any appreciation/depreciation of the foreign currency will be recognized in other comprehensive income.</w:t>
      </w:r>
    </w:p>
    <w:p>
      <w:pPr>
        <w:spacing w:after="0" w:line="146" w:lineRule="exact"/>
        <w:rPr>
          <w:sz w:val="20"/>
          <w:szCs w:val="20"/>
          <w:color w:val="auto"/>
        </w:rPr>
      </w:pPr>
    </w:p>
    <w:p>
      <w:pPr>
        <w:ind w:left="280" w:right="160"/>
        <w:spacing w:after="0" w:line="236" w:lineRule="auto"/>
        <w:rPr>
          <w:sz w:val="20"/>
          <w:szCs w:val="20"/>
          <w:color w:val="auto"/>
        </w:rPr>
      </w:pPr>
      <w:r>
        <w:rPr>
          <w:rFonts w:ascii="Arial" w:cs="Arial" w:eastAsia="Arial" w:hAnsi="Arial"/>
          <w:sz w:val="16"/>
          <w:szCs w:val="16"/>
          <w:color w:val="auto"/>
        </w:rPr>
        <w:t>The Group manages foreign currency exchange risk, which affects the income statement, by monitoring and controlling currency positions exposed to movements in exchange rates. The market risk units of each subsidiary establish limits for said positions, which are approved by their own committees, and monitor and follow up the limits considering their foreign exchange trading positions, their most structural foreign exchange positions, as well as their sensitivities. Additionally, there is a monetary position limit at the Credicorp level, which is monitored and reported to the Group's Risk Committee.</w:t>
      </w:r>
    </w:p>
    <w:p>
      <w:pPr>
        <w:spacing w:after="0" w:line="146" w:lineRule="exact"/>
        <w:rPr>
          <w:sz w:val="20"/>
          <w:szCs w:val="20"/>
          <w:color w:val="auto"/>
        </w:rPr>
      </w:pPr>
    </w:p>
    <w:p>
      <w:pPr>
        <w:ind w:left="280" w:right="500"/>
        <w:spacing w:after="0" w:line="255" w:lineRule="auto"/>
        <w:rPr>
          <w:sz w:val="20"/>
          <w:szCs w:val="20"/>
          <w:color w:val="auto"/>
        </w:rPr>
      </w:pPr>
      <w:r>
        <w:rPr>
          <w:rFonts w:ascii="Arial" w:cs="Arial" w:eastAsia="Arial" w:hAnsi="Arial"/>
          <w:sz w:val="16"/>
          <w:szCs w:val="16"/>
          <w:color w:val="auto"/>
        </w:rPr>
        <w:t>On the other hand, the Group manages foreign currency exchange risk whose fluctuation is recognized in other comprehensive income, monitoring and controlling equity positions and their sensitivities, which are reported to the Group's Risk Committee.</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foreign exchange gains/losses recognized in the consolidated statement of income are disclosed in the following items:</w:t>
      </w:r>
    </w:p>
    <w:p>
      <w:pPr>
        <w:spacing w:after="0" w:line="166" w:lineRule="exact"/>
        <w:rPr>
          <w:sz w:val="20"/>
          <w:szCs w:val="20"/>
          <w:color w:val="auto"/>
        </w:rPr>
      </w:pPr>
    </w:p>
    <w:p>
      <w:pPr>
        <w:ind w:left="620" w:hanging="346"/>
        <w:spacing w:after="0"/>
        <w:tabs>
          <w:tab w:leader="none" w:pos="6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Net gain on foreign exchange transactions.</w:t>
      </w:r>
    </w:p>
    <w:p>
      <w:pPr>
        <w:spacing w:after="0" w:line="5" w:lineRule="exact"/>
        <w:rPr>
          <w:rFonts w:ascii="Arial" w:cs="Arial" w:eastAsia="Arial" w:hAnsi="Arial"/>
          <w:sz w:val="16"/>
          <w:szCs w:val="16"/>
          <w:color w:val="auto"/>
        </w:rPr>
      </w:pPr>
    </w:p>
    <w:p>
      <w:pPr>
        <w:ind w:left="620" w:hanging="346"/>
        <w:spacing w:after="0" w:line="228" w:lineRule="auto"/>
        <w:tabs>
          <w:tab w:leader="none" w:pos="6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Net gain on derivatives held for trading.</w:t>
      </w:r>
    </w:p>
    <w:p>
      <w:pPr>
        <w:ind w:left="620" w:hanging="346"/>
        <w:spacing w:after="0"/>
        <w:tabs>
          <w:tab w:leader="none" w:pos="6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Exchange difference result.</w:t>
      </w:r>
    </w:p>
    <w:p>
      <w:pPr>
        <w:spacing w:after="0" w:line="152" w:lineRule="exact"/>
        <w:rPr>
          <w:sz w:val="20"/>
          <w:szCs w:val="20"/>
          <w:color w:val="auto"/>
        </w:rPr>
      </w:pPr>
    </w:p>
    <w:p>
      <w:pPr>
        <w:ind w:left="280"/>
        <w:spacing w:after="0" w:line="255" w:lineRule="auto"/>
        <w:rPr>
          <w:sz w:val="20"/>
          <w:szCs w:val="20"/>
          <w:color w:val="auto"/>
        </w:rPr>
      </w:pPr>
      <w:r>
        <w:rPr>
          <w:rFonts w:ascii="Arial" w:cs="Arial" w:eastAsia="Arial" w:hAnsi="Arial"/>
          <w:sz w:val="16"/>
          <w:szCs w:val="16"/>
          <w:color w:val="auto"/>
        </w:rPr>
        <w:t>As of December 31, 2024, the foreign currency in which the Group has the greatest exposure is the U.S. Dollar. The free market-exchange rate for purchase and sale transactions of each U.S. Dollar as of December 31, 2024 was S/3.764 (S/3.709 as of December 31, 2023).</w:t>
      </w:r>
    </w:p>
    <w:p>
      <w:pPr>
        <w:spacing w:after="0" w:line="269"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36195</wp:posOffset>
            </wp:positionV>
            <wp:extent cx="7150735"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100"/>
          </w:cols>
          <w:pgMar w:left="1440" w:top="124" w:right="359" w:bottom="1440" w:gutter="0" w:footer="0" w:header="0"/>
        </w:sectPr>
      </w:pPr>
    </w:p>
    <w:bookmarkStart w:id="153" w:name="page154"/>
    <w:bookmarkEnd w:id="153"/>
    <w:p>
      <w:pPr>
        <w:ind w:right="560"/>
        <w:spacing w:after="0" w:line="256" w:lineRule="auto"/>
        <w:rPr>
          <w:sz w:val="20"/>
          <w:szCs w:val="20"/>
          <w:color w:val="auto"/>
        </w:rPr>
      </w:pPr>
      <w:r>
        <w:rPr>
          <w:rFonts w:ascii="Arial" w:cs="Arial" w:eastAsia="Arial" w:hAnsi="Arial"/>
          <w:sz w:val="16"/>
          <w:szCs w:val="16"/>
          <w:color w:val="auto"/>
        </w:rPr>
        <w:t>Foreign currency transactions are made at market exchange rates of the countries where Credicorp’s Subsidiaries are established. As of December 31,2024 and 2023, the net open monetary position with effect on results and the equity position of the Group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spacing w:after="0" w:line="150" w:lineRule="exact"/>
              <w:rPr>
                <w:sz w:val="20"/>
                <w:szCs w:val="20"/>
                <w:color w:val="auto"/>
              </w:rPr>
            </w:pPr>
            <w:r>
              <w:rPr>
                <w:rFonts w:ascii="Arial" w:cs="Arial" w:eastAsia="Arial" w:hAnsi="Arial"/>
                <w:sz w:val="16"/>
                <w:szCs w:val="16"/>
                <w:b w:val="1"/>
                <w:bCs w:val="1"/>
                <w:color w:val="auto"/>
              </w:rPr>
              <w:t>Other</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ind w:left="40"/>
              <w:spacing w:after="0" w:line="150" w:lineRule="exact"/>
              <w:rPr>
                <w:sz w:val="20"/>
                <w:szCs w:val="20"/>
                <w:color w:val="auto"/>
              </w:rPr>
            </w:pPr>
            <w:r>
              <w:rPr>
                <w:rFonts w:ascii="Arial" w:cs="Arial" w:eastAsia="Arial" w:hAnsi="Arial"/>
                <w:sz w:val="16"/>
                <w:szCs w:val="16"/>
                <w:b w:val="1"/>
                <w:bCs w:val="1"/>
                <w:color w:val="auto"/>
              </w:rPr>
              <w:t>Other</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6"/>
              </w:rPr>
              <w:t>U.S. Dollar</w:t>
            </w: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currencies</w:t>
            </w: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U.S. Dollar</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currencies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640" w:type="dxa"/>
            <w:vAlign w:val="bottom"/>
          </w:tcPr>
          <w:p>
            <w:pPr>
              <w:spacing w:after="0"/>
              <w:rPr>
                <w:sz w:val="17"/>
                <w:szCs w:val="17"/>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3640" w:type="dxa"/>
            <w:vAlign w:val="bottom"/>
          </w:tcPr>
          <w:p>
            <w:pPr>
              <w:spacing w:after="0"/>
              <w:rPr>
                <w:sz w:val="20"/>
                <w:szCs w:val="20"/>
                <w:color w:val="auto"/>
              </w:rPr>
            </w:pPr>
            <w:r>
              <w:rPr>
                <w:rFonts w:ascii="Arial" w:cs="Arial" w:eastAsia="Arial" w:hAnsi="Arial"/>
                <w:sz w:val="16"/>
                <w:szCs w:val="16"/>
                <w:color w:val="auto"/>
              </w:rPr>
              <w:t>Total monetary assets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93,696,321</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435,107</w:t>
            </w:r>
          </w:p>
        </w:tc>
        <w:tc>
          <w:tcPr>
            <w:tcW w:w="980" w:type="dxa"/>
            <w:vAlign w:val="bottom"/>
          </w:tcPr>
          <w:p>
            <w:pPr>
              <w:jc w:val="right"/>
              <w:spacing w:after="0"/>
              <w:rPr>
                <w:sz w:val="20"/>
                <w:szCs w:val="20"/>
                <w:color w:val="auto"/>
              </w:rPr>
            </w:pPr>
            <w:r>
              <w:rPr>
                <w:rFonts w:ascii="Arial" w:cs="Arial" w:eastAsia="Arial" w:hAnsi="Arial"/>
                <w:sz w:val="16"/>
                <w:szCs w:val="16"/>
                <w:color w:val="auto"/>
              </w:rPr>
              <w:t>94,131,428</w:t>
            </w:r>
          </w:p>
        </w:tc>
        <w:tc>
          <w:tcPr>
            <w:tcW w:w="12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77,387,709</w:t>
            </w:r>
          </w:p>
        </w:tc>
        <w:tc>
          <w:tcPr>
            <w:tcW w:w="1320" w:type="dxa"/>
            <w:vAlign w:val="bottom"/>
            <w:gridSpan w:val="3"/>
          </w:tcPr>
          <w:p>
            <w:pPr>
              <w:jc w:val="right"/>
              <w:ind w:right="80"/>
              <w:spacing w:after="0"/>
              <w:rPr>
                <w:sz w:val="20"/>
                <w:szCs w:val="20"/>
                <w:color w:val="auto"/>
              </w:rPr>
            </w:pPr>
            <w:r>
              <w:rPr>
                <w:rFonts w:ascii="Arial" w:cs="Arial" w:eastAsia="Arial" w:hAnsi="Arial"/>
                <w:sz w:val="16"/>
                <w:szCs w:val="16"/>
                <w:color w:val="auto"/>
              </w:rPr>
              <w:t>495,553</w:t>
            </w:r>
          </w:p>
        </w:tc>
        <w:tc>
          <w:tcPr>
            <w:tcW w:w="900" w:type="dxa"/>
            <w:vAlign w:val="bottom"/>
          </w:tcPr>
          <w:p>
            <w:pPr>
              <w:jc w:val="right"/>
              <w:spacing w:after="0"/>
              <w:rPr>
                <w:sz w:val="20"/>
                <w:szCs w:val="20"/>
                <w:color w:val="auto"/>
              </w:rPr>
            </w:pPr>
            <w:r>
              <w:rPr>
                <w:rFonts w:ascii="Arial" w:cs="Arial" w:eastAsia="Arial" w:hAnsi="Arial"/>
                <w:sz w:val="16"/>
                <w:szCs w:val="16"/>
                <w:color w:val="auto"/>
              </w:rPr>
              <w:t>77,883,262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6"/>
                <w:szCs w:val="16"/>
                <w:color w:val="auto"/>
              </w:rPr>
              <w:t>Total monetary liabilities</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(86,859,546)</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(104,858)</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(86,964,404)</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(79,779,686)</w:t>
            </w:r>
          </w:p>
        </w:tc>
        <w:tc>
          <w:tcPr>
            <w:tcW w:w="1320" w:type="dxa"/>
            <w:vAlign w:val="bottom"/>
            <w:gridSpan w:val="3"/>
          </w:tcPr>
          <w:p>
            <w:pPr>
              <w:jc w:val="right"/>
              <w:ind w:right="80"/>
              <w:spacing w:after="0"/>
              <w:rPr>
                <w:sz w:val="20"/>
                <w:szCs w:val="20"/>
                <w:color w:val="auto"/>
              </w:rPr>
            </w:pPr>
            <w:r>
              <w:rPr>
                <w:rFonts w:ascii="Arial" w:cs="Arial" w:eastAsia="Arial" w:hAnsi="Arial"/>
                <w:sz w:val="16"/>
                <w:szCs w:val="16"/>
                <w:color w:val="auto"/>
              </w:rPr>
              <w:t>(102,500)</w:t>
            </w:r>
          </w:p>
        </w:tc>
        <w:tc>
          <w:tcPr>
            <w:tcW w:w="900" w:type="dxa"/>
            <w:vAlign w:val="bottom"/>
          </w:tcPr>
          <w:p>
            <w:pPr>
              <w:jc w:val="right"/>
              <w:spacing w:after="0"/>
              <w:rPr>
                <w:sz w:val="20"/>
                <w:szCs w:val="20"/>
                <w:color w:val="auto"/>
              </w:rPr>
            </w:pPr>
            <w:r>
              <w:rPr>
                <w:rFonts w:ascii="Arial" w:cs="Arial" w:eastAsia="Arial" w:hAnsi="Arial"/>
                <w:sz w:val="16"/>
                <w:szCs w:val="16"/>
                <w:color w:val="auto"/>
                <w:w w:val="96"/>
              </w:rPr>
              <w:t>(79,882,186)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640" w:type="dxa"/>
            <w:vAlign w:val="bottom"/>
            <w:vMerge w:val="restart"/>
          </w:tcPr>
          <w:p>
            <w:pPr>
              <w:spacing w:after="0"/>
              <w:rPr>
                <w:sz w:val="20"/>
                <w:szCs w:val="20"/>
                <w:color w:val="auto"/>
              </w:rPr>
            </w:pPr>
            <w:r>
              <w:rPr>
                <w:rFonts w:ascii="Arial" w:cs="Arial" w:eastAsia="Arial" w:hAnsi="Arial"/>
                <w:sz w:val="16"/>
                <w:szCs w:val="16"/>
                <w:color w:val="auto"/>
              </w:rPr>
              <w:t>Total position in currency derivatives</w:t>
            </w:r>
          </w:p>
        </w:tc>
        <w:tc>
          <w:tcPr>
            <w:tcW w:w="11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6,836,775</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330,249</w:t>
            </w:r>
          </w:p>
        </w:tc>
        <w:tc>
          <w:tcPr>
            <w:tcW w:w="100" w:type="dxa"/>
            <w:vAlign w:val="bottom"/>
          </w:tcPr>
          <w:p>
            <w:pPr>
              <w:spacing w:after="0"/>
              <w:rPr>
                <w:sz w:val="14"/>
                <w:szCs w:val="14"/>
                <w:color w:val="auto"/>
              </w:rPr>
            </w:pPr>
          </w:p>
        </w:tc>
        <w:tc>
          <w:tcPr>
            <w:tcW w:w="9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7,167,024</w:t>
            </w:r>
          </w:p>
        </w:tc>
        <w:tc>
          <w:tcPr>
            <w:tcW w:w="120" w:type="dxa"/>
            <w:vAlign w:val="bottom"/>
          </w:tcPr>
          <w:p>
            <w:pPr>
              <w:spacing w:after="0"/>
              <w:rPr>
                <w:sz w:val="14"/>
                <w:szCs w:val="14"/>
                <w:color w:val="auto"/>
              </w:rPr>
            </w:pPr>
          </w:p>
        </w:tc>
        <w:tc>
          <w:tcPr>
            <w:tcW w:w="13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(2,391,977)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393,053</w:t>
            </w:r>
          </w:p>
        </w:tc>
        <w:tc>
          <w:tcPr>
            <w:tcW w:w="80" w:type="dxa"/>
            <w:vAlign w:val="bottom"/>
          </w:tcPr>
          <w:p>
            <w:pPr>
              <w:spacing w:after="0"/>
              <w:rPr>
                <w:sz w:val="14"/>
                <w:szCs w:val="14"/>
                <w:color w:val="auto"/>
              </w:rPr>
            </w:pPr>
          </w:p>
        </w:tc>
        <w:tc>
          <w:tcPr>
            <w:tcW w:w="9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6"/>
                <w:szCs w:val="16"/>
                <w:color w:val="auto"/>
              </w:rPr>
              <w:t>(1,998,924)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40" w:type="dxa"/>
            <w:vAlign w:val="bottom"/>
            <w:vMerge w:val="continue"/>
          </w:tcPr>
          <w:p>
            <w:pPr>
              <w:spacing w:after="0"/>
              <w:rPr>
                <w:sz w:val="15"/>
                <w:szCs w:val="15"/>
                <w:color w:val="auto"/>
              </w:rPr>
            </w:pPr>
          </w:p>
        </w:tc>
        <w:tc>
          <w:tcPr>
            <w:tcW w:w="124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(6,142,485)</w:t>
            </w:r>
          </w:p>
        </w:tc>
        <w:tc>
          <w:tcPr>
            <w:tcW w:w="1120" w:type="dxa"/>
            <w:vAlign w:val="bottom"/>
            <w:gridSpan w:val="2"/>
          </w:tcPr>
          <w:p>
            <w:pPr>
              <w:jc w:val="right"/>
              <w:ind w:right="100"/>
              <w:spacing w:after="0" w:line="173" w:lineRule="exact"/>
              <w:rPr>
                <w:sz w:val="20"/>
                <w:szCs w:val="20"/>
                <w:color w:val="auto"/>
              </w:rPr>
            </w:pPr>
            <w:r>
              <w:rPr>
                <w:rFonts w:ascii="Arial" w:cs="Arial" w:eastAsia="Arial" w:hAnsi="Arial"/>
                <w:sz w:val="16"/>
                <w:szCs w:val="16"/>
                <w:color w:val="auto"/>
              </w:rPr>
              <w:t>144,889</w:t>
            </w:r>
          </w:p>
        </w:tc>
        <w:tc>
          <w:tcPr>
            <w:tcW w:w="1100" w:type="dxa"/>
            <w:vAlign w:val="bottom"/>
            <w:gridSpan w:val="2"/>
          </w:tcPr>
          <w:p>
            <w:pPr>
              <w:jc w:val="right"/>
              <w:ind w:right="120"/>
              <w:spacing w:after="0" w:line="173" w:lineRule="exact"/>
              <w:rPr>
                <w:sz w:val="20"/>
                <w:szCs w:val="20"/>
                <w:color w:val="auto"/>
              </w:rPr>
            </w:pPr>
            <w:r>
              <w:rPr>
                <w:rFonts w:ascii="Arial" w:cs="Arial" w:eastAsia="Arial" w:hAnsi="Arial"/>
                <w:sz w:val="16"/>
                <w:szCs w:val="16"/>
                <w:color w:val="auto"/>
              </w:rPr>
              <w:t>(5,997,596)</w:t>
            </w:r>
          </w:p>
        </w:tc>
        <w:tc>
          <w:tcPr>
            <w:tcW w:w="1380" w:type="dxa"/>
            <w:vAlign w:val="bottom"/>
            <w:gridSpan w:val="2"/>
          </w:tcPr>
          <w:p>
            <w:pPr>
              <w:jc w:val="right"/>
              <w:ind w:right="40"/>
              <w:spacing w:after="0" w:line="173" w:lineRule="exact"/>
              <w:rPr>
                <w:sz w:val="20"/>
                <w:szCs w:val="20"/>
                <w:color w:val="auto"/>
              </w:rPr>
            </w:pPr>
            <w:r>
              <w:rPr>
                <w:rFonts w:ascii="Arial" w:cs="Arial" w:eastAsia="Arial" w:hAnsi="Arial"/>
                <w:sz w:val="16"/>
                <w:szCs w:val="16"/>
                <w:color w:val="auto"/>
              </w:rPr>
              <w:t>2,622,188</w:t>
            </w:r>
          </w:p>
        </w:tc>
        <w:tc>
          <w:tcPr>
            <w:tcW w:w="1320" w:type="dxa"/>
            <w:vAlign w:val="bottom"/>
            <w:gridSpan w:val="3"/>
          </w:tcPr>
          <w:p>
            <w:pPr>
              <w:jc w:val="right"/>
              <w:ind w:right="80"/>
              <w:spacing w:after="0" w:line="173" w:lineRule="exact"/>
              <w:rPr>
                <w:sz w:val="20"/>
                <w:szCs w:val="20"/>
                <w:color w:val="auto"/>
              </w:rPr>
            </w:pPr>
            <w:r>
              <w:rPr>
                <w:rFonts w:ascii="Arial" w:cs="Arial" w:eastAsia="Arial" w:hAnsi="Arial"/>
                <w:sz w:val="16"/>
                <w:szCs w:val="16"/>
                <w:color w:val="auto"/>
              </w:rPr>
              <w:t>(369,458)</w:t>
            </w:r>
          </w:p>
        </w:tc>
        <w:tc>
          <w:tcPr>
            <w:tcW w:w="920" w:type="dxa"/>
            <w:vAlign w:val="bottom"/>
            <w:gridSpan w:val="2"/>
          </w:tcPr>
          <w:p>
            <w:pPr>
              <w:jc w:val="right"/>
              <w:ind w:right="20"/>
              <w:spacing w:after="0" w:line="173" w:lineRule="exact"/>
              <w:rPr>
                <w:sz w:val="20"/>
                <w:szCs w:val="20"/>
                <w:color w:val="auto"/>
              </w:rPr>
            </w:pPr>
            <w:r>
              <w:rPr>
                <w:rFonts w:ascii="Arial" w:cs="Arial" w:eastAsia="Arial" w:hAnsi="Arial"/>
                <w:sz w:val="16"/>
                <w:szCs w:val="16"/>
                <w:color w:val="auto"/>
              </w:rPr>
              <w:t>2,252,730</w:t>
            </w:r>
          </w:p>
        </w:tc>
        <w:tc>
          <w:tcPr>
            <w:tcW w:w="0" w:type="dxa"/>
            <w:vAlign w:val="bottom"/>
          </w:tcPr>
          <w:p>
            <w:pPr>
              <w:spacing w:after="0"/>
              <w:rPr>
                <w:sz w:val="1"/>
                <w:szCs w:val="1"/>
                <w:color w:val="auto"/>
              </w:rPr>
            </w:pPr>
          </w:p>
        </w:tc>
      </w:tr>
      <w:tr>
        <w:trPr>
          <w:trHeight w:val="147"/>
        </w:trPr>
        <w:tc>
          <w:tcPr>
            <w:tcW w:w="3640" w:type="dxa"/>
            <w:vAlign w:val="bottom"/>
          </w:tcPr>
          <w:p>
            <w:pPr>
              <w:spacing w:after="0" w:line="147" w:lineRule="exact"/>
              <w:rPr>
                <w:sz w:val="20"/>
                <w:szCs w:val="20"/>
                <w:color w:val="auto"/>
              </w:rPr>
            </w:pPr>
            <w:r>
              <w:rPr>
                <w:rFonts w:ascii="Arial" w:cs="Arial" w:eastAsia="Arial" w:hAnsi="Arial"/>
                <w:sz w:val="16"/>
                <w:szCs w:val="16"/>
                <w:b w:val="1"/>
                <w:bCs w:val="1"/>
                <w:color w:val="auto"/>
              </w:rPr>
              <w:t>Net monetary position with effect on</w:t>
            </w: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6"/>
                <w:szCs w:val="16"/>
                <w:b w:val="1"/>
                <w:bCs w:val="1"/>
                <w:color w:val="auto"/>
              </w:rPr>
              <w:t>consolidated statement of income</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694,290</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475,138</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1,169,428</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230,211</w:t>
            </w:r>
          </w:p>
        </w:tc>
        <w:tc>
          <w:tcPr>
            <w:tcW w:w="1320" w:type="dxa"/>
            <w:vAlign w:val="bottom"/>
            <w:gridSpan w:val="3"/>
          </w:tcPr>
          <w:p>
            <w:pPr>
              <w:jc w:val="right"/>
              <w:ind w:right="80"/>
              <w:spacing w:after="0"/>
              <w:rPr>
                <w:sz w:val="20"/>
                <w:szCs w:val="20"/>
                <w:color w:val="auto"/>
              </w:rPr>
            </w:pPr>
            <w:r>
              <w:rPr>
                <w:rFonts w:ascii="Arial" w:cs="Arial" w:eastAsia="Arial" w:hAnsi="Arial"/>
                <w:sz w:val="16"/>
                <w:szCs w:val="16"/>
                <w:color w:val="auto"/>
              </w:rPr>
              <w:t>23,595</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253,806</w:t>
            </w:r>
          </w:p>
        </w:tc>
        <w:tc>
          <w:tcPr>
            <w:tcW w:w="0" w:type="dxa"/>
            <w:vAlign w:val="bottom"/>
          </w:tcPr>
          <w:p>
            <w:pPr>
              <w:spacing w:after="0"/>
              <w:rPr>
                <w:sz w:val="1"/>
                <w:szCs w:val="1"/>
                <w:color w:val="auto"/>
              </w:rPr>
            </w:pPr>
          </w:p>
        </w:tc>
      </w:tr>
      <w:tr>
        <w:trPr>
          <w:trHeight w:val="338"/>
        </w:trPr>
        <w:tc>
          <w:tcPr>
            <w:tcW w:w="3640" w:type="dxa"/>
            <w:vAlign w:val="bottom"/>
          </w:tcPr>
          <w:p>
            <w:pPr>
              <w:spacing w:after="0"/>
              <w:rPr>
                <w:sz w:val="20"/>
                <w:szCs w:val="20"/>
                <w:color w:val="auto"/>
              </w:rPr>
            </w:pPr>
            <w:r>
              <w:rPr>
                <w:rFonts w:ascii="Arial" w:cs="Arial" w:eastAsia="Arial" w:hAnsi="Arial"/>
                <w:sz w:val="16"/>
                <w:szCs w:val="16"/>
                <w:b w:val="1"/>
                <w:bCs w:val="1"/>
                <w:color w:val="auto"/>
              </w:rPr>
              <w:t>Net monetary position with effect on equity</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754,769</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2,291,428</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3,046,197</w:t>
            </w: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904,434</w:t>
            </w:r>
          </w:p>
        </w:tc>
        <w:tc>
          <w:tcPr>
            <w:tcW w:w="1320" w:type="dxa"/>
            <w:vAlign w:val="bottom"/>
            <w:gridSpan w:val="3"/>
          </w:tcPr>
          <w:p>
            <w:pPr>
              <w:jc w:val="right"/>
              <w:ind w:right="80"/>
              <w:spacing w:after="0"/>
              <w:rPr>
                <w:sz w:val="20"/>
                <w:szCs w:val="20"/>
                <w:color w:val="auto"/>
              </w:rPr>
            </w:pPr>
            <w:r>
              <w:rPr>
                <w:rFonts w:ascii="Arial" w:cs="Arial" w:eastAsia="Arial" w:hAnsi="Arial"/>
                <w:sz w:val="16"/>
                <w:szCs w:val="16"/>
                <w:color w:val="auto"/>
              </w:rPr>
              <w:t>2,204,984</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3,109,418</w:t>
            </w:r>
          </w:p>
        </w:tc>
        <w:tc>
          <w:tcPr>
            <w:tcW w:w="0" w:type="dxa"/>
            <w:vAlign w:val="bottom"/>
          </w:tcPr>
          <w:p>
            <w:pPr>
              <w:spacing w:after="0"/>
              <w:rPr>
                <w:sz w:val="1"/>
                <w:szCs w:val="1"/>
                <w:color w:val="auto"/>
              </w:rPr>
            </w:pPr>
          </w:p>
        </w:tc>
      </w:tr>
      <w:tr>
        <w:trPr>
          <w:trHeight w:val="152"/>
        </w:trPr>
        <w:tc>
          <w:tcPr>
            <w:tcW w:w="3640" w:type="dxa"/>
            <w:vAlign w:val="bottom"/>
            <w:vMerge w:val="restart"/>
          </w:tcPr>
          <w:p>
            <w:pPr>
              <w:spacing w:after="0"/>
              <w:rPr>
                <w:sz w:val="20"/>
                <w:szCs w:val="20"/>
                <w:color w:val="auto"/>
              </w:rPr>
            </w:pPr>
            <w:r>
              <w:rPr>
                <w:rFonts w:ascii="Arial" w:cs="Arial" w:eastAsia="Arial" w:hAnsi="Arial"/>
                <w:sz w:val="16"/>
                <w:szCs w:val="16"/>
                <w:b w:val="1"/>
                <w:bCs w:val="1"/>
                <w:color w:val="auto"/>
              </w:rPr>
              <w:t>Net monetary position</w:t>
            </w:r>
          </w:p>
        </w:tc>
        <w:tc>
          <w:tcPr>
            <w:tcW w:w="1140" w:type="dxa"/>
            <w:vAlign w:val="bottom"/>
            <w:tcBorders>
              <w:bottom w:val="single" w:sz="8" w:color="auto"/>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vMerge w:val="restart"/>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vMerge w:val="restart"/>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640" w:type="dxa"/>
            <w:vAlign w:val="bottom"/>
            <w:vMerge w:val="continue"/>
          </w:tcPr>
          <w:p>
            <w:pPr>
              <w:spacing w:after="0"/>
              <w:rPr>
                <w:sz w:val="14"/>
                <w:szCs w:val="14"/>
                <w:color w:val="auto"/>
              </w:rPr>
            </w:pP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1,449,059</w:t>
            </w:r>
          </w:p>
        </w:tc>
        <w:tc>
          <w:tcPr>
            <w:tcW w:w="100" w:type="dxa"/>
            <w:vAlign w:val="bottom"/>
            <w:vMerge w:val="continue"/>
          </w:tcPr>
          <w:p>
            <w:pPr>
              <w:spacing w:after="0"/>
              <w:rPr>
                <w:sz w:val="14"/>
                <w:szCs w:val="14"/>
                <w:color w:val="auto"/>
              </w:rPr>
            </w:pPr>
          </w:p>
        </w:tc>
        <w:tc>
          <w:tcPr>
            <w:tcW w:w="10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2,766,566</w:t>
            </w:r>
          </w:p>
        </w:tc>
        <w:tc>
          <w:tcPr>
            <w:tcW w:w="100" w:type="dxa"/>
            <w:vAlign w:val="bottom"/>
            <w:vMerge w:val="continue"/>
          </w:tcPr>
          <w:p>
            <w:pPr>
              <w:spacing w:after="0"/>
              <w:rPr>
                <w:sz w:val="14"/>
                <w:szCs w:val="14"/>
                <w:color w:val="auto"/>
              </w:rPr>
            </w:pP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4,215,625</w:t>
            </w: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1,134,645</w:t>
            </w: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2,228,579</w:t>
            </w:r>
          </w:p>
        </w:tc>
        <w:tc>
          <w:tcPr>
            <w:tcW w:w="80" w:type="dxa"/>
            <w:vAlign w:val="bottom"/>
            <w:vMerge w:val="continue"/>
          </w:tcPr>
          <w:p>
            <w:pPr>
              <w:spacing w:after="0"/>
              <w:rPr>
                <w:sz w:val="14"/>
                <w:szCs w:val="14"/>
                <w:color w:val="auto"/>
              </w:rPr>
            </w:pPr>
          </w:p>
        </w:tc>
        <w:tc>
          <w:tcPr>
            <w:tcW w:w="920" w:type="dxa"/>
            <w:vAlign w:val="bottom"/>
            <w:tcBorders>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3,363,224</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As of December 31, 2024, the monetary position with effect on equity in other currencies consists mainly of the equity of subsidiaries in Bolivian pesos for S/962.7 million, in Colombian pesos for S/901.3 million, in Chilean pesos for S/425.7 million, among other minor amounts. As of December 31, 2023, the monetary position with effect on equity was in Bolivian pesos S/860.3 million, in Colombian pesos S/961.9 million, in Chilean pesos S/380.9 million, among other minor items.</w:t>
      </w:r>
    </w:p>
    <w:p>
      <w:pPr>
        <w:spacing w:after="0" w:line="281"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0"/>
          </w:cols>
          <w:pgMar w:left="880" w:top="124" w:right="319" w:bottom="1440" w:gutter="0" w:footer="0" w:header="0"/>
        </w:sectPr>
      </w:pPr>
    </w:p>
    <w:bookmarkStart w:id="154" w:name="page155"/>
    <w:bookmarkEnd w:id="154"/>
    <w:p>
      <w:pPr>
        <w:ind w:left="560" w:right="700"/>
        <w:spacing w:after="0" w:line="257" w:lineRule="auto"/>
        <w:rPr>
          <w:sz w:val="20"/>
          <w:szCs w:val="20"/>
          <w:color w:val="auto"/>
        </w:rPr>
      </w:pPr>
      <w:r>
        <w:rPr>
          <w:rFonts w:ascii="Arial" w:cs="Arial" w:eastAsia="Arial" w:hAnsi="Arial"/>
          <w:sz w:val="16"/>
          <w:szCs w:val="16"/>
          <w:color w:val="auto"/>
        </w:rPr>
        <w:t>The following tables show the sensitivity analysis of the main currencies to which the Group is exposed, and which affect the consolidated income statement and other comprehensive income as of December 31, 2024 and 2023.</w:t>
      </w:r>
    </w:p>
    <w:p>
      <w:pPr>
        <w:spacing w:after="0" w:line="121" w:lineRule="exact"/>
        <w:rPr>
          <w:sz w:val="20"/>
          <w:szCs w:val="20"/>
          <w:color w:val="auto"/>
        </w:rPr>
      </w:pPr>
    </w:p>
    <w:p>
      <w:pPr>
        <w:ind w:left="560" w:right="40"/>
        <w:spacing w:after="0" w:line="241" w:lineRule="auto"/>
        <w:rPr>
          <w:sz w:val="20"/>
          <w:szCs w:val="20"/>
          <w:color w:val="auto"/>
        </w:rPr>
      </w:pPr>
      <w:r>
        <w:rPr>
          <w:rFonts w:ascii="Arial" w:cs="Arial" w:eastAsia="Arial" w:hAnsi="Arial"/>
          <w:sz w:val="16"/>
          <w:szCs w:val="16"/>
          <w:color w:val="auto"/>
        </w:rPr>
        <w:t>The analysis determines the effect of a reasonably possible variation of the exchange rate against the sun for each of the currencies independently, considering all other variables constant. A negative amount shows a potential net reduction in the consolidated income statement and other comprehensive income, while a positive amount reflects a potential increase.</w:t>
      </w:r>
    </w:p>
    <w:p>
      <w:pPr>
        <w:spacing w:after="0" w:line="134" w:lineRule="exact"/>
        <w:rPr>
          <w:sz w:val="20"/>
          <w:szCs w:val="20"/>
          <w:color w:val="auto"/>
        </w:rPr>
      </w:pPr>
    </w:p>
    <w:p>
      <w:pPr>
        <w:ind w:left="560" w:right="220"/>
        <w:spacing w:after="0" w:line="255" w:lineRule="auto"/>
        <w:rPr>
          <w:sz w:val="20"/>
          <w:szCs w:val="20"/>
          <w:color w:val="auto"/>
        </w:rPr>
      </w:pPr>
      <w:r>
        <w:rPr>
          <w:rFonts w:ascii="Arial" w:cs="Arial" w:eastAsia="Arial" w:hAnsi="Arial"/>
          <w:sz w:val="16"/>
          <w:szCs w:val="16"/>
          <w:color w:val="auto"/>
        </w:rPr>
        <w:t>The sensitivity analysis of the foreign currency position with an effect on the consolidated income statement as of December 31, 2024 and December 31, 2023 is shown below, with the U.S. Dollar as the main currency of exposure:</w:t>
      </w:r>
    </w:p>
    <w:p>
      <w:pPr>
        <w:spacing w:after="0" w:line="112"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2960" w:type="dxa"/>
            <w:vAlign w:val="bottom"/>
            <w:gridSpan w:val="2"/>
          </w:tcPr>
          <w:p>
            <w:pPr>
              <w:ind w:left="1900"/>
              <w:spacing w:after="0"/>
              <w:rPr>
                <w:sz w:val="20"/>
                <w:szCs w:val="20"/>
                <w:color w:val="auto"/>
              </w:rPr>
            </w:pPr>
            <w:r>
              <w:rPr>
                <w:rFonts w:ascii="Arial" w:cs="Arial" w:eastAsia="Arial" w:hAnsi="Arial"/>
                <w:sz w:val="16"/>
                <w:szCs w:val="16"/>
                <w:b w:val="1"/>
                <w:bCs w:val="1"/>
                <w:color w:val="auto"/>
              </w:rPr>
              <w:t>Change in</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2960" w:type="dxa"/>
            <w:vAlign w:val="bottom"/>
            <w:gridSpan w:val="2"/>
          </w:tcPr>
          <w:p>
            <w:pPr>
              <w:ind w:left="1900"/>
              <w:spacing w:after="0" w:line="175" w:lineRule="exact"/>
              <w:rPr>
                <w:sz w:val="20"/>
                <w:szCs w:val="20"/>
                <w:color w:val="auto"/>
              </w:rPr>
            </w:pPr>
            <w:r>
              <w:rPr>
                <w:rFonts w:ascii="Arial" w:cs="Arial" w:eastAsia="Arial" w:hAnsi="Arial"/>
                <w:sz w:val="16"/>
                <w:szCs w:val="16"/>
                <w:b w:val="1"/>
                <w:bCs w:val="1"/>
                <w:color w:val="auto"/>
              </w:rPr>
              <w:t>currency</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20"/>
                <w:szCs w:val="20"/>
                <w:color w:val="auto"/>
              </w:rPr>
            </w:pPr>
            <w:r>
              <w:rPr>
                <w:rFonts w:ascii="Arial" w:cs="Arial" w:eastAsia="Arial" w:hAnsi="Arial"/>
                <w:sz w:val="16"/>
                <w:szCs w:val="16"/>
                <w:b w:val="1"/>
                <w:bCs w:val="1"/>
                <w:color w:val="auto"/>
              </w:rPr>
              <w:t>Currency rate sensibility</w:t>
            </w:r>
          </w:p>
        </w:tc>
        <w:tc>
          <w:tcPr>
            <w:tcW w:w="2960" w:type="dxa"/>
            <w:vAlign w:val="bottom"/>
            <w:gridSpan w:val="2"/>
          </w:tcPr>
          <w:p>
            <w:pPr>
              <w:ind w:left="1900"/>
              <w:spacing w:after="0"/>
              <w:rPr>
                <w:sz w:val="20"/>
                <w:szCs w:val="20"/>
                <w:color w:val="auto"/>
              </w:rPr>
            </w:pPr>
            <w:r>
              <w:rPr>
                <w:rFonts w:ascii="Arial" w:cs="Arial" w:eastAsia="Arial" w:hAnsi="Arial"/>
                <w:sz w:val="16"/>
                <w:szCs w:val="16"/>
                <w:b w:val="1"/>
                <w:bCs w:val="1"/>
                <w:color w:val="auto"/>
              </w:rPr>
              <w:t>rates</w:t>
            </w:r>
          </w:p>
        </w:tc>
        <w:tc>
          <w:tcPr>
            <w:tcW w:w="1300" w:type="dxa"/>
            <w:vAlign w:val="bottom"/>
            <w:gridSpan w:val="2"/>
          </w:tcPr>
          <w:p>
            <w:pPr>
              <w:jc w:val="right"/>
              <w:ind w:right="66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080" w:type="dxa"/>
            <w:vAlign w:val="bottom"/>
          </w:tcPr>
          <w:p>
            <w:pPr>
              <w:jc w:val="right"/>
              <w:ind w:right="662"/>
              <w:spacing w:after="0"/>
              <w:rPr>
                <w:sz w:val="20"/>
                <w:szCs w:val="20"/>
                <w:color w:val="auto"/>
              </w:rPr>
            </w:pPr>
            <w:r>
              <w:rPr>
                <w:rFonts w:ascii="Arial" w:cs="Arial" w:eastAsia="Arial" w:hAnsi="Arial"/>
                <w:sz w:val="16"/>
                <w:szCs w:val="16"/>
                <w:b w:val="1"/>
                <w:bCs w:val="1"/>
                <w:color w:val="auto"/>
                <w:w w:val="89"/>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80" w:type="dxa"/>
            <w:vAlign w:val="bottom"/>
            <w:vMerge w:val="restart"/>
          </w:tcPr>
          <w:p>
            <w:pPr>
              <w:spacing w:after="0"/>
              <w:rPr>
                <w:sz w:val="20"/>
                <w:szCs w:val="20"/>
                <w:color w:val="auto"/>
              </w:rPr>
            </w:pPr>
            <w:r>
              <w:rPr>
                <w:rFonts w:ascii="Arial" w:cs="Arial" w:eastAsia="Arial" w:hAnsi="Arial"/>
                <w:sz w:val="16"/>
                <w:szCs w:val="16"/>
                <w:color w:val="auto"/>
              </w:rPr>
              <w:t>Depreciation -</w:t>
            </w:r>
          </w:p>
        </w:tc>
        <w:tc>
          <w:tcPr>
            <w:tcW w:w="190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8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98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line="175" w:lineRule="exact"/>
              <w:rPr>
                <w:sz w:val="20"/>
                <w:szCs w:val="20"/>
                <w:color w:val="auto"/>
              </w:rPr>
            </w:pPr>
            <w:r>
              <w:rPr>
                <w:rFonts w:ascii="Arial" w:cs="Arial" w:eastAsia="Arial" w:hAnsi="Arial"/>
                <w:sz w:val="16"/>
                <w:szCs w:val="16"/>
                <w:color w:val="auto"/>
              </w:rPr>
              <w:t>Soles in relation to U.S. Dollar</w:t>
            </w:r>
          </w:p>
        </w:tc>
        <w:tc>
          <w:tcPr>
            <w:tcW w:w="2960" w:type="dxa"/>
            <w:vAlign w:val="bottom"/>
            <w:gridSpan w:val="2"/>
          </w:tcPr>
          <w:p>
            <w:pPr>
              <w:jc w:val="center"/>
              <w:ind w:left="1922"/>
              <w:spacing w:after="0" w:line="175" w:lineRule="exact"/>
              <w:rPr>
                <w:sz w:val="20"/>
                <w:szCs w:val="20"/>
                <w:color w:val="auto"/>
              </w:rPr>
            </w:pPr>
            <w:r>
              <w:rPr>
                <w:rFonts w:ascii="Arial" w:cs="Arial" w:eastAsia="Arial" w:hAnsi="Arial"/>
                <w:sz w:val="16"/>
                <w:szCs w:val="16"/>
                <w:color w:val="auto"/>
                <w:w w:val="89"/>
              </w:rPr>
              <w:t>5</w:t>
            </w:r>
          </w:p>
        </w:tc>
        <w:tc>
          <w:tcPr>
            <w:tcW w:w="150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33,061</w:t>
            </w:r>
          </w:p>
        </w:tc>
        <w:tc>
          <w:tcPr>
            <w:tcW w:w="11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10,962</w:t>
            </w:r>
          </w:p>
        </w:tc>
        <w:tc>
          <w:tcPr>
            <w:tcW w:w="0" w:type="dxa"/>
            <w:vAlign w:val="bottom"/>
          </w:tcPr>
          <w:p>
            <w:pPr>
              <w:spacing w:after="0"/>
              <w:rPr>
                <w:sz w:val="1"/>
                <w:szCs w:val="1"/>
                <w:color w:val="auto"/>
              </w:rPr>
            </w:pPr>
          </w:p>
        </w:tc>
      </w:tr>
      <w:tr>
        <w:trPr>
          <w:trHeight w:val="205"/>
        </w:trPr>
        <w:tc>
          <w:tcPr>
            <w:tcW w:w="3980" w:type="dxa"/>
            <w:vAlign w:val="bottom"/>
          </w:tcPr>
          <w:p>
            <w:pPr>
              <w:spacing w:after="0"/>
              <w:rPr>
                <w:sz w:val="20"/>
                <w:szCs w:val="20"/>
                <w:color w:val="auto"/>
              </w:rPr>
            </w:pPr>
            <w:r>
              <w:rPr>
                <w:rFonts w:ascii="Arial" w:cs="Arial" w:eastAsia="Arial" w:hAnsi="Arial"/>
                <w:sz w:val="16"/>
                <w:szCs w:val="16"/>
                <w:color w:val="auto"/>
              </w:rPr>
              <w:t>Soles in relation to U.S. Dollar</w:t>
            </w:r>
          </w:p>
        </w:tc>
        <w:tc>
          <w:tcPr>
            <w:tcW w:w="2960" w:type="dxa"/>
            <w:vAlign w:val="bottom"/>
            <w:gridSpan w:val="2"/>
          </w:tcPr>
          <w:p>
            <w:pPr>
              <w:jc w:val="center"/>
              <w:ind w:left="1942"/>
              <w:spacing w:after="0"/>
              <w:rPr>
                <w:sz w:val="20"/>
                <w:szCs w:val="20"/>
                <w:color w:val="auto"/>
              </w:rPr>
            </w:pPr>
            <w:r>
              <w:rPr>
                <w:rFonts w:ascii="Arial" w:cs="Arial" w:eastAsia="Arial" w:hAnsi="Arial"/>
                <w:sz w:val="16"/>
                <w:szCs w:val="16"/>
                <w:color w:val="auto"/>
              </w:rPr>
              <w:t>10</w:t>
            </w:r>
          </w:p>
        </w:tc>
        <w:tc>
          <w:tcPr>
            <w:tcW w:w="1500" w:type="dxa"/>
            <w:vAlign w:val="bottom"/>
            <w:gridSpan w:val="3"/>
          </w:tcPr>
          <w:p>
            <w:pPr>
              <w:jc w:val="right"/>
              <w:ind w:right="200"/>
              <w:spacing w:after="0"/>
              <w:rPr>
                <w:sz w:val="20"/>
                <w:szCs w:val="20"/>
                <w:color w:val="auto"/>
              </w:rPr>
            </w:pPr>
            <w:r>
              <w:rPr>
                <w:rFonts w:ascii="Arial" w:cs="Arial" w:eastAsia="Arial" w:hAnsi="Arial"/>
                <w:sz w:val="16"/>
                <w:szCs w:val="16"/>
                <w:color w:val="auto"/>
              </w:rPr>
              <w:t>63,117</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20,928</w:t>
            </w: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6"/>
                <w:szCs w:val="16"/>
                <w:color w:val="auto"/>
              </w:rPr>
              <w:t>Appreciation -</w:t>
            </w:r>
          </w:p>
        </w:tc>
        <w:tc>
          <w:tcPr>
            <w:tcW w:w="1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line="175" w:lineRule="exact"/>
              <w:rPr>
                <w:sz w:val="20"/>
                <w:szCs w:val="20"/>
                <w:color w:val="auto"/>
              </w:rPr>
            </w:pPr>
            <w:r>
              <w:rPr>
                <w:rFonts w:ascii="Arial" w:cs="Arial" w:eastAsia="Arial" w:hAnsi="Arial"/>
                <w:sz w:val="16"/>
                <w:szCs w:val="16"/>
                <w:color w:val="auto"/>
              </w:rPr>
              <w:t>Soles in relation to U.S. Dollar</w:t>
            </w:r>
          </w:p>
        </w:tc>
        <w:tc>
          <w:tcPr>
            <w:tcW w:w="2960" w:type="dxa"/>
            <w:vAlign w:val="bottom"/>
            <w:gridSpan w:val="2"/>
          </w:tcPr>
          <w:p>
            <w:pPr>
              <w:jc w:val="center"/>
              <w:ind w:left="1922"/>
              <w:spacing w:after="0" w:line="175" w:lineRule="exact"/>
              <w:rPr>
                <w:sz w:val="20"/>
                <w:szCs w:val="20"/>
                <w:color w:val="auto"/>
              </w:rPr>
            </w:pPr>
            <w:r>
              <w:rPr>
                <w:rFonts w:ascii="Arial" w:cs="Arial" w:eastAsia="Arial" w:hAnsi="Arial"/>
                <w:sz w:val="16"/>
                <w:szCs w:val="16"/>
                <w:color w:val="auto"/>
                <w:w w:val="89"/>
              </w:rPr>
              <w:t>5</w:t>
            </w:r>
          </w:p>
        </w:tc>
        <w:tc>
          <w:tcPr>
            <w:tcW w:w="1500" w:type="dxa"/>
            <w:vAlign w:val="bottom"/>
            <w:gridSpan w:val="3"/>
          </w:tcPr>
          <w:p>
            <w:pPr>
              <w:jc w:val="right"/>
              <w:ind w:right="160"/>
              <w:spacing w:after="0" w:line="175" w:lineRule="exact"/>
              <w:rPr>
                <w:sz w:val="20"/>
                <w:szCs w:val="20"/>
                <w:color w:val="auto"/>
              </w:rPr>
            </w:pPr>
            <w:r>
              <w:rPr>
                <w:rFonts w:ascii="Arial" w:cs="Arial" w:eastAsia="Arial" w:hAnsi="Arial"/>
                <w:sz w:val="16"/>
                <w:szCs w:val="16"/>
                <w:color w:val="auto"/>
              </w:rPr>
              <w:t>(36,542)</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(12,116)</w:t>
            </w:r>
          </w:p>
        </w:tc>
        <w:tc>
          <w:tcPr>
            <w:tcW w:w="0" w:type="dxa"/>
            <w:vAlign w:val="bottom"/>
          </w:tcPr>
          <w:p>
            <w:pPr>
              <w:spacing w:after="0"/>
              <w:rPr>
                <w:sz w:val="1"/>
                <w:szCs w:val="1"/>
                <w:color w:val="auto"/>
              </w:rPr>
            </w:pPr>
          </w:p>
        </w:tc>
      </w:tr>
      <w:tr>
        <w:trPr>
          <w:trHeight w:val="205"/>
        </w:trPr>
        <w:tc>
          <w:tcPr>
            <w:tcW w:w="3980" w:type="dxa"/>
            <w:vAlign w:val="bottom"/>
          </w:tcPr>
          <w:p>
            <w:pPr>
              <w:spacing w:after="0"/>
              <w:rPr>
                <w:sz w:val="20"/>
                <w:szCs w:val="20"/>
                <w:color w:val="auto"/>
              </w:rPr>
            </w:pPr>
            <w:r>
              <w:rPr>
                <w:rFonts w:ascii="Arial" w:cs="Arial" w:eastAsia="Arial" w:hAnsi="Arial"/>
                <w:sz w:val="16"/>
                <w:szCs w:val="16"/>
                <w:color w:val="auto"/>
              </w:rPr>
              <w:t>Soles in relation to U.S. Dollar</w:t>
            </w:r>
          </w:p>
        </w:tc>
        <w:tc>
          <w:tcPr>
            <w:tcW w:w="2960" w:type="dxa"/>
            <w:vAlign w:val="bottom"/>
            <w:gridSpan w:val="2"/>
          </w:tcPr>
          <w:p>
            <w:pPr>
              <w:jc w:val="center"/>
              <w:ind w:left="1942"/>
              <w:spacing w:after="0"/>
              <w:rPr>
                <w:sz w:val="20"/>
                <w:szCs w:val="20"/>
                <w:color w:val="auto"/>
              </w:rPr>
            </w:pPr>
            <w:r>
              <w:rPr>
                <w:rFonts w:ascii="Arial" w:cs="Arial" w:eastAsia="Arial" w:hAnsi="Arial"/>
                <w:sz w:val="16"/>
                <w:szCs w:val="16"/>
                <w:color w:val="auto"/>
              </w:rPr>
              <w:t>10</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(77,143)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(25,579)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is a sensitivity analysis of the foreign exchange position with effect on the consolidated statement of comprehensive income, with the U.S.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Dollar, Boliviano, Colombian peso and Chilean peso as the main currencies of exposure. This analysis is shown as of December 31, 2024 and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3440" w:type="dxa"/>
            <w:vAlign w:val="bottom"/>
            <w:gridSpan w:val="2"/>
          </w:tcPr>
          <w:p>
            <w:pPr>
              <w:ind w:left="2380"/>
              <w:spacing w:after="0"/>
              <w:rPr>
                <w:sz w:val="20"/>
                <w:szCs w:val="20"/>
                <w:color w:val="auto"/>
              </w:rPr>
            </w:pPr>
            <w:r>
              <w:rPr>
                <w:rFonts w:ascii="Arial" w:cs="Arial" w:eastAsia="Arial" w:hAnsi="Arial"/>
                <w:sz w:val="16"/>
                <w:szCs w:val="16"/>
                <w:b w:val="1"/>
                <w:bCs w:val="1"/>
                <w:color w:val="auto"/>
              </w:rPr>
              <w:t>Change in</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3440" w:type="dxa"/>
            <w:vAlign w:val="bottom"/>
            <w:gridSpan w:val="2"/>
          </w:tcPr>
          <w:p>
            <w:pPr>
              <w:ind w:left="2380"/>
              <w:spacing w:after="0" w:line="175" w:lineRule="exact"/>
              <w:rPr>
                <w:sz w:val="20"/>
                <w:szCs w:val="20"/>
                <w:color w:val="auto"/>
              </w:rPr>
            </w:pPr>
            <w:r>
              <w:rPr>
                <w:rFonts w:ascii="Arial" w:cs="Arial" w:eastAsia="Arial" w:hAnsi="Arial"/>
                <w:sz w:val="16"/>
                <w:szCs w:val="16"/>
                <w:b w:val="1"/>
                <w:bCs w:val="1"/>
                <w:color w:val="auto"/>
              </w:rPr>
              <w:t>currency</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60" w:type="dxa"/>
            <w:vAlign w:val="bottom"/>
          </w:tcPr>
          <w:p>
            <w:pPr>
              <w:ind w:left="560"/>
              <w:spacing w:after="0"/>
              <w:rPr>
                <w:sz w:val="20"/>
                <w:szCs w:val="20"/>
                <w:color w:val="auto"/>
              </w:rPr>
            </w:pPr>
            <w:r>
              <w:rPr>
                <w:rFonts w:ascii="Arial" w:cs="Arial" w:eastAsia="Arial" w:hAnsi="Arial"/>
                <w:sz w:val="16"/>
                <w:szCs w:val="16"/>
                <w:b w:val="1"/>
                <w:bCs w:val="1"/>
                <w:color w:val="auto"/>
              </w:rPr>
              <w:t>Currency rate sensibility</w:t>
            </w:r>
          </w:p>
        </w:tc>
        <w:tc>
          <w:tcPr>
            <w:tcW w:w="3440" w:type="dxa"/>
            <w:vAlign w:val="bottom"/>
            <w:gridSpan w:val="2"/>
          </w:tcPr>
          <w:p>
            <w:pPr>
              <w:ind w:left="2380"/>
              <w:spacing w:after="0"/>
              <w:rPr>
                <w:sz w:val="20"/>
                <w:szCs w:val="20"/>
                <w:color w:val="auto"/>
              </w:rPr>
            </w:pPr>
            <w:r>
              <w:rPr>
                <w:rFonts w:ascii="Arial" w:cs="Arial" w:eastAsia="Arial" w:hAnsi="Arial"/>
                <w:sz w:val="16"/>
                <w:szCs w:val="16"/>
                <w:b w:val="1"/>
                <w:bCs w:val="1"/>
                <w:color w:val="auto"/>
              </w:rPr>
              <w:t>rates</w:t>
            </w:r>
          </w:p>
        </w:tc>
        <w:tc>
          <w:tcPr>
            <w:tcW w:w="1300" w:type="dxa"/>
            <w:vAlign w:val="bottom"/>
            <w:gridSpan w:val="2"/>
          </w:tcPr>
          <w:p>
            <w:pPr>
              <w:jc w:val="right"/>
              <w:ind w:right="66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080" w:type="dxa"/>
            <w:vAlign w:val="bottom"/>
          </w:tcPr>
          <w:p>
            <w:pPr>
              <w:jc w:val="right"/>
              <w:ind w:right="662"/>
              <w:spacing w:after="0"/>
              <w:rPr>
                <w:sz w:val="20"/>
                <w:szCs w:val="20"/>
                <w:color w:val="auto"/>
              </w:rPr>
            </w:pPr>
            <w:r>
              <w:rPr>
                <w:rFonts w:ascii="Arial" w:cs="Arial" w:eastAsia="Arial" w:hAnsi="Arial"/>
                <w:sz w:val="16"/>
                <w:szCs w:val="16"/>
                <w:b w:val="1"/>
                <w:bCs w:val="1"/>
                <w:color w:val="auto"/>
                <w:w w:val="89"/>
              </w:rPr>
              <w:t>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60" w:type="dxa"/>
            <w:vAlign w:val="bottom"/>
            <w:vMerge w:val="restart"/>
          </w:tcPr>
          <w:p>
            <w:pPr>
              <w:ind w:left="560"/>
              <w:spacing w:after="0"/>
              <w:rPr>
                <w:sz w:val="20"/>
                <w:szCs w:val="20"/>
                <w:color w:val="auto"/>
              </w:rPr>
            </w:pPr>
            <w:r>
              <w:rPr>
                <w:rFonts w:ascii="Arial" w:cs="Arial" w:eastAsia="Arial" w:hAnsi="Arial"/>
                <w:sz w:val="16"/>
                <w:szCs w:val="16"/>
                <w:color w:val="auto"/>
              </w:rPr>
              <w:t>Depreciation -</w:t>
            </w:r>
          </w:p>
        </w:tc>
        <w:tc>
          <w:tcPr>
            <w:tcW w:w="23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8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S/000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6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60" w:type="dxa"/>
            <w:vAlign w:val="bottom"/>
          </w:tcPr>
          <w:p>
            <w:pPr>
              <w:ind w:left="560"/>
              <w:spacing w:after="0" w:line="175" w:lineRule="exact"/>
              <w:rPr>
                <w:sz w:val="20"/>
                <w:szCs w:val="20"/>
                <w:color w:val="auto"/>
              </w:rPr>
            </w:pPr>
            <w:r>
              <w:rPr>
                <w:rFonts w:ascii="Arial" w:cs="Arial" w:eastAsia="Arial" w:hAnsi="Arial"/>
                <w:sz w:val="16"/>
                <w:szCs w:val="16"/>
                <w:color w:val="auto"/>
              </w:rPr>
              <w:t>Soles in relation to U.S. Dollar</w:t>
            </w:r>
          </w:p>
        </w:tc>
        <w:tc>
          <w:tcPr>
            <w:tcW w:w="3440" w:type="dxa"/>
            <w:vAlign w:val="bottom"/>
            <w:gridSpan w:val="2"/>
          </w:tcPr>
          <w:p>
            <w:pPr>
              <w:jc w:val="center"/>
              <w:ind w:left="2403"/>
              <w:spacing w:after="0" w:line="175" w:lineRule="exact"/>
              <w:rPr>
                <w:sz w:val="20"/>
                <w:szCs w:val="20"/>
                <w:color w:val="auto"/>
              </w:rPr>
            </w:pPr>
            <w:r>
              <w:rPr>
                <w:rFonts w:ascii="Arial" w:cs="Arial" w:eastAsia="Arial" w:hAnsi="Arial"/>
                <w:sz w:val="16"/>
                <w:szCs w:val="16"/>
                <w:color w:val="auto"/>
                <w:w w:val="89"/>
              </w:rPr>
              <w:t>5</w:t>
            </w:r>
          </w:p>
        </w:tc>
        <w:tc>
          <w:tcPr>
            <w:tcW w:w="150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35,941</w:t>
            </w:r>
          </w:p>
        </w:tc>
        <w:tc>
          <w:tcPr>
            <w:tcW w:w="2260" w:type="dxa"/>
            <w:vAlign w:val="bottom"/>
            <w:gridSpan w:val="2"/>
          </w:tcPr>
          <w:p>
            <w:pPr>
              <w:jc w:val="right"/>
              <w:ind w:right="1180"/>
              <w:spacing w:after="0" w:line="175" w:lineRule="exact"/>
              <w:rPr>
                <w:sz w:val="20"/>
                <w:szCs w:val="20"/>
                <w:color w:val="auto"/>
              </w:rPr>
            </w:pPr>
            <w:r>
              <w:rPr>
                <w:rFonts w:ascii="Arial" w:cs="Arial" w:eastAsia="Arial" w:hAnsi="Arial"/>
                <w:sz w:val="16"/>
                <w:szCs w:val="16"/>
                <w:color w:val="auto"/>
              </w:rPr>
              <w:t>43,377</w:t>
            </w:r>
          </w:p>
        </w:tc>
        <w:tc>
          <w:tcPr>
            <w:tcW w:w="0" w:type="dxa"/>
            <w:vAlign w:val="bottom"/>
          </w:tcPr>
          <w:p>
            <w:pPr>
              <w:spacing w:after="0"/>
              <w:rPr>
                <w:sz w:val="1"/>
                <w:szCs w:val="1"/>
                <w:color w:val="auto"/>
              </w:rPr>
            </w:pPr>
          </w:p>
        </w:tc>
      </w:tr>
      <w:tr>
        <w:trPr>
          <w:trHeight w:val="205"/>
        </w:trPr>
        <w:tc>
          <w:tcPr>
            <w:tcW w:w="4060" w:type="dxa"/>
            <w:vAlign w:val="bottom"/>
          </w:tcPr>
          <w:p>
            <w:pPr>
              <w:ind w:left="560"/>
              <w:spacing w:after="0"/>
              <w:rPr>
                <w:sz w:val="20"/>
                <w:szCs w:val="20"/>
                <w:color w:val="auto"/>
              </w:rPr>
            </w:pPr>
            <w:r>
              <w:rPr>
                <w:rFonts w:ascii="Arial" w:cs="Arial" w:eastAsia="Arial" w:hAnsi="Arial"/>
                <w:sz w:val="16"/>
                <w:szCs w:val="16"/>
                <w:color w:val="auto"/>
              </w:rPr>
              <w:t>Soles in relation to U.S. Dollar</w:t>
            </w:r>
          </w:p>
        </w:tc>
        <w:tc>
          <w:tcPr>
            <w:tcW w:w="3440" w:type="dxa"/>
            <w:vAlign w:val="bottom"/>
            <w:gridSpan w:val="2"/>
          </w:tcPr>
          <w:p>
            <w:pPr>
              <w:jc w:val="center"/>
              <w:ind w:left="2423"/>
              <w:spacing w:after="0"/>
              <w:rPr>
                <w:sz w:val="20"/>
                <w:szCs w:val="20"/>
                <w:color w:val="auto"/>
              </w:rPr>
            </w:pPr>
            <w:r>
              <w:rPr>
                <w:rFonts w:ascii="Arial" w:cs="Arial" w:eastAsia="Arial" w:hAnsi="Arial"/>
                <w:sz w:val="16"/>
                <w:szCs w:val="16"/>
                <w:color w:val="auto"/>
              </w:rPr>
              <w:t>10</w:t>
            </w:r>
          </w:p>
        </w:tc>
        <w:tc>
          <w:tcPr>
            <w:tcW w:w="1500" w:type="dxa"/>
            <w:vAlign w:val="bottom"/>
            <w:gridSpan w:val="3"/>
          </w:tcPr>
          <w:p>
            <w:pPr>
              <w:jc w:val="right"/>
              <w:ind w:right="200"/>
              <w:spacing w:after="0"/>
              <w:rPr>
                <w:sz w:val="20"/>
                <w:szCs w:val="20"/>
                <w:color w:val="auto"/>
              </w:rPr>
            </w:pPr>
            <w:r>
              <w:rPr>
                <w:rFonts w:ascii="Arial" w:cs="Arial" w:eastAsia="Arial" w:hAnsi="Arial"/>
                <w:sz w:val="16"/>
                <w:szCs w:val="16"/>
                <w:color w:val="auto"/>
              </w:rPr>
              <w:t>68,615</w:t>
            </w:r>
          </w:p>
        </w:tc>
        <w:tc>
          <w:tcPr>
            <w:tcW w:w="2260" w:type="dxa"/>
            <w:vAlign w:val="bottom"/>
            <w:gridSpan w:val="2"/>
          </w:tcPr>
          <w:p>
            <w:pPr>
              <w:jc w:val="right"/>
              <w:ind w:right="1180"/>
              <w:spacing w:after="0"/>
              <w:rPr>
                <w:sz w:val="20"/>
                <w:szCs w:val="20"/>
                <w:color w:val="auto"/>
              </w:rPr>
            </w:pPr>
            <w:r>
              <w:rPr>
                <w:rFonts w:ascii="Arial" w:cs="Arial" w:eastAsia="Arial" w:hAnsi="Arial"/>
                <w:sz w:val="16"/>
                <w:szCs w:val="16"/>
                <w:color w:val="auto"/>
              </w:rPr>
              <w:t>82,812</w:t>
            </w:r>
          </w:p>
        </w:tc>
        <w:tc>
          <w:tcPr>
            <w:tcW w:w="0" w:type="dxa"/>
            <w:vAlign w:val="bottom"/>
          </w:tcPr>
          <w:p>
            <w:pPr>
              <w:spacing w:after="0"/>
              <w:rPr>
                <w:sz w:val="1"/>
                <w:szCs w:val="1"/>
                <w:color w:val="auto"/>
              </w:rPr>
            </w:pPr>
          </w:p>
        </w:tc>
      </w:tr>
      <w:tr>
        <w:trPr>
          <w:trHeight w:val="309"/>
        </w:trPr>
        <w:tc>
          <w:tcPr>
            <w:tcW w:w="4060" w:type="dxa"/>
            <w:vAlign w:val="bottom"/>
          </w:tcPr>
          <w:p>
            <w:pPr>
              <w:ind w:left="560"/>
              <w:spacing w:after="0"/>
              <w:rPr>
                <w:sz w:val="20"/>
                <w:szCs w:val="20"/>
                <w:color w:val="auto"/>
              </w:rPr>
            </w:pPr>
            <w:r>
              <w:rPr>
                <w:rFonts w:ascii="Arial" w:cs="Arial" w:eastAsia="Arial" w:hAnsi="Arial"/>
                <w:sz w:val="16"/>
                <w:szCs w:val="16"/>
                <w:color w:val="auto"/>
              </w:rPr>
              <w:t>Appreciation -</w:t>
            </w:r>
          </w:p>
        </w:tc>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60" w:type="dxa"/>
            <w:vAlign w:val="bottom"/>
          </w:tcPr>
          <w:p>
            <w:pPr>
              <w:ind w:left="560"/>
              <w:spacing w:after="0" w:line="175" w:lineRule="exact"/>
              <w:rPr>
                <w:sz w:val="20"/>
                <w:szCs w:val="20"/>
                <w:color w:val="auto"/>
              </w:rPr>
            </w:pPr>
            <w:r>
              <w:rPr>
                <w:rFonts w:ascii="Arial" w:cs="Arial" w:eastAsia="Arial" w:hAnsi="Arial"/>
                <w:sz w:val="16"/>
                <w:szCs w:val="16"/>
                <w:color w:val="auto"/>
              </w:rPr>
              <w:t>Soles in relation to U.S. Dollar</w:t>
            </w:r>
          </w:p>
        </w:tc>
        <w:tc>
          <w:tcPr>
            <w:tcW w:w="3440" w:type="dxa"/>
            <w:vAlign w:val="bottom"/>
            <w:gridSpan w:val="2"/>
          </w:tcPr>
          <w:p>
            <w:pPr>
              <w:jc w:val="center"/>
              <w:ind w:left="2403"/>
              <w:spacing w:after="0" w:line="175" w:lineRule="exact"/>
              <w:rPr>
                <w:sz w:val="20"/>
                <w:szCs w:val="20"/>
                <w:color w:val="auto"/>
              </w:rPr>
            </w:pPr>
            <w:r>
              <w:rPr>
                <w:rFonts w:ascii="Arial" w:cs="Arial" w:eastAsia="Arial" w:hAnsi="Arial"/>
                <w:sz w:val="16"/>
                <w:szCs w:val="16"/>
                <w:color w:val="auto"/>
                <w:w w:val="89"/>
              </w:rPr>
              <w:t>5</w:t>
            </w:r>
          </w:p>
        </w:tc>
        <w:tc>
          <w:tcPr>
            <w:tcW w:w="1500" w:type="dxa"/>
            <w:vAlign w:val="bottom"/>
            <w:gridSpan w:val="3"/>
          </w:tcPr>
          <w:p>
            <w:pPr>
              <w:jc w:val="right"/>
              <w:ind w:right="160"/>
              <w:spacing w:after="0" w:line="175" w:lineRule="exact"/>
              <w:rPr>
                <w:sz w:val="20"/>
                <w:szCs w:val="20"/>
                <w:color w:val="auto"/>
              </w:rPr>
            </w:pPr>
            <w:r>
              <w:rPr>
                <w:rFonts w:ascii="Arial" w:cs="Arial" w:eastAsia="Arial" w:hAnsi="Arial"/>
                <w:sz w:val="16"/>
                <w:szCs w:val="16"/>
                <w:color w:val="auto"/>
              </w:rPr>
              <w:t>(39,725)</w:t>
            </w:r>
          </w:p>
        </w:tc>
        <w:tc>
          <w:tcPr>
            <w:tcW w:w="2260" w:type="dxa"/>
            <w:vAlign w:val="bottom"/>
            <w:gridSpan w:val="2"/>
          </w:tcPr>
          <w:p>
            <w:pPr>
              <w:jc w:val="right"/>
              <w:ind w:right="1140"/>
              <w:spacing w:after="0" w:line="175" w:lineRule="exact"/>
              <w:rPr>
                <w:sz w:val="20"/>
                <w:szCs w:val="20"/>
                <w:color w:val="auto"/>
              </w:rPr>
            </w:pPr>
            <w:r>
              <w:rPr>
                <w:rFonts w:ascii="Arial" w:cs="Arial" w:eastAsia="Arial" w:hAnsi="Arial"/>
                <w:sz w:val="16"/>
                <w:szCs w:val="16"/>
                <w:color w:val="auto"/>
              </w:rPr>
              <w:t>(47,944)</w:t>
            </w:r>
          </w:p>
        </w:tc>
        <w:tc>
          <w:tcPr>
            <w:tcW w:w="0" w:type="dxa"/>
            <w:vAlign w:val="bottom"/>
          </w:tcPr>
          <w:p>
            <w:pPr>
              <w:spacing w:after="0"/>
              <w:rPr>
                <w:sz w:val="1"/>
                <w:szCs w:val="1"/>
                <w:color w:val="auto"/>
              </w:rPr>
            </w:pPr>
          </w:p>
        </w:tc>
      </w:tr>
      <w:tr>
        <w:trPr>
          <w:trHeight w:val="205"/>
        </w:trPr>
        <w:tc>
          <w:tcPr>
            <w:tcW w:w="4060" w:type="dxa"/>
            <w:vAlign w:val="bottom"/>
          </w:tcPr>
          <w:p>
            <w:pPr>
              <w:ind w:left="560"/>
              <w:spacing w:after="0"/>
              <w:rPr>
                <w:sz w:val="20"/>
                <w:szCs w:val="20"/>
                <w:color w:val="auto"/>
              </w:rPr>
            </w:pPr>
            <w:r>
              <w:rPr>
                <w:rFonts w:ascii="Arial" w:cs="Arial" w:eastAsia="Arial" w:hAnsi="Arial"/>
                <w:sz w:val="16"/>
                <w:szCs w:val="16"/>
                <w:color w:val="auto"/>
              </w:rPr>
              <w:t>Soles in relation to U.S. Dollar</w:t>
            </w:r>
          </w:p>
        </w:tc>
        <w:tc>
          <w:tcPr>
            <w:tcW w:w="3440" w:type="dxa"/>
            <w:vAlign w:val="bottom"/>
            <w:gridSpan w:val="2"/>
          </w:tcPr>
          <w:p>
            <w:pPr>
              <w:jc w:val="center"/>
              <w:ind w:left="2423"/>
              <w:spacing w:after="0"/>
              <w:rPr>
                <w:sz w:val="20"/>
                <w:szCs w:val="20"/>
                <w:color w:val="auto"/>
              </w:rPr>
            </w:pPr>
            <w:r>
              <w:rPr>
                <w:rFonts w:ascii="Arial" w:cs="Arial" w:eastAsia="Arial" w:hAnsi="Arial"/>
                <w:sz w:val="16"/>
                <w:szCs w:val="16"/>
                <w:color w:val="auto"/>
              </w:rPr>
              <w:t>10</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(83,863)</w:t>
            </w:r>
          </w:p>
        </w:tc>
        <w:tc>
          <w:tcPr>
            <w:tcW w:w="2260" w:type="dxa"/>
            <w:vAlign w:val="bottom"/>
            <w:gridSpan w:val="2"/>
          </w:tcPr>
          <w:p>
            <w:pPr>
              <w:jc w:val="right"/>
              <w:ind w:right="1140"/>
              <w:spacing w:after="0"/>
              <w:rPr>
                <w:sz w:val="20"/>
                <w:szCs w:val="20"/>
                <w:color w:val="auto"/>
              </w:rPr>
            </w:pPr>
            <w:r>
              <w:rPr>
                <w:rFonts w:ascii="Arial" w:cs="Arial" w:eastAsia="Arial" w:hAnsi="Arial"/>
                <w:sz w:val="16"/>
                <w:szCs w:val="16"/>
                <w:color w:val="auto"/>
              </w:rPr>
              <w:t>(101,214)</w:t>
            </w:r>
          </w:p>
        </w:tc>
        <w:tc>
          <w:tcPr>
            <w:tcW w:w="0" w:type="dxa"/>
            <w:vAlign w:val="bottom"/>
          </w:tcPr>
          <w:p>
            <w:pPr>
              <w:spacing w:after="0"/>
              <w:rPr>
                <w:sz w:val="1"/>
                <w:szCs w:val="1"/>
                <w:color w:val="auto"/>
              </w:rPr>
            </w:pPr>
          </w:p>
        </w:tc>
      </w:tr>
      <w:tr>
        <w:trPr>
          <w:trHeight w:val="307"/>
        </w:trPr>
        <w:tc>
          <w:tcPr>
            <w:tcW w:w="4060" w:type="dxa"/>
            <w:vAlign w:val="bottom"/>
          </w:tcPr>
          <w:p>
            <w:pPr>
              <w:spacing w:after="0"/>
              <w:rPr>
                <w:sz w:val="24"/>
                <w:szCs w:val="24"/>
                <w:color w:val="auto"/>
              </w:rPr>
            </w:pPr>
          </w:p>
        </w:tc>
        <w:tc>
          <w:tcPr>
            <w:tcW w:w="3440" w:type="dxa"/>
            <w:vAlign w:val="bottom"/>
            <w:gridSpan w:val="2"/>
          </w:tcPr>
          <w:p>
            <w:pPr>
              <w:ind w:left="2380"/>
              <w:spacing w:after="0"/>
              <w:rPr>
                <w:sz w:val="20"/>
                <w:szCs w:val="20"/>
                <w:color w:val="auto"/>
              </w:rPr>
            </w:pPr>
            <w:r>
              <w:rPr>
                <w:rFonts w:ascii="Arial" w:cs="Arial" w:eastAsia="Arial" w:hAnsi="Arial"/>
                <w:sz w:val="16"/>
                <w:szCs w:val="16"/>
                <w:b w:val="1"/>
                <w:bCs w:val="1"/>
                <w:color w:val="auto"/>
              </w:rPr>
              <w:t>Change in</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3440" w:type="dxa"/>
            <w:vAlign w:val="bottom"/>
            <w:gridSpan w:val="2"/>
          </w:tcPr>
          <w:p>
            <w:pPr>
              <w:ind w:left="2380"/>
              <w:spacing w:after="0" w:line="175" w:lineRule="exact"/>
              <w:rPr>
                <w:sz w:val="20"/>
                <w:szCs w:val="20"/>
                <w:color w:val="auto"/>
              </w:rPr>
            </w:pPr>
            <w:r>
              <w:rPr>
                <w:rFonts w:ascii="Arial" w:cs="Arial" w:eastAsia="Arial" w:hAnsi="Arial"/>
                <w:sz w:val="16"/>
                <w:szCs w:val="16"/>
                <w:b w:val="1"/>
                <w:bCs w:val="1"/>
                <w:color w:val="auto"/>
              </w:rPr>
              <w:t>currency</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60" w:type="dxa"/>
            <w:vAlign w:val="bottom"/>
          </w:tcPr>
          <w:p>
            <w:pPr>
              <w:ind w:left="560"/>
              <w:spacing w:after="0"/>
              <w:rPr>
                <w:sz w:val="20"/>
                <w:szCs w:val="20"/>
                <w:color w:val="auto"/>
              </w:rPr>
            </w:pPr>
            <w:r>
              <w:rPr>
                <w:rFonts w:ascii="Arial" w:cs="Arial" w:eastAsia="Arial" w:hAnsi="Arial"/>
                <w:sz w:val="16"/>
                <w:szCs w:val="16"/>
                <w:b w:val="1"/>
                <w:bCs w:val="1"/>
                <w:color w:val="auto"/>
              </w:rPr>
              <w:t>Currency rate sensibility</w:t>
            </w:r>
          </w:p>
        </w:tc>
        <w:tc>
          <w:tcPr>
            <w:tcW w:w="3440" w:type="dxa"/>
            <w:vAlign w:val="bottom"/>
            <w:gridSpan w:val="2"/>
          </w:tcPr>
          <w:p>
            <w:pPr>
              <w:ind w:left="2380"/>
              <w:spacing w:after="0"/>
              <w:rPr>
                <w:sz w:val="20"/>
                <w:szCs w:val="20"/>
                <w:color w:val="auto"/>
              </w:rPr>
            </w:pPr>
            <w:r>
              <w:rPr>
                <w:rFonts w:ascii="Arial" w:cs="Arial" w:eastAsia="Arial" w:hAnsi="Arial"/>
                <w:sz w:val="16"/>
                <w:szCs w:val="16"/>
                <w:b w:val="1"/>
                <w:bCs w:val="1"/>
                <w:color w:val="auto"/>
              </w:rPr>
              <w:t>rates</w:t>
            </w:r>
          </w:p>
        </w:tc>
        <w:tc>
          <w:tcPr>
            <w:tcW w:w="1300" w:type="dxa"/>
            <w:vAlign w:val="bottom"/>
            <w:gridSpan w:val="2"/>
          </w:tcPr>
          <w:p>
            <w:pPr>
              <w:jc w:val="right"/>
              <w:ind w:right="662"/>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1080" w:type="dxa"/>
            <w:vAlign w:val="bottom"/>
          </w:tcPr>
          <w:p>
            <w:pPr>
              <w:jc w:val="right"/>
              <w:ind w:right="662"/>
              <w:spacing w:after="0"/>
              <w:rPr>
                <w:sz w:val="20"/>
                <w:szCs w:val="20"/>
                <w:color w:val="auto"/>
              </w:rPr>
            </w:pPr>
            <w:r>
              <w:rPr>
                <w:rFonts w:ascii="Arial" w:cs="Arial" w:eastAsia="Arial" w:hAnsi="Arial"/>
                <w:sz w:val="16"/>
                <w:szCs w:val="16"/>
                <w:b w:val="1"/>
                <w:bCs w:val="1"/>
                <w:color w:val="auto"/>
                <w:w w:val="89"/>
              </w:rPr>
              <w:t>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60" w:type="dxa"/>
            <w:vAlign w:val="bottom"/>
            <w:vMerge w:val="restart"/>
          </w:tcPr>
          <w:p>
            <w:pPr>
              <w:ind w:left="560"/>
              <w:spacing w:after="0"/>
              <w:rPr>
                <w:sz w:val="20"/>
                <w:szCs w:val="20"/>
                <w:color w:val="auto"/>
              </w:rPr>
            </w:pPr>
            <w:r>
              <w:rPr>
                <w:rFonts w:ascii="Arial" w:cs="Arial" w:eastAsia="Arial" w:hAnsi="Arial"/>
                <w:sz w:val="16"/>
                <w:szCs w:val="16"/>
                <w:color w:val="auto"/>
              </w:rPr>
              <w:t>Depreciation -</w:t>
            </w:r>
          </w:p>
        </w:tc>
        <w:tc>
          <w:tcPr>
            <w:tcW w:w="2380" w:type="dxa"/>
            <w:vAlign w:val="bottom"/>
          </w:tcPr>
          <w:p>
            <w:pPr>
              <w:spacing w:after="0"/>
              <w:rPr>
                <w:sz w:val="17"/>
                <w:szCs w:val="17"/>
                <w:color w:val="auto"/>
              </w:rPr>
            </w:pPr>
          </w:p>
        </w:tc>
        <w:tc>
          <w:tcPr>
            <w:tcW w:w="106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8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S/000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6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60" w:type="dxa"/>
            <w:vAlign w:val="bottom"/>
          </w:tcPr>
          <w:p>
            <w:pPr>
              <w:ind w:left="560"/>
              <w:spacing w:after="0" w:line="175" w:lineRule="exact"/>
              <w:rPr>
                <w:sz w:val="20"/>
                <w:szCs w:val="20"/>
                <w:color w:val="auto"/>
              </w:rPr>
            </w:pPr>
            <w:r>
              <w:rPr>
                <w:rFonts w:ascii="Arial" w:cs="Arial" w:eastAsia="Arial" w:hAnsi="Arial"/>
                <w:sz w:val="16"/>
                <w:szCs w:val="16"/>
                <w:color w:val="auto"/>
              </w:rPr>
              <w:t>Soles in relation to Boliviano</w:t>
            </w:r>
          </w:p>
        </w:tc>
        <w:tc>
          <w:tcPr>
            <w:tcW w:w="3440" w:type="dxa"/>
            <w:vAlign w:val="bottom"/>
            <w:gridSpan w:val="2"/>
          </w:tcPr>
          <w:p>
            <w:pPr>
              <w:jc w:val="center"/>
              <w:ind w:left="2403"/>
              <w:spacing w:after="0" w:line="175" w:lineRule="exact"/>
              <w:rPr>
                <w:sz w:val="20"/>
                <w:szCs w:val="20"/>
                <w:color w:val="auto"/>
              </w:rPr>
            </w:pPr>
            <w:r>
              <w:rPr>
                <w:rFonts w:ascii="Arial" w:cs="Arial" w:eastAsia="Arial" w:hAnsi="Arial"/>
                <w:sz w:val="16"/>
                <w:szCs w:val="16"/>
                <w:color w:val="auto"/>
                <w:w w:val="89"/>
              </w:rPr>
              <w:t>5</w:t>
            </w:r>
          </w:p>
        </w:tc>
        <w:tc>
          <w:tcPr>
            <w:tcW w:w="1500" w:type="dxa"/>
            <w:vAlign w:val="bottom"/>
            <w:gridSpan w:val="3"/>
          </w:tcPr>
          <w:p>
            <w:pPr>
              <w:jc w:val="right"/>
              <w:ind w:right="200"/>
              <w:spacing w:after="0" w:line="175" w:lineRule="exact"/>
              <w:rPr>
                <w:sz w:val="20"/>
                <w:szCs w:val="20"/>
                <w:color w:val="auto"/>
              </w:rPr>
            </w:pPr>
            <w:r>
              <w:rPr>
                <w:rFonts w:ascii="Arial" w:cs="Arial" w:eastAsia="Arial" w:hAnsi="Arial"/>
                <w:sz w:val="16"/>
                <w:szCs w:val="16"/>
                <w:color w:val="auto"/>
              </w:rPr>
              <w:t>45,842</w:t>
            </w:r>
          </w:p>
        </w:tc>
        <w:tc>
          <w:tcPr>
            <w:tcW w:w="2260" w:type="dxa"/>
            <w:vAlign w:val="bottom"/>
            <w:gridSpan w:val="2"/>
          </w:tcPr>
          <w:p>
            <w:pPr>
              <w:jc w:val="right"/>
              <w:ind w:right="1180"/>
              <w:spacing w:after="0" w:line="175" w:lineRule="exact"/>
              <w:rPr>
                <w:sz w:val="20"/>
                <w:szCs w:val="20"/>
                <w:color w:val="auto"/>
              </w:rPr>
            </w:pPr>
            <w:r>
              <w:rPr>
                <w:rFonts w:ascii="Arial" w:cs="Arial" w:eastAsia="Arial" w:hAnsi="Arial"/>
                <w:sz w:val="16"/>
                <w:szCs w:val="16"/>
                <w:color w:val="auto"/>
              </w:rPr>
              <w:t>40,969</w:t>
            </w:r>
          </w:p>
        </w:tc>
        <w:tc>
          <w:tcPr>
            <w:tcW w:w="0" w:type="dxa"/>
            <w:vAlign w:val="bottom"/>
          </w:tcPr>
          <w:p>
            <w:pPr>
              <w:spacing w:after="0"/>
              <w:rPr>
                <w:sz w:val="1"/>
                <w:szCs w:val="1"/>
                <w:color w:val="auto"/>
              </w:rPr>
            </w:pPr>
          </w:p>
        </w:tc>
      </w:tr>
      <w:tr>
        <w:trPr>
          <w:trHeight w:val="205"/>
        </w:trPr>
        <w:tc>
          <w:tcPr>
            <w:tcW w:w="4060" w:type="dxa"/>
            <w:vAlign w:val="bottom"/>
          </w:tcPr>
          <w:p>
            <w:pPr>
              <w:ind w:left="560"/>
              <w:spacing w:after="0"/>
              <w:rPr>
                <w:sz w:val="20"/>
                <w:szCs w:val="20"/>
                <w:color w:val="auto"/>
              </w:rPr>
            </w:pPr>
            <w:r>
              <w:rPr>
                <w:rFonts w:ascii="Arial" w:cs="Arial" w:eastAsia="Arial" w:hAnsi="Arial"/>
                <w:sz w:val="16"/>
                <w:szCs w:val="16"/>
                <w:color w:val="auto"/>
              </w:rPr>
              <w:t>Soles in relation to Boliviano</w:t>
            </w:r>
          </w:p>
        </w:tc>
        <w:tc>
          <w:tcPr>
            <w:tcW w:w="3440" w:type="dxa"/>
            <w:vAlign w:val="bottom"/>
            <w:gridSpan w:val="2"/>
          </w:tcPr>
          <w:p>
            <w:pPr>
              <w:jc w:val="center"/>
              <w:ind w:left="2423"/>
              <w:spacing w:after="0"/>
              <w:rPr>
                <w:sz w:val="20"/>
                <w:szCs w:val="20"/>
                <w:color w:val="auto"/>
              </w:rPr>
            </w:pPr>
            <w:r>
              <w:rPr>
                <w:rFonts w:ascii="Arial" w:cs="Arial" w:eastAsia="Arial" w:hAnsi="Arial"/>
                <w:sz w:val="16"/>
                <w:szCs w:val="16"/>
                <w:color w:val="auto"/>
              </w:rPr>
              <w:t>10</w:t>
            </w:r>
          </w:p>
        </w:tc>
        <w:tc>
          <w:tcPr>
            <w:tcW w:w="1500" w:type="dxa"/>
            <w:vAlign w:val="bottom"/>
            <w:gridSpan w:val="3"/>
          </w:tcPr>
          <w:p>
            <w:pPr>
              <w:jc w:val="right"/>
              <w:ind w:right="200"/>
              <w:spacing w:after="0"/>
              <w:rPr>
                <w:sz w:val="20"/>
                <w:szCs w:val="20"/>
                <w:color w:val="auto"/>
              </w:rPr>
            </w:pPr>
            <w:r>
              <w:rPr>
                <w:rFonts w:ascii="Arial" w:cs="Arial" w:eastAsia="Arial" w:hAnsi="Arial"/>
                <w:sz w:val="16"/>
                <w:szCs w:val="16"/>
                <w:color w:val="auto"/>
              </w:rPr>
              <w:t>87,516</w:t>
            </w:r>
          </w:p>
        </w:tc>
        <w:tc>
          <w:tcPr>
            <w:tcW w:w="2260" w:type="dxa"/>
            <w:vAlign w:val="bottom"/>
            <w:gridSpan w:val="2"/>
          </w:tcPr>
          <w:p>
            <w:pPr>
              <w:jc w:val="right"/>
              <w:ind w:right="1180"/>
              <w:spacing w:after="0"/>
              <w:rPr>
                <w:sz w:val="20"/>
                <w:szCs w:val="20"/>
                <w:color w:val="auto"/>
              </w:rPr>
            </w:pPr>
            <w:r>
              <w:rPr>
                <w:rFonts w:ascii="Arial" w:cs="Arial" w:eastAsia="Arial" w:hAnsi="Arial"/>
                <w:sz w:val="16"/>
                <w:szCs w:val="16"/>
                <w:color w:val="auto"/>
              </w:rPr>
              <w:t>78,214</w:t>
            </w:r>
          </w:p>
        </w:tc>
        <w:tc>
          <w:tcPr>
            <w:tcW w:w="0" w:type="dxa"/>
            <w:vAlign w:val="bottom"/>
          </w:tcPr>
          <w:p>
            <w:pPr>
              <w:spacing w:after="0"/>
              <w:rPr>
                <w:sz w:val="1"/>
                <w:szCs w:val="1"/>
                <w:color w:val="auto"/>
              </w:rPr>
            </w:pPr>
          </w:p>
        </w:tc>
      </w:tr>
      <w:tr>
        <w:trPr>
          <w:trHeight w:val="309"/>
        </w:trPr>
        <w:tc>
          <w:tcPr>
            <w:tcW w:w="4060" w:type="dxa"/>
            <w:vAlign w:val="bottom"/>
          </w:tcPr>
          <w:p>
            <w:pPr>
              <w:ind w:left="560"/>
              <w:spacing w:after="0"/>
              <w:rPr>
                <w:sz w:val="20"/>
                <w:szCs w:val="20"/>
                <w:color w:val="auto"/>
              </w:rPr>
            </w:pPr>
            <w:r>
              <w:rPr>
                <w:rFonts w:ascii="Arial" w:cs="Arial" w:eastAsia="Arial" w:hAnsi="Arial"/>
                <w:sz w:val="16"/>
                <w:szCs w:val="16"/>
                <w:color w:val="auto"/>
              </w:rPr>
              <w:t>Appreciation -</w:t>
            </w:r>
          </w:p>
        </w:tc>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60" w:type="dxa"/>
            <w:vAlign w:val="bottom"/>
          </w:tcPr>
          <w:p>
            <w:pPr>
              <w:ind w:left="560"/>
              <w:spacing w:after="0" w:line="175" w:lineRule="exact"/>
              <w:rPr>
                <w:sz w:val="20"/>
                <w:szCs w:val="20"/>
                <w:color w:val="auto"/>
              </w:rPr>
            </w:pPr>
            <w:r>
              <w:rPr>
                <w:rFonts w:ascii="Arial" w:cs="Arial" w:eastAsia="Arial" w:hAnsi="Arial"/>
                <w:sz w:val="16"/>
                <w:szCs w:val="16"/>
                <w:color w:val="auto"/>
              </w:rPr>
              <w:t>Soles in relation to Boliviano</w:t>
            </w:r>
          </w:p>
        </w:tc>
        <w:tc>
          <w:tcPr>
            <w:tcW w:w="3440" w:type="dxa"/>
            <w:vAlign w:val="bottom"/>
            <w:gridSpan w:val="2"/>
          </w:tcPr>
          <w:p>
            <w:pPr>
              <w:jc w:val="center"/>
              <w:ind w:left="2403"/>
              <w:spacing w:after="0" w:line="175" w:lineRule="exact"/>
              <w:rPr>
                <w:sz w:val="20"/>
                <w:szCs w:val="20"/>
                <w:color w:val="auto"/>
              </w:rPr>
            </w:pPr>
            <w:r>
              <w:rPr>
                <w:rFonts w:ascii="Arial" w:cs="Arial" w:eastAsia="Arial" w:hAnsi="Arial"/>
                <w:sz w:val="16"/>
                <w:szCs w:val="16"/>
                <w:color w:val="auto"/>
                <w:w w:val="89"/>
              </w:rPr>
              <w:t>5</w:t>
            </w:r>
          </w:p>
        </w:tc>
        <w:tc>
          <w:tcPr>
            <w:tcW w:w="1500" w:type="dxa"/>
            <w:vAlign w:val="bottom"/>
            <w:gridSpan w:val="3"/>
          </w:tcPr>
          <w:p>
            <w:pPr>
              <w:jc w:val="right"/>
              <w:ind w:right="160"/>
              <w:spacing w:after="0" w:line="175" w:lineRule="exact"/>
              <w:rPr>
                <w:sz w:val="20"/>
                <w:szCs w:val="20"/>
                <w:color w:val="auto"/>
              </w:rPr>
            </w:pPr>
            <w:r>
              <w:rPr>
                <w:rFonts w:ascii="Arial" w:cs="Arial" w:eastAsia="Arial" w:hAnsi="Arial"/>
                <w:sz w:val="16"/>
                <w:szCs w:val="16"/>
                <w:color w:val="auto"/>
              </w:rPr>
              <w:t>(50,667)</w:t>
            </w:r>
          </w:p>
        </w:tc>
        <w:tc>
          <w:tcPr>
            <w:tcW w:w="2260" w:type="dxa"/>
            <w:vAlign w:val="bottom"/>
            <w:gridSpan w:val="2"/>
          </w:tcPr>
          <w:p>
            <w:pPr>
              <w:jc w:val="right"/>
              <w:ind w:right="1140"/>
              <w:spacing w:after="0" w:line="175" w:lineRule="exact"/>
              <w:rPr>
                <w:sz w:val="20"/>
                <w:szCs w:val="20"/>
                <w:color w:val="auto"/>
              </w:rPr>
            </w:pPr>
            <w:r>
              <w:rPr>
                <w:rFonts w:ascii="Arial" w:cs="Arial" w:eastAsia="Arial" w:hAnsi="Arial"/>
                <w:sz w:val="16"/>
                <w:szCs w:val="16"/>
                <w:color w:val="auto"/>
              </w:rPr>
              <w:t>(45,282)</w:t>
            </w:r>
          </w:p>
        </w:tc>
        <w:tc>
          <w:tcPr>
            <w:tcW w:w="0" w:type="dxa"/>
            <w:vAlign w:val="bottom"/>
          </w:tcPr>
          <w:p>
            <w:pPr>
              <w:spacing w:after="0"/>
              <w:rPr>
                <w:sz w:val="1"/>
                <w:szCs w:val="1"/>
                <w:color w:val="auto"/>
              </w:rPr>
            </w:pPr>
          </w:p>
        </w:tc>
      </w:tr>
      <w:tr>
        <w:trPr>
          <w:trHeight w:val="205"/>
        </w:trPr>
        <w:tc>
          <w:tcPr>
            <w:tcW w:w="4060" w:type="dxa"/>
            <w:vAlign w:val="bottom"/>
          </w:tcPr>
          <w:p>
            <w:pPr>
              <w:ind w:left="560"/>
              <w:spacing w:after="0"/>
              <w:rPr>
                <w:sz w:val="20"/>
                <w:szCs w:val="20"/>
                <w:color w:val="auto"/>
              </w:rPr>
            </w:pPr>
            <w:r>
              <w:rPr>
                <w:rFonts w:ascii="Arial" w:cs="Arial" w:eastAsia="Arial" w:hAnsi="Arial"/>
                <w:sz w:val="16"/>
                <w:szCs w:val="16"/>
                <w:color w:val="auto"/>
              </w:rPr>
              <w:t>Soles in relation to Boliviano</w:t>
            </w:r>
          </w:p>
        </w:tc>
        <w:tc>
          <w:tcPr>
            <w:tcW w:w="3440" w:type="dxa"/>
            <w:vAlign w:val="bottom"/>
            <w:gridSpan w:val="2"/>
          </w:tcPr>
          <w:p>
            <w:pPr>
              <w:jc w:val="center"/>
              <w:ind w:left="2423"/>
              <w:spacing w:after="0"/>
              <w:rPr>
                <w:sz w:val="20"/>
                <w:szCs w:val="20"/>
                <w:color w:val="auto"/>
              </w:rPr>
            </w:pPr>
            <w:r>
              <w:rPr>
                <w:rFonts w:ascii="Arial" w:cs="Arial" w:eastAsia="Arial" w:hAnsi="Arial"/>
                <w:sz w:val="16"/>
                <w:szCs w:val="16"/>
                <w:color w:val="auto"/>
              </w:rPr>
              <w:t>10</w:t>
            </w:r>
          </w:p>
        </w:tc>
        <w:tc>
          <w:tcPr>
            <w:tcW w:w="1500" w:type="dxa"/>
            <w:vAlign w:val="bottom"/>
            <w:gridSpan w:val="3"/>
          </w:tcPr>
          <w:p>
            <w:pPr>
              <w:jc w:val="right"/>
              <w:ind w:right="160"/>
              <w:spacing w:after="0"/>
              <w:rPr>
                <w:sz w:val="20"/>
                <w:szCs w:val="20"/>
                <w:color w:val="auto"/>
              </w:rPr>
            </w:pPr>
            <w:r>
              <w:rPr>
                <w:rFonts w:ascii="Arial" w:cs="Arial" w:eastAsia="Arial" w:hAnsi="Arial"/>
                <w:sz w:val="16"/>
                <w:szCs w:val="16"/>
                <w:color w:val="auto"/>
              </w:rPr>
              <w:t>(106,964)</w:t>
            </w:r>
          </w:p>
        </w:tc>
        <w:tc>
          <w:tcPr>
            <w:tcW w:w="2260" w:type="dxa"/>
            <w:vAlign w:val="bottom"/>
            <w:gridSpan w:val="2"/>
          </w:tcPr>
          <w:p>
            <w:pPr>
              <w:jc w:val="right"/>
              <w:ind w:right="1140"/>
              <w:spacing w:after="0"/>
              <w:rPr>
                <w:sz w:val="20"/>
                <w:szCs w:val="20"/>
                <w:color w:val="auto"/>
              </w:rPr>
            </w:pPr>
            <w:r>
              <w:rPr>
                <w:rFonts w:ascii="Arial" w:cs="Arial" w:eastAsia="Arial" w:hAnsi="Arial"/>
                <w:sz w:val="16"/>
                <w:szCs w:val="16"/>
                <w:color w:val="auto"/>
              </w:rPr>
              <w:t>(95,595)</w:t>
            </w:r>
          </w:p>
        </w:tc>
        <w:tc>
          <w:tcPr>
            <w:tcW w:w="0" w:type="dxa"/>
            <w:vAlign w:val="bottom"/>
          </w:tcPr>
          <w:p>
            <w:pPr>
              <w:spacing w:after="0"/>
              <w:rPr>
                <w:sz w:val="1"/>
                <w:szCs w:val="1"/>
                <w:color w:val="auto"/>
              </w:rPr>
            </w:pPr>
          </w:p>
        </w:tc>
      </w:tr>
      <w:tr>
        <w:trPr>
          <w:trHeight w:val="445"/>
        </w:trPr>
        <w:tc>
          <w:tcPr>
            <w:tcW w:w="4060" w:type="dxa"/>
            <w:vAlign w:val="bottom"/>
          </w:tcPr>
          <w:p>
            <w:pPr>
              <w:spacing w:after="0"/>
              <w:rPr>
                <w:sz w:val="24"/>
                <w:szCs w:val="24"/>
                <w:color w:val="auto"/>
              </w:rPr>
            </w:pPr>
          </w:p>
        </w:tc>
        <w:tc>
          <w:tcPr>
            <w:tcW w:w="2380" w:type="dxa"/>
            <w:vAlign w:val="bottom"/>
          </w:tcPr>
          <w:p>
            <w:pPr>
              <w:ind w:left="1420"/>
              <w:spacing w:after="0"/>
              <w:rPr>
                <w:sz w:val="20"/>
                <w:szCs w:val="20"/>
                <w:color w:val="auto"/>
              </w:rPr>
            </w:pPr>
            <w:r>
              <w:rPr>
                <w:rFonts w:ascii="Arial" w:cs="Arial" w:eastAsia="Arial" w:hAnsi="Arial"/>
                <w:sz w:val="12"/>
                <w:szCs w:val="12"/>
                <w:color w:val="auto"/>
              </w:rPr>
              <w:t>-152-</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540" w:type="dxa"/>
            <w:vAlign w:val="bottom"/>
            <w:gridSpan w:val="2"/>
          </w:tcPr>
          <w:p>
            <w:pPr>
              <w:ind w:left="1720"/>
              <w:spacing w:after="0"/>
              <w:rPr>
                <w:sz w:val="20"/>
                <w:szCs w:val="20"/>
                <w:color w:val="auto"/>
              </w:rPr>
            </w:pPr>
            <w:r>
              <w:rPr>
                <w:rFonts w:ascii="Arial" w:cs="Arial" w:eastAsia="Arial" w:hAnsi="Arial"/>
                <w:sz w:val="16"/>
                <w:szCs w:val="16"/>
                <w:b w:val="1"/>
                <w:bCs w:val="1"/>
                <w:color w:val="auto"/>
              </w:rPr>
              <w:t>Change in</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540" w:type="dxa"/>
            <w:vAlign w:val="bottom"/>
            <w:gridSpan w:val="2"/>
          </w:tcPr>
          <w:p>
            <w:pPr>
              <w:ind w:left="1720"/>
              <w:spacing w:after="0" w:line="175" w:lineRule="exact"/>
              <w:rPr>
                <w:sz w:val="20"/>
                <w:szCs w:val="20"/>
                <w:color w:val="auto"/>
              </w:rPr>
            </w:pPr>
            <w:r>
              <w:rPr>
                <w:rFonts w:ascii="Arial" w:cs="Arial" w:eastAsia="Arial" w:hAnsi="Arial"/>
                <w:sz w:val="16"/>
                <w:szCs w:val="16"/>
                <w:b w:val="1"/>
                <w:bCs w:val="1"/>
                <w:color w:val="auto"/>
              </w:rPr>
              <w:t>currency</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4300" w:type="dxa"/>
            <w:vAlign w:val="bottom"/>
          </w:tcPr>
          <w:p>
            <w:pPr>
              <w:ind w:left="140"/>
              <w:spacing w:after="0"/>
              <w:rPr>
                <w:sz w:val="20"/>
                <w:szCs w:val="20"/>
                <w:color w:val="auto"/>
              </w:rPr>
            </w:pPr>
            <w:r>
              <w:rPr>
                <w:rFonts w:ascii="Arial" w:cs="Arial" w:eastAsia="Arial" w:hAnsi="Arial"/>
                <w:sz w:val="16"/>
                <w:szCs w:val="16"/>
                <w:b w:val="1"/>
                <w:bCs w:val="1"/>
                <w:color w:val="auto"/>
              </w:rPr>
              <w:t>Currency rate sensibility</w:t>
            </w:r>
          </w:p>
        </w:tc>
        <w:tc>
          <w:tcPr>
            <w:tcW w:w="2540" w:type="dxa"/>
            <w:vAlign w:val="bottom"/>
            <w:gridSpan w:val="2"/>
          </w:tcPr>
          <w:p>
            <w:pPr>
              <w:ind w:left="1720"/>
              <w:spacing w:after="0"/>
              <w:rPr>
                <w:sz w:val="20"/>
                <w:szCs w:val="20"/>
                <w:color w:val="auto"/>
              </w:rPr>
            </w:pPr>
            <w:r>
              <w:rPr>
                <w:rFonts w:ascii="Arial" w:cs="Arial" w:eastAsia="Arial" w:hAnsi="Arial"/>
                <w:sz w:val="16"/>
                <w:szCs w:val="16"/>
                <w:b w:val="1"/>
                <w:bCs w:val="1"/>
                <w:color w:val="auto"/>
              </w:rPr>
              <w:t>rates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662"/>
              <w:spacing w:after="0"/>
              <w:rPr>
                <w:sz w:val="20"/>
                <w:szCs w:val="20"/>
                <w:color w:val="auto"/>
              </w:rPr>
            </w:pPr>
            <w:r>
              <w:rPr>
                <w:rFonts w:ascii="Arial" w:cs="Arial" w:eastAsia="Arial" w:hAnsi="Arial"/>
                <w:sz w:val="16"/>
                <w:szCs w:val="16"/>
                <w:b w:val="1"/>
                <w:bCs w:val="1"/>
                <w:color w:val="auto"/>
                <w:w w:val="89"/>
              </w:rPr>
              <w:t>2024</w:t>
            </w:r>
          </w:p>
        </w:tc>
        <w:tc>
          <w:tcPr>
            <w:tcW w:w="200" w:type="dxa"/>
            <w:vAlign w:val="bottom"/>
          </w:tcPr>
          <w:p>
            <w:pPr>
              <w:spacing w:after="0"/>
              <w:rPr>
                <w:sz w:val="16"/>
                <w:szCs w:val="16"/>
                <w:color w:val="auto"/>
              </w:rPr>
            </w:pPr>
          </w:p>
        </w:tc>
        <w:tc>
          <w:tcPr>
            <w:tcW w:w="1080" w:type="dxa"/>
            <w:vAlign w:val="bottom"/>
          </w:tcPr>
          <w:p>
            <w:pPr>
              <w:jc w:val="right"/>
              <w:ind w:right="662"/>
              <w:spacing w:after="0"/>
              <w:rPr>
                <w:sz w:val="20"/>
                <w:szCs w:val="20"/>
                <w:color w:val="auto"/>
              </w:rPr>
            </w:pPr>
            <w:r>
              <w:rPr>
                <w:rFonts w:ascii="Arial" w:cs="Arial" w:eastAsia="Arial" w:hAnsi="Arial"/>
                <w:sz w:val="16"/>
                <w:szCs w:val="16"/>
                <w:b w:val="1"/>
                <w:bCs w:val="1"/>
                <w:color w:val="auto"/>
                <w:w w:val="89"/>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300" w:type="dxa"/>
            <w:vAlign w:val="bottom"/>
            <w:vMerge w:val="restart"/>
          </w:tcPr>
          <w:p>
            <w:pPr>
              <w:ind w:left="140"/>
              <w:spacing w:after="0"/>
              <w:rPr>
                <w:sz w:val="20"/>
                <w:szCs w:val="20"/>
                <w:color w:val="auto"/>
              </w:rPr>
            </w:pPr>
            <w:r>
              <w:rPr>
                <w:rFonts w:ascii="Arial" w:cs="Arial" w:eastAsia="Arial" w:hAnsi="Arial"/>
                <w:sz w:val="16"/>
                <w:szCs w:val="16"/>
                <w:color w:val="auto"/>
              </w:rPr>
              <w:t>Depreciation -</w:t>
            </w:r>
          </w:p>
        </w:tc>
        <w:tc>
          <w:tcPr>
            <w:tcW w:w="1720" w:type="dxa"/>
            <w:vAlign w:val="bottom"/>
          </w:tcPr>
          <w:p>
            <w:pPr>
              <w:spacing w:after="0"/>
              <w:rPr>
                <w:sz w:val="17"/>
                <w:szCs w:val="17"/>
                <w:color w:val="auto"/>
              </w:rPr>
            </w:pPr>
          </w:p>
        </w:tc>
        <w:tc>
          <w:tcPr>
            <w:tcW w:w="8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8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2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4300" w:type="dxa"/>
            <w:vAlign w:val="bottom"/>
          </w:tcPr>
          <w:p>
            <w:pPr>
              <w:ind w:left="140"/>
              <w:spacing w:after="0" w:line="175" w:lineRule="exact"/>
              <w:rPr>
                <w:sz w:val="20"/>
                <w:szCs w:val="20"/>
                <w:color w:val="auto"/>
              </w:rPr>
            </w:pPr>
            <w:r>
              <w:rPr>
                <w:rFonts w:ascii="Arial" w:cs="Arial" w:eastAsia="Arial" w:hAnsi="Arial"/>
                <w:sz w:val="16"/>
                <w:szCs w:val="16"/>
                <w:color w:val="auto"/>
              </w:rPr>
              <w:t>Soles in relation to Colombian Peso</w:t>
            </w:r>
          </w:p>
        </w:tc>
        <w:tc>
          <w:tcPr>
            <w:tcW w:w="2540" w:type="dxa"/>
            <w:vAlign w:val="bottom"/>
            <w:gridSpan w:val="2"/>
          </w:tcPr>
          <w:p>
            <w:pPr>
              <w:jc w:val="center"/>
              <w:ind w:left="1982"/>
              <w:spacing w:after="0" w:line="175" w:lineRule="exact"/>
              <w:rPr>
                <w:sz w:val="20"/>
                <w:szCs w:val="20"/>
                <w:color w:val="auto"/>
              </w:rPr>
            </w:pPr>
            <w:r>
              <w:rPr>
                <w:rFonts w:ascii="Arial" w:cs="Arial" w:eastAsia="Arial" w:hAnsi="Arial"/>
                <w:sz w:val="16"/>
                <w:szCs w:val="16"/>
                <w:color w:val="auto"/>
                <w:w w:val="89"/>
              </w:rPr>
              <w:t>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42,919</w:t>
            </w:r>
          </w:p>
        </w:tc>
        <w:tc>
          <w:tcPr>
            <w:tcW w:w="11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45,804</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4300" w:type="dxa"/>
            <w:vAlign w:val="bottom"/>
          </w:tcPr>
          <w:p>
            <w:pPr>
              <w:ind w:left="140"/>
              <w:spacing w:after="0"/>
              <w:rPr>
                <w:sz w:val="20"/>
                <w:szCs w:val="20"/>
                <w:color w:val="auto"/>
              </w:rPr>
            </w:pPr>
            <w:r>
              <w:rPr>
                <w:rFonts w:ascii="Arial" w:cs="Arial" w:eastAsia="Arial" w:hAnsi="Arial"/>
                <w:sz w:val="16"/>
                <w:szCs w:val="16"/>
                <w:color w:val="auto"/>
              </w:rPr>
              <w:t>Soles in relation to Colombian Peso</w:t>
            </w:r>
          </w:p>
        </w:tc>
        <w:tc>
          <w:tcPr>
            <w:tcW w:w="2540" w:type="dxa"/>
            <w:vAlign w:val="bottom"/>
            <w:gridSpan w:val="2"/>
          </w:tcPr>
          <w:p>
            <w:pPr>
              <w:jc w:val="center"/>
              <w:ind w:left="2002"/>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81,936</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87,444</w:t>
            </w:r>
          </w:p>
        </w:tc>
        <w:tc>
          <w:tcPr>
            <w:tcW w:w="0" w:type="dxa"/>
            <w:vAlign w:val="bottom"/>
          </w:tcPr>
          <w:p>
            <w:pPr>
              <w:spacing w:after="0"/>
              <w:rPr>
                <w:sz w:val="1"/>
                <w:szCs w:val="1"/>
                <w:color w:val="auto"/>
              </w:rPr>
            </w:pPr>
          </w:p>
        </w:tc>
      </w:tr>
      <w:tr>
        <w:trPr>
          <w:trHeight w:val="309"/>
        </w:trPr>
        <w:tc>
          <w:tcPr>
            <w:tcW w:w="420" w:type="dxa"/>
            <w:vAlign w:val="bottom"/>
          </w:tcPr>
          <w:p>
            <w:pPr>
              <w:spacing w:after="0"/>
              <w:rPr>
                <w:sz w:val="24"/>
                <w:szCs w:val="24"/>
                <w:color w:val="auto"/>
              </w:rPr>
            </w:pPr>
          </w:p>
        </w:tc>
        <w:tc>
          <w:tcPr>
            <w:tcW w:w="4300" w:type="dxa"/>
            <w:vAlign w:val="bottom"/>
          </w:tcPr>
          <w:p>
            <w:pPr>
              <w:ind w:left="140"/>
              <w:spacing w:after="0"/>
              <w:rPr>
                <w:sz w:val="20"/>
                <w:szCs w:val="20"/>
                <w:color w:val="auto"/>
              </w:rPr>
            </w:pPr>
            <w:r>
              <w:rPr>
                <w:rFonts w:ascii="Arial" w:cs="Arial" w:eastAsia="Arial" w:hAnsi="Arial"/>
                <w:sz w:val="16"/>
                <w:szCs w:val="16"/>
                <w:color w:val="auto"/>
              </w:rPr>
              <w:t>Appreciation -</w:t>
            </w: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4300" w:type="dxa"/>
            <w:vAlign w:val="bottom"/>
          </w:tcPr>
          <w:p>
            <w:pPr>
              <w:ind w:left="140"/>
              <w:spacing w:after="0" w:line="175" w:lineRule="exact"/>
              <w:rPr>
                <w:sz w:val="20"/>
                <w:szCs w:val="20"/>
                <w:color w:val="auto"/>
              </w:rPr>
            </w:pPr>
            <w:r>
              <w:rPr>
                <w:rFonts w:ascii="Arial" w:cs="Arial" w:eastAsia="Arial" w:hAnsi="Arial"/>
                <w:sz w:val="16"/>
                <w:szCs w:val="16"/>
                <w:color w:val="auto"/>
              </w:rPr>
              <w:t>Soles in relation to Colombian Peso</w:t>
            </w:r>
          </w:p>
        </w:tc>
        <w:tc>
          <w:tcPr>
            <w:tcW w:w="2540" w:type="dxa"/>
            <w:vAlign w:val="bottom"/>
            <w:gridSpan w:val="2"/>
          </w:tcPr>
          <w:p>
            <w:pPr>
              <w:jc w:val="center"/>
              <w:ind w:left="1982"/>
              <w:spacing w:after="0" w:line="175" w:lineRule="exact"/>
              <w:rPr>
                <w:sz w:val="20"/>
                <w:szCs w:val="20"/>
                <w:color w:val="auto"/>
              </w:rPr>
            </w:pPr>
            <w:r>
              <w:rPr>
                <w:rFonts w:ascii="Arial" w:cs="Arial" w:eastAsia="Arial" w:hAnsi="Arial"/>
                <w:sz w:val="16"/>
                <w:szCs w:val="16"/>
                <w:color w:val="auto"/>
                <w:w w:val="89"/>
              </w:rPr>
              <w:t>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(47,437)</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(50,626)</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4300" w:type="dxa"/>
            <w:vAlign w:val="bottom"/>
          </w:tcPr>
          <w:p>
            <w:pPr>
              <w:ind w:left="140"/>
              <w:spacing w:after="0"/>
              <w:rPr>
                <w:sz w:val="20"/>
                <w:szCs w:val="20"/>
                <w:color w:val="auto"/>
              </w:rPr>
            </w:pPr>
            <w:r>
              <w:rPr>
                <w:rFonts w:ascii="Arial" w:cs="Arial" w:eastAsia="Arial" w:hAnsi="Arial"/>
                <w:sz w:val="16"/>
                <w:szCs w:val="16"/>
                <w:color w:val="auto"/>
              </w:rPr>
              <w:t>Soles in relation to Colombian Peso</w:t>
            </w:r>
          </w:p>
        </w:tc>
        <w:tc>
          <w:tcPr>
            <w:tcW w:w="2540" w:type="dxa"/>
            <w:vAlign w:val="bottom"/>
            <w:gridSpan w:val="2"/>
          </w:tcPr>
          <w:p>
            <w:pPr>
              <w:jc w:val="center"/>
              <w:ind w:left="2002"/>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(100,144)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(106,876)</w:t>
            </w:r>
          </w:p>
        </w:tc>
        <w:tc>
          <w:tcPr>
            <w:tcW w:w="0" w:type="dxa"/>
            <w:vAlign w:val="bottom"/>
          </w:tcPr>
          <w:p>
            <w:pPr>
              <w:spacing w:after="0"/>
              <w:rPr>
                <w:sz w:val="1"/>
                <w:szCs w:val="1"/>
                <w:color w:val="auto"/>
              </w:rPr>
            </w:pPr>
          </w:p>
        </w:tc>
      </w:tr>
      <w:tr>
        <w:trPr>
          <w:trHeight w:val="307"/>
        </w:trPr>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540" w:type="dxa"/>
            <w:vAlign w:val="bottom"/>
            <w:gridSpan w:val="2"/>
          </w:tcPr>
          <w:p>
            <w:pPr>
              <w:ind w:left="1720"/>
              <w:spacing w:after="0"/>
              <w:rPr>
                <w:sz w:val="20"/>
                <w:szCs w:val="20"/>
                <w:color w:val="auto"/>
              </w:rPr>
            </w:pPr>
            <w:r>
              <w:rPr>
                <w:rFonts w:ascii="Arial" w:cs="Arial" w:eastAsia="Arial" w:hAnsi="Arial"/>
                <w:sz w:val="16"/>
                <w:szCs w:val="16"/>
                <w:b w:val="1"/>
                <w:bCs w:val="1"/>
                <w:color w:val="auto"/>
              </w:rPr>
              <w:t>Change in</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540" w:type="dxa"/>
            <w:vAlign w:val="bottom"/>
            <w:gridSpan w:val="2"/>
          </w:tcPr>
          <w:p>
            <w:pPr>
              <w:ind w:left="1720"/>
              <w:spacing w:after="0" w:line="175" w:lineRule="exact"/>
              <w:rPr>
                <w:sz w:val="20"/>
                <w:szCs w:val="20"/>
                <w:color w:val="auto"/>
              </w:rPr>
            </w:pPr>
            <w:r>
              <w:rPr>
                <w:rFonts w:ascii="Arial" w:cs="Arial" w:eastAsia="Arial" w:hAnsi="Arial"/>
                <w:sz w:val="16"/>
                <w:szCs w:val="16"/>
                <w:b w:val="1"/>
                <w:bCs w:val="1"/>
                <w:color w:val="auto"/>
              </w:rPr>
              <w:t>currency</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4300" w:type="dxa"/>
            <w:vAlign w:val="bottom"/>
          </w:tcPr>
          <w:p>
            <w:pPr>
              <w:ind w:left="140"/>
              <w:spacing w:after="0"/>
              <w:rPr>
                <w:sz w:val="20"/>
                <w:szCs w:val="20"/>
                <w:color w:val="auto"/>
              </w:rPr>
            </w:pPr>
            <w:r>
              <w:rPr>
                <w:rFonts w:ascii="Arial" w:cs="Arial" w:eastAsia="Arial" w:hAnsi="Arial"/>
                <w:sz w:val="16"/>
                <w:szCs w:val="16"/>
                <w:b w:val="1"/>
                <w:bCs w:val="1"/>
                <w:color w:val="auto"/>
              </w:rPr>
              <w:t>Currency rate sensibility</w:t>
            </w:r>
          </w:p>
        </w:tc>
        <w:tc>
          <w:tcPr>
            <w:tcW w:w="2540" w:type="dxa"/>
            <w:vAlign w:val="bottom"/>
            <w:gridSpan w:val="2"/>
          </w:tcPr>
          <w:p>
            <w:pPr>
              <w:ind w:left="1720"/>
              <w:spacing w:after="0"/>
              <w:rPr>
                <w:sz w:val="20"/>
                <w:szCs w:val="20"/>
                <w:color w:val="auto"/>
              </w:rPr>
            </w:pPr>
            <w:r>
              <w:rPr>
                <w:rFonts w:ascii="Arial" w:cs="Arial" w:eastAsia="Arial" w:hAnsi="Arial"/>
                <w:sz w:val="16"/>
                <w:szCs w:val="16"/>
                <w:b w:val="1"/>
                <w:bCs w:val="1"/>
                <w:color w:val="auto"/>
              </w:rPr>
              <w:t>rates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662"/>
              <w:spacing w:after="0"/>
              <w:rPr>
                <w:sz w:val="20"/>
                <w:szCs w:val="20"/>
                <w:color w:val="auto"/>
              </w:rPr>
            </w:pPr>
            <w:r>
              <w:rPr>
                <w:rFonts w:ascii="Arial" w:cs="Arial" w:eastAsia="Arial" w:hAnsi="Arial"/>
                <w:sz w:val="16"/>
                <w:szCs w:val="16"/>
                <w:b w:val="1"/>
                <w:bCs w:val="1"/>
                <w:color w:val="auto"/>
                <w:w w:val="89"/>
              </w:rPr>
              <w:t>2024</w:t>
            </w:r>
          </w:p>
        </w:tc>
        <w:tc>
          <w:tcPr>
            <w:tcW w:w="200" w:type="dxa"/>
            <w:vAlign w:val="bottom"/>
          </w:tcPr>
          <w:p>
            <w:pPr>
              <w:spacing w:after="0"/>
              <w:rPr>
                <w:sz w:val="16"/>
                <w:szCs w:val="16"/>
                <w:color w:val="auto"/>
              </w:rPr>
            </w:pPr>
          </w:p>
        </w:tc>
        <w:tc>
          <w:tcPr>
            <w:tcW w:w="1080" w:type="dxa"/>
            <w:vAlign w:val="bottom"/>
          </w:tcPr>
          <w:p>
            <w:pPr>
              <w:jc w:val="right"/>
              <w:ind w:right="662"/>
              <w:spacing w:after="0"/>
              <w:rPr>
                <w:sz w:val="20"/>
                <w:szCs w:val="20"/>
                <w:color w:val="auto"/>
              </w:rPr>
            </w:pPr>
            <w:r>
              <w:rPr>
                <w:rFonts w:ascii="Arial" w:cs="Arial" w:eastAsia="Arial" w:hAnsi="Arial"/>
                <w:sz w:val="16"/>
                <w:szCs w:val="16"/>
                <w:b w:val="1"/>
                <w:bCs w:val="1"/>
                <w:color w:val="auto"/>
                <w:w w:val="89"/>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4300" w:type="dxa"/>
            <w:vAlign w:val="bottom"/>
            <w:vMerge w:val="restart"/>
          </w:tcPr>
          <w:p>
            <w:pPr>
              <w:ind w:left="140"/>
              <w:spacing w:after="0"/>
              <w:rPr>
                <w:sz w:val="20"/>
                <w:szCs w:val="20"/>
                <w:color w:val="auto"/>
              </w:rPr>
            </w:pPr>
            <w:r>
              <w:rPr>
                <w:rFonts w:ascii="Arial" w:cs="Arial" w:eastAsia="Arial" w:hAnsi="Arial"/>
                <w:sz w:val="16"/>
                <w:szCs w:val="16"/>
                <w:color w:val="auto"/>
              </w:rPr>
              <w:t>Depreciation -</w:t>
            </w:r>
          </w:p>
        </w:tc>
        <w:tc>
          <w:tcPr>
            <w:tcW w:w="1720" w:type="dxa"/>
            <w:vAlign w:val="bottom"/>
          </w:tcPr>
          <w:p>
            <w:pPr>
              <w:spacing w:after="0"/>
              <w:rPr>
                <w:sz w:val="17"/>
                <w:szCs w:val="17"/>
                <w:color w:val="auto"/>
              </w:rPr>
            </w:pPr>
          </w:p>
        </w:tc>
        <w:tc>
          <w:tcPr>
            <w:tcW w:w="82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200" w:type="dxa"/>
            <w:vAlign w:val="bottom"/>
          </w:tcPr>
          <w:p>
            <w:pPr>
              <w:spacing w:after="0"/>
              <w:rPr>
                <w:sz w:val="17"/>
                <w:szCs w:val="17"/>
                <w:color w:val="auto"/>
              </w:rPr>
            </w:pPr>
          </w:p>
        </w:tc>
        <w:tc>
          <w:tcPr>
            <w:tcW w:w="1080" w:type="dxa"/>
            <w:vAlign w:val="bottom"/>
            <w:tcBorders>
              <w:top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20" w:type="dxa"/>
            <w:vAlign w:val="bottom"/>
          </w:tcPr>
          <w:p>
            <w:pPr>
              <w:spacing w:after="0"/>
              <w:rPr>
                <w:sz w:val="10"/>
                <w:szCs w:val="10"/>
                <w:color w:val="auto"/>
              </w:rPr>
            </w:pPr>
          </w:p>
        </w:tc>
        <w:tc>
          <w:tcPr>
            <w:tcW w:w="430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4300" w:type="dxa"/>
            <w:vAlign w:val="bottom"/>
          </w:tcPr>
          <w:p>
            <w:pPr>
              <w:ind w:left="140"/>
              <w:spacing w:after="0" w:line="175" w:lineRule="exact"/>
              <w:rPr>
                <w:sz w:val="20"/>
                <w:szCs w:val="20"/>
                <w:color w:val="auto"/>
              </w:rPr>
            </w:pPr>
            <w:r>
              <w:rPr>
                <w:rFonts w:ascii="Arial" w:cs="Arial" w:eastAsia="Arial" w:hAnsi="Arial"/>
                <w:sz w:val="16"/>
                <w:szCs w:val="16"/>
                <w:color w:val="auto"/>
              </w:rPr>
              <w:t>Soles in relation to Chilean Peso</w:t>
            </w:r>
          </w:p>
        </w:tc>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5</w:t>
            </w:r>
          </w:p>
        </w:tc>
        <w:tc>
          <w:tcPr>
            <w:tcW w:w="128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20,272</w:t>
            </w:r>
          </w:p>
        </w:tc>
        <w:tc>
          <w:tcPr>
            <w:tcW w:w="11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18,136</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4300" w:type="dxa"/>
            <w:vAlign w:val="bottom"/>
          </w:tcPr>
          <w:p>
            <w:pPr>
              <w:ind w:left="140"/>
              <w:spacing w:after="0"/>
              <w:rPr>
                <w:sz w:val="20"/>
                <w:szCs w:val="20"/>
                <w:color w:val="auto"/>
              </w:rPr>
            </w:pPr>
            <w:r>
              <w:rPr>
                <w:rFonts w:ascii="Arial" w:cs="Arial" w:eastAsia="Arial" w:hAnsi="Arial"/>
                <w:sz w:val="16"/>
                <w:szCs w:val="16"/>
                <w:color w:val="auto"/>
              </w:rPr>
              <w:t>Soles in relation to Chilean Peso</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38,702</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34,624</w:t>
            </w:r>
          </w:p>
        </w:tc>
        <w:tc>
          <w:tcPr>
            <w:tcW w:w="0" w:type="dxa"/>
            <w:vAlign w:val="bottom"/>
          </w:tcPr>
          <w:p>
            <w:pPr>
              <w:spacing w:after="0"/>
              <w:rPr>
                <w:sz w:val="1"/>
                <w:szCs w:val="1"/>
                <w:color w:val="auto"/>
              </w:rPr>
            </w:pPr>
          </w:p>
        </w:tc>
      </w:tr>
      <w:tr>
        <w:trPr>
          <w:trHeight w:val="309"/>
        </w:trPr>
        <w:tc>
          <w:tcPr>
            <w:tcW w:w="420" w:type="dxa"/>
            <w:vAlign w:val="bottom"/>
          </w:tcPr>
          <w:p>
            <w:pPr>
              <w:spacing w:after="0"/>
              <w:rPr>
                <w:sz w:val="24"/>
                <w:szCs w:val="24"/>
                <w:color w:val="auto"/>
              </w:rPr>
            </w:pPr>
          </w:p>
        </w:tc>
        <w:tc>
          <w:tcPr>
            <w:tcW w:w="4300" w:type="dxa"/>
            <w:vAlign w:val="bottom"/>
          </w:tcPr>
          <w:p>
            <w:pPr>
              <w:ind w:left="140"/>
              <w:spacing w:after="0"/>
              <w:rPr>
                <w:sz w:val="20"/>
                <w:szCs w:val="20"/>
                <w:color w:val="auto"/>
              </w:rPr>
            </w:pPr>
            <w:r>
              <w:rPr>
                <w:rFonts w:ascii="Arial" w:cs="Arial" w:eastAsia="Arial" w:hAnsi="Arial"/>
                <w:sz w:val="16"/>
                <w:szCs w:val="16"/>
                <w:color w:val="auto"/>
              </w:rPr>
              <w:t>Appreciation -</w:t>
            </w: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4300" w:type="dxa"/>
            <w:vAlign w:val="bottom"/>
          </w:tcPr>
          <w:p>
            <w:pPr>
              <w:ind w:left="140"/>
              <w:spacing w:after="0" w:line="175" w:lineRule="exact"/>
              <w:rPr>
                <w:sz w:val="20"/>
                <w:szCs w:val="20"/>
                <w:color w:val="auto"/>
              </w:rPr>
            </w:pPr>
            <w:r>
              <w:rPr>
                <w:rFonts w:ascii="Arial" w:cs="Arial" w:eastAsia="Arial" w:hAnsi="Arial"/>
                <w:sz w:val="16"/>
                <w:szCs w:val="16"/>
                <w:color w:val="auto"/>
              </w:rPr>
              <w:t>Soles in relation to Chilean Peso</w:t>
            </w:r>
          </w:p>
        </w:tc>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gridSpan w:val="2"/>
          </w:tcPr>
          <w:p>
            <w:pPr>
              <w:jc w:val="right"/>
              <w:ind w:right="220"/>
              <w:spacing w:after="0" w:line="175" w:lineRule="exact"/>
              <w:rPr>
                <w:sz w:val="20"/>
                <w:szCs w:val="20"/>
                <w:color w:val="auto"/>
              </w:rPr>
            </w:pPr>
            <w:r>
              <w:rPr>
                <w:rFonts w:ascii="Arial" w:cs="Arial" w:eastAsia="Arial" w:hAnsi="Arial"/>
                <w:sz w:val="16"/>
                <w:szCs w:val="16"/>
                <w:color w:val="auto"/>
              </w:rPr>
              <w:t>5</w:t>
            </w:r>
          </w:p>
        </w:tc>
        <w:tc>
          <w:tcPr>
            <w:tcW w:w="1280" w:type="dxa"/>
            <w:vAlign w:val="bottom"/>
            <w:gridSpan w:val="2"/>
          </w:tcPr>
          <w:p>
            <w:pPr>
              <w:jc w:val="right"/>
              <w:ind w:right="160"/>
              <w:spacing w:after="0" w:line="175" w:lineRule="exact"/>
              <w:rPr>
                <w:sz w:val="20"/>
                <w:szCs w:val="20"/>
                <w:color w:val="auto"/>
              </w:rPr>
            </w:pPr>
            <w:r>
              <w:rPr>
                <w:rFonts w:ascii="Arial" w:cs="Arial" w:eastAsia="Arial" w:hAnsi="Arial"/>
                <w:sz w:val="16"/>
                <w:szCs w:val="16"/>
                <w:color w:val="auto"/>
              </w:rPr>
              <w:t>(22,406)</w:t>
            </w:r>
          </w:p>
        </w:tc>
        <w:tc>
          <w:tcPr>
            <w:tcW w:w="11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(20,046)</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4300" w:type="dxa"/>
            <w:vAlign w:val="bottom"/>
          </w:tcPr>
          <w:p>
            <w:pPr>
              <w:ind w:left="140"/>
              <w:spacing w:after="0"/>
              <w:rPr>
                <w:sz w:val="20"/>
                <w:szCs w:val="20"/>
                <w:color w:val="auto"/>
              </w:rPr>
            </w:pPr>
            <w:r>
              <w:rPr>
                <w:rFonts w:ascii="Arial" w:cs="Arial" w:eastAsia="Arial" w:hAnsi="Arial"/>
                <w:sz w:val="16"/>
                <w:szCs w:val="16"/>
                <w:color w:val="auto"/>
              </w:rPr>
              <w:t>Soles in relation to Chilean Peso</w:t>
            </w: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(47,302)</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(42,318)</w:t>
            </w:r>
          </w:p>
        </w:tc>
        <w:tc>
          <w:tcPr>
            <w:tcW w:w="0" w:type="dxa"/>
            <w:vAlign w:val="bottom"/>
          </w:tcPr>
          <w:p>
            <w:pPr>
              <w:spacing w:after="0"/>
              <w:rPr>
                <w:sz w:val="1"/>
                <w:szCs w:val="1"/>
                <w:color w:val="auto"/>
              </w:rPr>
            </w:pPr>
          </w:p>
        </w:tc>
      </w:tr>
      <w:tr>
        <w:trPr>
          <w:trHeight w:val="346"/>
        </w:trPr>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w w:val="89"/>
              </w:rPr>
              <w:t>30.3</w:t>
            </w:r>
          </w:p>
        </w:tc>
        <w:tc>
          <w:tcPr>
            <w:tcW w:w="4300" w:type="dxa"/>
            <w:vAlign w:val="bottom"/>
          </w:tcPr>
          <w:p>
            <w:pPr>
              <w:ind w:left="140"/>
              <w:spacing w:after="0"/>
              <w:rPr>
                <w:sz w:val="20"/>
                <w:szCs w:val="20"/>
                <w:color w:val="auto"/>
              </w:rPr>
            </w:pPr>
            <w:r>
              <w:rPr>
                <w:rFonts w:ascii="Arial" w:cs="Arial" w:eastAsia="Arial" w:hAnsi="Arial"/>
                <w:sz w:val="16"/>
                <w:szCs w:val="16"/>
                <w:b w:val="1"/>
                <w:bCs w:val="1"/>
                <w:color w:val="auto"/>
              </w:rPr>
              <w:t>Liquidity risk</w:t>
            </w: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60" w:right="160"/>
        <w:spacing w:after="0" w:line="241" w:lineRule="auto"/>
        <w:rPr>
          <w:sz w:val="20"/>
          <w:szCs w:val="20"/>
          <w:color w:val="auto"/>
        </w:rPr>
      </w:pPr>
      <w:r>
        <w:rPr>
          <w:rFonts w:ascii="Arial" w:cs="Arial" w:eastAsia="Arial" w:hAnsi="Arial"/>
          <w:sz w:val="16"/>
          <w:szCs w:val="16"/>
          <w:color w:val="auto"/>
        </w:rPr>
        <w:t>Liquidity risk is the risk that the Group is unable to meet its short-term payment obligations associated with its financial liabilities when they fall due and to replace funds when they are withdrawn. In this sense, the company that is facing a liquidity crisis would be failing to comply with the obligations to pay depositors and with commitments to lend or satisfy other operational cash needs.</w:t>
      </w:r>
    </w:p>
    <w:p>
      <w:pPr>
        <w:spacing w:after="0" w:line="134" w:lineRule="exact"/>
        <w:rPr>
          <w:sz w:val="20"/>
          <w:szCs w:val="20"/>
          <w:color w:val="auto"/>
        </w:rPr>
      </w:pPr>
    </w:p>
    <w:p>
      <w:pPr>
        <w:ind w:left="560" w:right="80"/>
        <w:spacing w:after="0" w:line="236" w:lineRule="auto"/>
        <w:rPr>
          <w:sz w:val="20"/>
          <w:szCs w:val="20"/>
          <w:color w:val="auto"/>
        </w:rPr>
      </w:pPr>
      <w:r>
        <w:rPr>
          <w:rFonts w:ascii="Arial" w:cs="Arial" w:eastAsia="Arial" w:hAnsi="Arial"/>
          <w:sz w:val="16"/>
          <w:szCs w:val="16"/>
          <w:color w:val="auto"/>
        </w:rPr>
        <w:t>The Group is exposed to daily cash requirements, interbank deposits, current accounts, time deposits, use of loans, guarantees and other requirements. The Management of the Group's subsidiaries establishes limits for the minimum funds amount available to cover such cash withdrawals and on the minimum level of inter-bank and other borrowing facilities that should be in place to cover withdrawals at unexpected levels of demand. Sources of liquidity are regularly reviewed by the corresponding risk teams to maintain a wide diversification by currency, geography, type of funding, provider, producer and term.</w:t>
      </w:r>
    </w:p>
    <w:p>
      <w:pPr>
        <w:spacing w:after="0" w:line="134" w:lineRule="exact"/>
        <w:rPr>
          <w:sz w:val="20"/>
          <w:szCs w:val="20"/>
          <w:color w:val="auto"/>
        </w:rPr>
      </w:pPr>
    </w:p>
    <w:p>
      <w:pPr>
        <w:ind w:left="560" w:right="140"/>
        <w:spacing w:after="0" w:line="241" w:lineRule="auto"/>
        <w:rPr>
          <w:sz w:val="20"/>
          <w:szCs w:val="20"/>
          <w:color w:val="auto"/>
        </w:rPr>
      </w:pPr>
      <w:r>
        <w:rPr>
          <w:rFonts w:ascii="Arial" w:cs="Arial" w:eastAsia="Arial" w:hAnsi="Arial"/>
          <w:sz w:val="16"/>
          <w:szCs w:val="16"/>
          <w:color w:val="auto"/>
        </w:rPr>
        <w:t>The procedure to control the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liquidity risk, which generates exposure to potential losses.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Maturities of assets and liabilities and the ability to replace them, at an acceptable cost are important factors in assessing the liquidity of the Group.</w:t>
      </w:r>
    </w:p>
    <w:p>
      <w:pPr>
        <w:spacing w:after="0" w:line="154" w:lineRule="exact"/>
        <w:rPr>
          <w:sz w:val="20"/>
          <w:szCs w:val="20"/>
          <w:color w:val="auto"/>
        </w:rPr>
      </w:pPr>
    </w:p>
    <w:p>
      <w:pPr>
        <w:ind w:left="560"/>
        <w:spacing w:after="0" w:line="238" w:lineRule="auto"/>
        <w:rPr>
          <w:sz w:val="20"/>
          <w:szCs w:val="20"/>
          <w:color w:val="auto"/>
        </w:rPr>
      </w:pPr>
      <w:r>
        <w:rPr>
          <w:rFonts w:ascii="Arial" w:cs="Arial" w:eastAsia="Arial" w:hAnsi="Arial"/>
          <w:sz w:val="16"/>
          <w:szCs w:val="16"/>
          <w:color w:val="auto"/>
        </w:rPr>
        <w:t>A mismatch, in maturity of long-term illiquid assets against short-term liabilities, exposes the consolidated statement of financial position to risks related both to rollover and to interest rates. If liquid assets do not cover maturing debts, an consolidated statement of financial position is vulnerable to a rollover risk. Furthermore, a sharp increase in interest rates can dramatically increase the cost of rolling over short-term liabilities, leading to a rapid increase in debt cost. The contractual-maturity gap report is useful in showing liquidity characteristics.</w:t>
      </w:r>
    </w:p>
    <w:p>
      <w:pPr>
        <w:spacing w:after="0" w:line="134" w:lineRule="exact"/>
        <w:rPr>
          <w:sz w:val="20"/>
          <w:szCs w:val="20"/>
          <w:color w:val="auto"/>
        </w:rPr>
      </w:pPr>
    </w:p>
    <w:p>
      <w:pPr>
        <w:ind w:left="560" w:right="200"/>
        <w:spacing w:after="0" w:line="241" w:lineRule="auto"/>
        <w:rPr>
          <w:sz w:val="20"/>
          <w:szCs w:val="20"/>
          <w:color w:val="auto"/>
        </w:rPr>
      </w:pPr>
      <w:r>
        <w:rPr>
          <w:rFonts w:ascii="Arial" w:cs="Arial" w:eastAsia="Arial" w:hAnsi="Arial"/>
          <w:sz w:val="16"/>
          <w:szCs w:val="16"/>
          <w:color w:val="auto"/>
        </w:rPr>
        <w:t>Corporate policies have been implemented for liquidity risk management by the Group. These policies are consistent with the particular characteristics of each operating segment in which each of the Group companies operate. Risk Management heads set up limits and autonomy models to determine the adequate liquidity indicators to be managed.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6" w:name="page157"/>
    <w:bookmarkEnd w:id="156"/>
    <w:p>
      <w:pPr>
        <w:spacing w:after="0"/>
        <w:rPr>
          <w:sz w:val="20"/>
          <w:szCs w:val="20"/>
          <w:color w:val="auto"/>
        </w:rPr>
      </w:pPr>
      <w:r>
        <w:rPr>
          <w:rFonts w:ascii="Arial" w:cs="Arial" w:eastAsia="Arial" w:hAnsi="Arial"/>
          <w:sz w:val="16"/>
          <w:szCs w:val="16"/>
          <w:b w:val="1"/>
          <w:bCs w:val="1"/>
          <w:color w:val="auto"/>
        </w:rPr>
        <w:t>Commercial banking and Microfinance:</w:t>
      </w:r>
    </w:p>
    <w:p>
      <w:pPr>
        <w:spacing w:after="0" w:line="156"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Liquidity risk exposure in Banco de Crédito del Perú, Banco de Crédito de Bolivia, MiBanco – Banco de la Microempresa and MiBanco - Banco de la Microempresa de Colombia is based on indicators such as the Internal Liquidity Coverage Ratio (RCLI, the Spanish acronym) which measures the amount of liquid assets available to meet cash outflows needs within a given stress scenario for a period of 30 days and the Internal Ratio of Stable Net Funding (RFNEI, the Spanish acronym), which is intended to guarantee that long-term assets are financed at least with a minimum number of stable liabilities within a prolonged liquidity crisis scenario and works as a minimum compliance mechanism that supplements the RCLI. The core limits of these indicators are 100.0 percent, and any excess are presented in the Credicorp Treasury Risk Committee, Credicorp Risk Committee and the Assets Liabilities Committee (ALCO) of the respective subsidiary.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Insurances and Pensions:</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6"/>
          <w:szCs w:val="16"/>
          <w:u w:val="single" w:color="auto"/>
          <w:color w:val="auto"/>
        </w:rPr>
        <w:t>Insurances</w:t>
      </w:r>
      <w:r>
        <w:rPr>
          <w:rFonts w:ascii="Arial" w:cs="Arial" w:eastAsia="Arial" w:hAnsi="Arial"/>
          <w:sz w:val="16"/>
          <w:szCs w:val="16"/>
          <w:b w:val="1"/>
          <w:bCs w:val="1"/>
          <w:color w:val="auto"/>
        </w:rPr>
        <w:t>:</w:t>
      </w:r>
      <w:r>
        <w:rPr>
          <w:rFonts w:ascii="Arial" w:cs="Arial" w:eastAsia="Arial" w:hAnsi="Arial"/>
          <w:sz w:val="16"/>
          <w:szCs w:val="16"/>
          <w:color w:val="auto"/>
        </w:rPr>
        <w:t xml:space="preserve"> Liquidity risk management in Pacífico Seguros follows a particular approach given the nature of the business. For annually renewable businesses, mainly general insurance, the emphasis of liquidity is focused on the quick availability of resources in the event of a systemic event (e.g. earthquake); for this purpose, there are minimum investment indicators in place relating to local cash/time deposits and foreign fixed-income instruments of high quality and liquidity.</w:t>
      </w:r>
    </w:p>
    <w:p>
      <w:pPr>
        <w:spacing w:after="0" w:line="136"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On the long-term business side (life insurance), given the nature of the products offered and the contractual relationship with customers (the liquidity risk is not material); the emphasis is on maintaining sufficient flow of assets and matching their maturities with maturities of liabilities; for this purpose there are indicators that measure the asset/liability sufficiency and adequacy as well as calculations or economic capital subject to interest rate risk, this last under the methodology of Credicorp.</w:t>
      </w:r>
    </w:p>
    <w:p>
      <w:pPr>
        <w:spacing w:after="0" w:line="132"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u w:val="single" w:color="auto"/>
          <w:color w:val="auto"/>
        </w:rPr>
        <w:t>Pensions</w:t>
      </w:r>
      <w:r>
        <w:rPr>
          <w:rFonts w:ascii="Arial" w:cs="Arial" w:eastAsia="Arial" w:hAnsi="Arial"/>
          <w:sz w:val="16"/>
          <w:szCs w:val="16"/>
          <w:b w:val="1"/>
          <w:bCs w:val="1"/>
          <w:color w:val="auto"/>
        </w:rPr>
        <w:t>:</w:t>
      </w:r>
      <w:r>
        <w:rPr>
          <w:rFonts w:ascii="Arial" w:cs="Arial" w:eastAsia="Arial" w:hAnsi="Arial"/>
          <w:sz w:val="16"/>
          <w:szCs w:val="16"/>
          <w:color w:val="auto"/>
        </w:rPr>
        <w:t xml:space="preserve"> Liquidity risk management in AFP Prima is carried out in a differentiated manner between the fund administrator and the funds being managed. Liquidity management regarding the fund administrator is focused on hedge meeting periodic operating expense needs, which are supported with the collection of commissions. The fund administering entity does not record unexpected outflows of liquidity.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banking:</w:t>
      </w:r>
    </w:p>
    <w:p>
      <w:pPr>
        <w:spacing w:after="0" w:line="156"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Liquidity risk in Credicorp Capital Ltd and Subsidiaries principally affects the security brokerage. In managing this risk, limits of use of liquidity have been established as well as mismatching by dealing desk; follow-up on liquidity is performed on a daily basis for a short-term horizon covering the coming settlements. If short-term unmatched maturities are identified, repos are used. On the other hand, structural liquidity risk of Credicorp Capital is not significant given the low levels of debt, which is monitored regularly using financial planning tools.</w:t>
      </w:r>
    </w:p>
    <w:p>
      <w:pPr>
        <w:spacing w:after="0" w:line="134" w:lineRule="exact"/>
        <w:rPr>
          <w:sz w:val="20"/>
          <w:szCs w:val="20"/>
          <w:color w:val="auto"/>
        </w:rPr>
      </w:pPr>
    </w:p>
    <w:p>
      <w:pPr>
        <w:ind w:right="100"/>
        <w:spacing w:after="0" w:line="293" w:lineRule="auto"/>
        <w:rPr>
          <w:sz w:val="20"/>
          <w:szCs w:val="20"/>
          <w:color w:val="auto"/>
        </w:rPr>
      </w:pPr>
      <w:r>
        <w:rPr>
          <w:rFonts w:ascii="Arial" w:cs="Arial" w:eastAsia="Arial" w:hAnsi="Arial"/>
          <w:sz w:val="14"/>
          <w:szCs w:val="14"/>
          <w:color w:val="auto"/>
        </w:rPr>
        <w:t>In the case of ASB Bank Corp., the risk liquidity management performs through indicators such as Internal Liquidity Coverage Ratio (RCLI, the Spanish acronym) and the Internal Ratio of Stable Net Funding (RFNEI, the Spanish acronym) with the core limits of 100.0 percent and any excess is presented in the Credicorp Treasury Risk Committee, Credicorp Risk Committee and the Assets Liabilities Committee (ALCO) of the respective subsidiary.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Companies perform a liquidity risk management using the liquidity Gap or contractual maturity Gap.</w:t>
      </w:r>
    </w:p>
    <w:p>
      <w:pPr>
        <w:spacing w:after="0" w:line="301" w:lineRule="exact"/>
        <w:rPr>
          <w:sz w:val="20"/>
          <w:szCs w:val="20"/>
          <w:color w:val="auto"/>
        </w:rPr>
      </w:pPr>
    </w:p>
    <w:p>
      <w:pPr>
        <w:jc w:val="center"/>
        <w:ind w:right="500"/>
        <w:spacing w:after="0"/>
        <w:rPr>
          <w:sz w:val="20"/>
          <w:szCs w:val="20"/>
          <w:color w:val="auto"/>
        </w:rPr>
      </w:pPr>
      <w:r>
        <w:rPr>
          <w:rFonts w:ascii="Arial" w:cs="Arial" w:eastAsia="Arial" w:hAnsi="Arial"/>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40"/>
          </w:cols>
          <w:pgMar w:left="880" w:top="124" w:right="379" w:bottom="1440" w:gutter="0" w:footer="0" w:header="0"/>
        </w:sectPr>
      </w:pPr>
    </w:p>
    <w:bookmarkStart w:id="157" w:name="page158"/>
    <w:bookmarkEnd w:id="157"/>
    <w:p>
      <w:pPr>
        <w:ind w:right="840"/>
        <w:spacing w:after="0" w:line="257" w:lineRule="auto"/>
        <w:rPr>
          <w:sz w:val="20"/>
          <w:szCs w:val="20"/>
          <w:color w:val="auto"/>
        </w:rPr>
      </w:pPr>
      <w:r>
        <w:rPr>
          <w:rFonts w:ascii="Arial" w:cs="Arial" w:eastAsia="Arial" w:hAnsi="Arial"/>
          <w:sz w:val="16"/>
          <w:szCs w:val="16"/>
          <w:color w:val="auto"/>
        </w:rPr>
        <w:t>The table below presents the cash flows payable by the Group by remaining contractual maturities (including future interest payments) at the date of the consolidated statement of financial position. The amounts disclosed in the table are the contractual undiscounted cash flows:</w:t>
      </w:r>
    </w:p>
    <w:p>
      <w:pPr>
        <w:spacing w:after="0" w:line="130"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Up to a</w:t>
            </w:r>
          </w:p>
        </w:tc>
        <w:tc>
          <w:tcPr>
            <w:tcW w:w="880" w:type="dxa"/>
            <w:vAlign w:val="bottom"/>
            <w:tcBorders>
              <w:top w:val="single" w:sz="8" w:color="auto"/>
            </w:tcBorders>
            <w:gridSpan w:val="3"/>
          </w:tcPr>
          <w:p>
            <w:pPr>
              <w:ind w:left="40"/>
              <w:spacing w:after="0" w:line="143" w:lineRule="exact"/>
              <w:rPr>
                <w:sz w:val="20"/>
                <w:szCs w:val="20"/>
                <w:color w:val="auto"/>
              </w:rPr>
            </w:pPr>
            <w:r>
              <w:rPr>
                <w:rFonts w:ascii="Arial" w:cs="Arial" w:eastAsia="Arial" w:hAnsi="Arial"/>
                <w:sz w:val="14"/>
                <w:szCs w:val="14"/>
                <w:b w:val="1"/>
                <w:bCs w:val="1"/>
                <w:color w:val="auto"/>
              </w:rPr>
              <w:t>From 1 to</w:t>
            </w:r>
          </w:p>
        </w:tc>
        <w:tc>
          <w:tcPr>
            <w:tcW w:w="82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From 3 to</w:t>
            </w:r>
          </w:p>
        </w:tc>
        <w:tc>
          <w:tcPr>
            <w:tcW w:w="7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From 1 to</w:t>
            </w:r>
          </w:p>
        </w:tc>
        <w:tc>
          <w:tcPr>
            <w:tcW w:w="820" w:type="dxa"/>
            <w:vAlign w:val="bottom"/>
            <w:tcBorders>
              <w:top w:val="single" w:sz="8" w:color="auto"/>
            </w:tcBorders>
            <w:gridSpan w:val="2"/>
          </w:tcPr>
          <w:p>
            <w:pPr>
              <w:ind w:left="40"/>
              <w:spacing w:after="0" w:line="143" w:lineRule="exact"/>
              <w:rPr>
                <w:sz w:val="20"/>
                <w:szCs w:val="20"/>
                <w:color w:val="auto"/>
              </w:rPr>
            </w:pPr>
            <w:r>
              <w:rPr>
                <w:rFonts w:ascii="Arial" w:cs="Arial" w:eastAsia="Arial" w:hAnsi="Arial"/>
                <w:sz w:val="14"/>
                <w:szCs w:val="14"/>
                <w:b w:val="1"/>
                <w:bCs w:val="1"/>
                <w:color w:val="auto"/>
              </w:rPr>
              <w:t>Over 5</w:t>
            </w:r>
          </w:p>
        </w:tc>
        <w:tc>
          <w:tcPr>
            <w:tcW w:w="9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Up to a</w:t>
            </w:r>
          </w:p>
        </w:tc>
        <w:tc>
          <w:tcPr>
            <w:tcW w:w="84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From 1 to</w:t>
            </w:r>
          </w:p>
        </w:tc>
        <w:tc>
          <w:tcPr>
            <w:tcW w:w="84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From 3 to</w:t>
            </w:r>
          </w:p>
        </w:tc>
        <w:tc>
          <w:tcPr>
            <w:tcW w:w="84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From 1 to</w:t>
            </w:r>
          </w:p>
        </w:tc>
        <w:tc>
          <w:tcPr>
            <w:tcW w:w="84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Over 5</w:t>
            </w:r>
          </w:p>
        </w:tc>
        <w:tc>
          <w:tcPr>
            <w:tcW w:w="880" w:type="dxa"/>
            <w:vAlign w:val="bottom"/>
            <w:tcBorders>
              <w:top w:val="single" w:sz="8" w:color="auto"/>
            </w:tcBorders>
            <w:vMerge w:val="restart"/>
          </w:tcPr>
          <w:p>
            <w:pPr>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7"/>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month</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3 months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12 months</w:t>
            </w:r>
          </w:p>
        </w:tc>
        <w:tc>
          <w:tcPr>
            <w:tcW w:w="780" w:type="dxa"/>
            <w:vAlign w:val="bottom"/>
          </w:tcPr>
          <w:p>
            <w:pPr>
              <w:spacing w:after="0"/>
              <w:rPr>
                <w:sz w:val="20"/>
                <w:szCs w:val="20"/>
                <w:color w:val="auto"/>
              </w:rPr>
            </w:pPr>
            <w:r>
              <w:rPr>
                <w:rFonts w:ascii="Arial" w:cs="Arial" w:eastAsia="Arial" w:hAnsi="Arial"/>
                <w:sz w:val="14"/>
                <w:szCs w:val="14"/>
                <w:b w:val="1"/>
                <w:bCs w:val="1"/>
                <w:color w:val="auto"/>
              </w:rPr>
              <w:t>5 years</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month</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3 months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12 months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260"/>
          </w:cols>
          <w:pgMar w:left="320" w:top="124" w:right="319" w:bottom="1440" w:gutter="0" w:footer="0" w:header="0"/>
        </w:sectPr>
      </w:pPr>
    </w:p>
    <w:p>
      <w:pPr>
        <w:ind w:right="400"/>
        <w:spacing w:after="0" w:line="341" w:lineRule="auto"/>
        <w:rPr>
          <w:sz w:val="20"/>
          <w:szCs w:val="20"/>
          <w:color w:val="auto"/>
        </w:rPr>
      </w:pPr>
      <w:r>
        <w:rPr>
          <w:rFonts w:ascii="Arial" w:cs="Arial" w:eastAsia="Arial" w:hAnsi="Arial"/>
          <w:sz w:val="14"/>
          <w:szCs w:val="14"/>
          <w:b w:val="1"/>
          <w:bCs w:val="1"/>
          <w:color w:val="auto"/>
        </w:rPr>
        <w:t>Financial assets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w:t>
      </w:r>
    </w:p>
    <w:p>
      <w:pPr>
        <w:spacing w:after="0" w:line="237" w:lineRule="auto"/>
        <w:rPr>
          <w:sz w:val="20"/>
          <w:szCs w:val="20"/>
          <w:color w:val="auto"/>
        </w:rPr>
      </w:pPr>
      <w:r>
        <w:rPr>
          <w:rFonts w:ascii="Arial" w:cs="Arial" w:eastAsia="Arial" w:hAnsi="Arial"/>
          <w:sz w:val="16"/>
          <w:szCs w:val="16"/>
          <w:b w:val="1"/>
          <w:bCs w:val="1"/>
          <w:color w:val="auto"/>
        </w:rPr>
        <w:t>liabilities by</w:t>
      </w:r>
    </w:p>
    <w:p>
      <w:pPr>
        <w:spacing w:after="0" w:line="228" w:lineRule="auto"/>
        <w:rPr>
          <w:sz w:val="20"/>
          <w:szCs w:val="20"/>
          <w:color w:val="auto"/>
        </w:rPr>
      </w:pPr>
      <w:r>
        <w:rPr>
          <w:rFonts w:ascii="Arial" w:cs="Arial" w:eastAsia="Arial" w:hAnsi="Arial"/>
          <w:sz w:val="16"/>
          <w:szCs w:val="16"/>
          <w:b w:val="1"/>
          <w:bCs w:val="1"/>
          <w:color w:val="auto"/>
        </w:rPr>
        <w:t>type -</w:t>
      </w:r>
    </w:p>
    <w:p>
      <w:pPr>
        <w:spacing w:after="0" w:line="229" w:lineRule="auto"/>
        <w:rPr>
          <w:sz w:val="20"/>
          <w:szCs w:val="20"/>
          <w:color w:val="auto"/>
        </w:rPr>
      </w:pPr>
      <w:r>
        <w:rPr>
          <w:rFonts w:ascii="Arial" w:cs="Arial" w:eastAsia="Arial" w:hAnsi="Arial"/>
          <w:sz w:val="16"/>
          <w:szCs w:val="16"/>
          <w:color w:val="auto"/>
        </w:rPr>
        <w:t>Deposits and</w:t>
      </w:r>
    </w:p>
    <w:p>
      <w:pPr>
        <w:spacing w:after="0" w:line="228" w:lineRule="auto"/>
        <w:rPr>
          <w:sz w:val="20"/>
          <w:szCs w:val="20"/>
          <w:color w:val="auto"/>
        </w:rPr>
      </w:pPr>
      <w:r>
        <w:rPr>
          <w:rFonts w:ascii="Arial" w:cs="Arial" w:eastAsia="Arial" w:hAnsi="Arial"/>
          <w:sz w:val="16"/>
          <w:szCs w:val="16"/>
          <w:color w:val="auto"/>
        </w:rPr>
        <w:t>obligations</w:t>
      </w:r>
    </w:p>
    <w:p>
      <w:pPr>
        <w:spacing w:after="0" w:line="228" w:lineRule="auto"/>
        <w:rPr>
          <w:sz w:val="20"/>
          <w:szCs w:val="20"/>
          <w:color w:val="auto"/>
        </w:rPr>
      </w:pPr>
      <w:r>
        <w:rPr>
          <w:rFonts w:ascii="Arial" w:cs="Arial" w:eastAsia="Arial" w:hAnsi="Arial"/>
          <w:sz w:val="16"/>
          <w:szCs w:val="16"/>
          <w:color w:val="auto"/>
        </w:rPr>
        <w:t>Payables from</w:t>
      </w:r>
    </w:p>
    <w:p>
      <w:pPr>
        <w:spacing w:after="0" w:line="229" w:lineRule="auto"/>
        <w:rPr>
          <w:sz w:val="20"/>
          <w:szCs w:val="20"/>
          <w:color w:val="auto"/>
        </w:rPr>
      </w:pPr>
      <w:r>
        <w:rPr>
          <w:rFonts w:ascii="Arial" w:cs="Arial" w:eastAsia="Arial" w:hAnsi="Arial"/>
          <w:sz w:val="16"/>
          <w:szCs w:val="16"/>
          <w:color w:val="auto"/>
        </w:rPr>
        <w:t>reverse</w:t>
      </w:r>
    </w:p>
    <w:p>
      <w:pPr>
        <w:spacing w:after="0" w:line="228" w:lineRule="auto"/>
        <w:rPr>
          <w:sz w:val="20"/>
          <w:szCs w:val="20"/>
          <w:color w:val="auto"/>
        </w:rPr>
      </w:pPr>
      <w:r>
        <w:rPr>
          <w:rFonts w:ascii="Arial" w:cs="Arial" w:eastAsia="Arial" w:hAnsi="Arial"/>
          <w:sz w:val="16"/>
          <w:szCs w:val="16"/>
          <w:color w:val="auto"/>
        </w:rPr>
        <w:t>purchase</w:t>
      </w:r>
    </w:p>
    <w:p>
      <w:pPr>
        <w:spacing w:after="0" w:line="228" w:lineRule="auto"/>
        <w:rPr>
          <w:sz w:val="20"/>
          <w:szCs w:val="20"/>
          <w:color w:val="auto"/>
        </w:rPr>
      </w:pPr>
      <w:r>
        <w:rPr>
          <w:rFonts w:ascii="Arial" w:cs="Arial" w:eastAsia="Arial" w:hAnsi="Arial"/>
          <w:sz w:val="16"/>
          <w:szCs w:val="16"/>
          <w:color w:val="auto"/>
        </w:rPr>
        <w:t>agreements</w:t>
      </w:r>
    </w:p>
    <w:p>
      <w:pPr>
        <w:spacing w:after="0" w:line="229" w:lineRule="auto"/>
        <w:rPr>
          <w:sz w:val="20"/>
          <w:szCs w:val="20"/>
          <w:color w:val="auto"/>
        </w:rPr>
      </w:pPr>
      <w:r>
        <w:rPr>
          <w:rFonts w:ascii="Arial" w:cs="Arial" w:eastAsia="Arial" w:hAnsi="Arial"/>
          <w:sz w:val="16"/>
          <w:szCs w:val="16"/>
          <w:color w:val="auto"/>
        </w:rPr>
        <w:t>and security</w:t>
      </w:r>
    </w:p>
    <w:p>
      <w:pPr>
        <w:spacing w:after="0" w:line="228" w:lineRule="auto"/>
        <w:rPr>
          <w:sz w:val="20"/>
          <w:szCs w:val="20"/>
          <w:color w:val="auto"/>
        </w:rPr>
      </w:pPr>
      <w:r>
        <w:rPr>
          <w:rFonts w:ascii="Arial" w:cs="Arial" w:eastAsia="Arial" w:hAnsi="Arial"/>
          <w:sz w:val="16"/>
          <w:szCs w:val="16"/>
          <w:color w:val="auto"/>
        </w:rPr>
        <w:t>lendings and</w:t>
      </w:r>
    </w:p>
    <w:p>
      <w:pPr>
        <w:spacing w:after="0" w:line="228" w:lineRule="auto"/>
        <w:rPr>
          <w:sz w:val="20"/>
          <w:szCs w:val="20"/>
          <w:color w:val="auto"/>
        </w:rPr>
      </w:pPr>
      <w:r>
        <w:rPr>
          <w:rFonts w:ascii="Arial" w:cs="Arial" w:eastAsia="Arial" w:hAnsi="Arial"/>
          <w:sz w:val="16"/>
          <w:szCs w:val="16"/>
          <w:color w:val="auto"/>
        </w:rPr>
        <w:t>due to banks</w:t>
      </w:r>
    </w:p>
    <w:p>
      <w:pPr>
        <w:spacing w:after="0" w:line="229" w:lineRule="auto"/>
        <w:rPr>
          <w:sz w:val="20"/>
          <w:szCs w:val="20"/>
          <w:color w:val="auto"/>
        </w:rPr>
      </w:pPr>
      <w:r>
        <w:rPr>
          <w:rFonts w:ascii="Arial" w:cs="Arial" w:eastAsia="Arial" w:hAnsi="Arial"/>
          <w:sz w:val="16"/>
          <w:szCs w:val="16"/>
          <w:color w:val="auto"/>
        </w:rPr>
        <w:t>and</w:t>
      </w:r>
    </w:p>
    <w:p>
      <w:pPr>
        <w:spacing w:after="0"/>
        <w:rPr>
          <w:sz w:val="20"/>
          <w:szCs w:val="20"/>
          <w:color w:val="auto"/>
        </w:rPr>
      </w:pPr>
      <w:r>
        <w:rPr>
          <w:rFonts w:ascii="Arial" w:cs="Arial" w:eastAsia="Arial" w:hAnsi="Arial"/>
          <w:sz w:val="14"/>
          <w:szCs w:val="14"/>
          <w:color w:val="auto"/>
        </w:rPr>
        <w:t>correspondents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Financial</w:t>
      </w:r>
    </w:p>
    <w:p>
      <w:pPr>
        <w:spacing w:after="0" w:line="228" w:lineRule="auto"/>
        <w:rPr>
          <w:sz w:val="20"/>
          <w:szCs w:val="20"/>
          <w:color w:val="auto"/>
        </w:rPr>
      </w:pPr>
      <w:r>
        <w:rPr>
          <w:rFonts w:ascii="Arial" w:cs="Arial" w:eastAsia="Arial" w:hAnsi="Arial"/>
          <w:sz w:val="16"/>
          <w:szCs w:val="16"/>
          <w:color w:val="auto"/>
        </w:rPr>
        <w:t>liabilities</w:t>
      </w:r>
    </w:p>
    <w:p>
      <w:pPr>
        <w:spacing w:after="0" w:line="228" w:lineRule="auto"/>
        <w:rPr>
          <w:sz w:val="20"/>
          <w:szCs w:val="20"/>
          <w:color w:val="auto"/>
        </w:rPr>
      </w:pPr>
      <w:r>
        <w:rPr>
          <w:rFonts w:ascii="Arial" w:cs="Arial" w:eastAsia="Arial" w:hAnsi="Arial"/>
          <w:sz w:val="16"/>
          <w:szCs w:val="16"/>
          <w:color w:val="auto"/>
        </w:rPr>
        <w:t>designated at</w:t>
      </w:r>
    </w:p>
    <w:p>
      <w:pPr>
        <w:spacing w:after="0" w:line="229" w:lineRule="auto"/>
        <w:rPr>
          <w:sz w:val="20"/>
          <w:szCs w:val="20"/>
          <w:color w:val="auto"/>
        </w:rPr>
      </w:pPr>
      <w:r>
        <w:rPr>
          <w:rFonts w:ascii="Arial" w:cs="Arial" w:eastAsia="Arial" w:hAnsi="Arial"/>
          <w:sz w:val="16"/>
          <w:szCs w:val="16"/>
          <w:color w:val="auto"/>
        </w:rPr>
        <w:t>fair</w:t>
      </w:r>
    </w:p>
    <w:p>
      <w:pPr>
        <w:ind w:right="20"/>
        <w:spacing w:after="0" w:line="263" w:lineRule="auto"/>
        <w:rPr>
          <w:sz w:val="20"/>
          <w:szCs w:val="20"/>
          <w:color w:val="auto"/>
        </w:rPr>
      </w:pPr>
      <w:r>
        <w:rPr>
          <w:rFonts w:ascii="Arial" w:cs="Arial" w:eastAsia="Arial" w:hAnsi="Arial"/>
          <w:sz w:val="14"/>
          <w:szCs w:val="14"/>
          <w:color w:val="auto"/>
        </w:rPr>
        <w:t>value through profit or loss Bonds and notes issued Lease liabilities Other liabilities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48,594,583 26,281,483 65,297,685 87,773,303 54,682,216 282,629,270 38,552,719 26,270,643 60,976,000 92,329,896 47,960,945 266,090,203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480" w:val="left"/>
        </w:tabs>
        <w:rPr>
          <w:sz w:val="20"/>
          <w:szCs w:val="20"/>
          <w:color w:val="auto"/>
        </w:rPr>
      </w:pPr>
      <w:r>
        <w:rPr>
          <w:rFonts w:ascii="Arial" w:cs="Arial" w:eastAsia="Arial" w:hAnsi="Arial"/>
          <w:sz w:val="16"/>
          <w:szCs w:val="16"/>
          <w:color w:val="auto"/>
        </w:rPr>
        <w:t>30,985,483 20,512,659 40,067,393 45,138,302 26,735,551 163,439,388 42,289,107 18,369,890 26,491,876 55,511,772</w:t>
      </w:r>
      <w:r>
        <w:rPr>
          <w:sz w:val="20"/>
          <w:szCs w:val="20"/>
          <w:color w:val="auto"/>
        </w:rPr>
        <w:tab/>
      </w:r>
      <w:r>
        <w:rPr>
          <w:rFonts w:ascii="Arial" w:cs="Arial" w:eastAsia="Arial" w:hAnsi="Arial"/>
          <w:sz w:val="14"/>
          <w:szCs w:val="14"/>
          <w:color w:val="auto"/>
        </w:rPr>
        <w:t>9,275,728 151,938,373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tabs>
          <w:tab w:leader="none" w:pos="900" w:val="left"/>
          <w:tab w:leader="none" w:pos="1720" w:val="left"/>
          <w:tab w:leader="none" w:pos="2540" w:val="left"/>
          <w:tab w:leader="none" w:pos="3380" w:val="left"/>
          <w:tab w:leader="none" w:pos="4220" w:val="left"/>
          <w:tab w:leader="none" w:pos="5120" w:val="left"/>
          <w:tab w:leader="none" w:pos="5960" w:val="left"/>
          <w:tab w:leader="none" w:pos="6800" w:val="left"/>
          <w:tab w:leader="none" w:pos="7640" w:val="left"/>
          <w:tab w:leader="none" w:pos="8480" w:val="left"/>
          <w:tab w:leader="none" w:pos="9340" w:val="left"/>
        </w:tabs>
        <w:rPr>
          <w:sz w:val="20"/>
          <w:szCs w:val="20"/>
          <w:color w:val="auto"/>
        </w:rPr>
      </w:pPr>
      <w:r>
        <w:rPr>
          <w:rFonts w:ascii="Arial" w:cs="Arial" w:eastAsia="Arial" w:hAnsi="Arial"/>
          <w:sz w:val="16"/>
          <w:szCs w:val="16"/>
          <w:color w:val="auto"/>
        </w:rPr>
        <w:t>3,697,052</w:t>
        <w:tab/>
        <w:t>5,382,691</w:t>
        <w:tab/>
        <w:t>4,441,442</w:t>
        <w:tab/>
        <w:t>4,079,266</w:t>
        <w:tab/>
        <w:t>3,918,189</w:t>
        <w:tab/>
        <w:t>21,518,640</w:t>
        <w:tab/>
        <w:t>6,048,623</w:t>
        <w:tab/>
        <w:t>2,581,452</w:t>
        <w:tab/>
        <w:t>5,994,505</w:t>
        <w:tab/>
        <w:t>5,749,977</w:t>
        <w:tab/>
        <w:t>3,901,739</w:t>
      </w:r>
      <w:r>
        <w:rPr>
          <w:sz w:val="20"/>
          <w:szCs w:val="20"/>
          <w:color w:val="auto"/>
        </w:rPr>
        <w:tab/>
      </w:r>
      <w:r>
        <w:rPr>
          <w:rFonts w:ascii="Arial" w:cs="Arial" w:eastAsia="Arial" w:hAnsi="Arial"/>
          <w:sz w:val="14"/>
          <w:szCs w:val="14"/>
          <w:color w:val="auto"/>
        </w:rPr>
        <w:t>24,276,296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760" w:type="dxa"/>
            <w:vAlign w:val="bottom"/>
          </w:tcPr>
          <w:p>
            <w:pPr>
              <w:jc w:val="right"/>
              <w:spacing w:after="0"/>
              <w:rPr>
                <w:sz w:val="20"/>
                <w:szCs w:val="20"/>
                <w:color w:val="auto"/>
              </w:rPr>
            </w:pPr>
            <w:r>
              <w:rPr>
                <w:rFonts w:ascii="Arial" w:cs="Arial" w:eastAsia="Arial" w:hAnsi="Arial"/>
                <w:sz w:val="16"/>
                <w:szCs w:val="16"/>
                <w:color w:val="auto"/>
              </w:rPr>
              <w:t>151,485</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151,485</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641,915</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641,915</w:t>
            </w:r>
          </w:p>
        </w:tc>
      </w:tr>
      <w:tr>
        <w:trPr>
          <w:trHeight w:val="350"/>
        </w:trPr>
        <w:tc>
          <w:tcPr>
            <w:tcW w:w="760" w:type="dxa"/>
            <w:vAlign w:val="bottom"/>
          </w:tcPr>
          <w:p>
            <w:pPr>
              <w:jc w:val="right"/>
              <w:spacing w:after="0"/>
              <w:rPr>
                <w:sz w:val="20"/>
                <w:szCs w:val="20"/>
                <w:color w:val="auto"/>
              </w:rPr>
            </w:pPr>
            <w:r>
              <w:rPr>
                <w:rFonts w:ascii="Arial" w:cs="Arial" w:eastAsia="Arial" w:hAnsi="Arial"/>
                <w:sz w:val="16"/>
                <w:szCs w:val="16"/>
                <w:color w:val="auto"/>
                <w:w w:val="95"/>
              </w:rPr>
              <w:t>3,185,435</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2,213,666</w:t>
            </w:r>
          </w:p>
        </w:tc>
        <w:tc>
          <w:tcPr>
            <w:tcW w:w="820" w:type="dxa"/>
            <w:vAlign w:val="bottom"/>
          </w:tcPr>
          <w:p>
            <w:pPr>
              <w:jc w:val="right"/>
              <w:spacing w:after="0"/>
              <w:rPr>
                <w:sz w:val="20"/>
                <w:szCs w:val="20"/>
                <w:color w:val="auto"/>
              </w:rPr>
            </w:pPr>
            <w:r>
              <w:rPr>
                <w:rFonts w:ascii="Arial" w:cs="Arial" w:eastAsia="Arial" w:hAnsi="Arial"/>
                <w:sz w:val="16"/>
                <w:szCs w:val="16"/>
                <w:color w:val="auto"/>
              </w:rPr>
              <w:t>4,260,484</w:t>
            </w:r>
          </w:p>
        </w:tc>
        <w:tc>
          <w:tcPr>
            <w:tcW w:w="820" w:type="dxa"/>
            <w:vAlign w:val="bottom"/>
          </w:tcPr>
          <w:p>
            <w:pPr>
              <w:jc w:val="right"/>
              <w:spacing w:after="0"/>
              <w:rPr>
                <w:sz w:val="20"/>
                <w:szCs w:val="20"/>
                <w:color w:val="auto"/>
              </w:rPr>
            </w:pPr>
            <w:r>
              <w:rPr>
                <w:rFonts w:ascii="Arial" w:cs="Arial" w:eastAsia="Arial" w:hAnsi="Arial"/>
                <w:sz w:val="16"/>
                <w:szCs w:val="16"/>
                <w:color w:val="auto"/>
              </w:rPr>
              <w:t>6,629,122</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3,062,721</w:t>
            </w:r>
          </w:p>
        </w:tc>
        <w:tc>
          <w:tcPr>
            <w:tcW w:w="920" w:type="dxa"/>
            <w:vAlign w:val="bottom"/>
          </w:tcPr>
          <w:p>
            <w:pPr>
              <w:jc w:val="right"/>
              <w:spacing w:after="0"/>
              <w:rPr>
                <w:sz w:val="20"/>
                <w:szCs w:val="20"/>
                <w:color w:val="auto"/>
              </w:rPr>
            </w:pPr>
            <w:r>
              <w:rPr>
                <w:rFonts w:ascii="Arial" w:cs="Arial" w:eastAsia="Arial" w:hAnsi="Arial"/>
                <w:sz w:val="16"/>
                <w:szCs w:val="16"/>
                <w:color w:val="auto"/>
              </w:rPr>
              <w:t>19,351,428</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214,609</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188,158</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5,624,264</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7,492,224</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579,266</w:t>
            </w:r>
          </w:p>
        </w:tc>
        <w:tc>
          <w:tcPr>
            <w:tcW w:w="860" w:type="dxa"/>
            <w:vAlign w:val="bottom"/>
          </w:tcPr>
          <w:p>
            <w:pPr>
              <w:jc w:val="right"/>
              <w:spacing w:after="0"/>
              <w:rPr>
                <w:sz w:val="20"/>
                <w:szCs w:val="20"/>
                <w:color w:val="auto"/>
              </w:rPr>
            </w:pPr>
            <w:r>
              <w:rPr>
                <w:rFonts w:ascii="Arial" w:cs="Arial" w:eastAsia="Arial" w:hAnsi="Arial"/>
                <w:sz w:val="16"/>
                <w:szCs w:val="16"/>
                <w:color w:val="auto"/>
              </w:rPr>
              <w:t>14,098,521</w:t>
            </w:r>
          </w:p>
        </w:tc>
      </w:tr>
      <w:tr>
        <w:trPr>
          <w:trHeight w:val="239"/>
        </w:trPr>
        <w:tc>
          <w:tcPr>
            <w:tcW w:w="760" w:type="dxa"/>
            <w:vAlign w:val="bottom"/>
          </w:tcPr>
          <w:p>
            <w:pPr>
              <w:jc w:val="right"/>
              <w:spacing w:after="0"/>
              <w:rPr>
                <w:sz w:val="20"/>
                <w:szCs w:val="20"/>
                <w:color w:val="auto"/>
              </w:rPr>
            </w:pPr>
            <w:r>
              <w:rPr>
                <w:rFonts w:ascii="Arial" w:cs="Arial" w:eastAsia="Arial" w:hAnsi="Arial"/>
                <w:sz w:val="16"/>
                <w:szCs w:val="16"/>
                <w:color w:val="auto"/>
              </w:rPr>
              <w:t>31,147</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33,499</w:t>
            </w:r>
          </w:p>
        </w:tc>
        <w:tc>
          <w:tcPr>
            <w:tcW w:w="820" w:type="dxa"/>
            <w:vAlign w:val="bottom"/>
          </w:tcPr>
          <w:p>
            <w:pPr>
              <w:jc w:val="right"/>
              <w:spacing w:after="0"/>
              <w:rPr>
                <w:sz w:val="20"/>
                <w:szCs w:val="20"/>
                <w:color w:val="auto"/>
              </w:rPr>
            </w:pPr>
            <w:r>
              <w:rPr>
                <w:rFonts w:ascii="Arial" w:cs="Arial" w:eastAsia="Arial" w:hAnsi="Arial"/>
                <w:sz w:val="16"/>
                <w:szCs w:val="16"/>
                <w:color w:val="auto"/>
              </w:rPr>
              <w:t>93,536</w:t>
            </w:r>
          </w:p>
        </w:tc>
        <w:tc>
          <w:tcPr>
            <w:tcW w:w="820" w:type="dxa"/>
            <w:vAlign w:val="bottom"/>
          </w:tcPr>
          <w:p>
            <w:pPr>
              <w:jc w:val="right"/>
              <w:spacing w:after="0"/>
              <w:rPr>
                <w:sz w:val="20"/>
                <w:szCs w:val="20"/>
                <w:color w:val="auto"/>
              </w:rPr>
            </w:pPr>
            <w:r>
              <w:rPr>
                <w:rFonts w:ascii="Arial" w:cs="Arial" w:eastAsia="Arial" w:hAnsi="Arial"/>
                <w:sz w:val="16"/>
                <w:szCs w:val="16"/>
                <w:color w:val="auto"/>
              </w:rPr>
              <w:t>229,166</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104,285</w:t>
            </w:r>
          </w:p>
        </w:tc>
        <w:tc>
          <w:tcPr>
            <w:tcW w:w="920" w:type="dxa"/>
            <w:vAlign w:val="bottom"/>
          </w:tcPr>
          <w:p>
            <w:pPr>
              <w:jc w:val="right"/>
              <w:spacing w:after="0"/>
              <w:rPr>
                <w:sz w:val="20"/>
                <w:szCs w:val="20"/>
                <w:color w:val="auto"/>
              </w:rPr>
            </w:pPr>
            <w:r>
              <w:rPr>
                <w:rFonts w:ascii="Arial" w:cs="Arial" w:eastAsia="Arial" w:hAnsi="Arial"/>
                <w:sz w:val="16"/>
                <w:szCs w:val="16"/>
                <w:color w:val="auto"/>
              </w:rPr>
              <w:t>491,633</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30,710</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33,118</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89,984</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256,960</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102,344</w:t>
            </w:r>
          </w:p>
        </w:tc>
        <w:tc>
          <w:tcPr>
            <w:tcW w:w="860" w:type="dxa"/>
            <w:vAlign w:val="bottom"/>
          </w:tcPr>
          <w:p>
            <w:pPr>
              <w:jc w:val="right"/>
              <w:spacing w:after="0"/>
              <w:rPr>
                <w:sz w:val="20"/>
                <w:szCs w:val="20"/>
                <w:color w:val="auto"/>
              </w:rPr>
            </w:pPr>
            <w:r>
              <w:rPr>
                <w:rFonts w:ascii="Arial" w:cs="Arial" w:eastAsia="Arial" w:hAnsi="Arial"/>
                <w:sz w:val="16"/>
                <w:szCs w:val="16"/>
                <w:color w:val="auto"/>
              </w:rPr>
              <w:t>513,116</w:t>
            </w:r>
          </w:p>
        </w:tc>
      </w:tr>
      <w:tr>
        <w:trPr>
          <w:trHeight w:val="205"/>
        </w:trPr>
        <w:tc>
          <w:tcPr>
            <w:tcW w:w="760" w:type="dxa"/>
            <w:vAlign w:val="bottom"/>
          </w:tcPr>
          <w:p>
            <w:pPr>
              <w:jc w:val="right"/>
              <w:spacing w:after="0"/>
              <w:rPr>
                <w:sz w:val="20"/>
                <w:szCs w:val="20"/>
                <w:color w:val="auto"/>
              </w:rPr>
            </w:pPr>
            <w:r>
              <w:rPr>
                <w:rFonts w:ascii="Arial" w:cs="Arial" w:eastAsia="Arial" w:hAnsi="Arial"/>
                <w:sz w:val="16"/>
                <w:szCs w:val="16"/>
                <w:u w:val="single" w:color="auto"/>
                <w:color w:val="auto"/>
                <w:w w:val="95"/>
              </w:rPr>
              <w:t>4,086,668</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297,762</w:t>
            </w:r>
          </w:p>
        </w:tc>
        <w:tc>
          <w:tcPr>
            <w:tcW w:w="820" w:type="dxa"/>
            <w:vAlign w:val="bottom"/>
          </w:tcPr>
          <w:p>
            <w:pPr>
              <w:jc w:val="right"/>
              <w:spacing w:after="0"/>
              <w:rPr>
                <w:sz w:val="20"/>
                <w:szCs w:val="20"/>
                <w:color w:val="auto"/>
              </w:rPr>
            </w:pPr>
            <w:r>
              <w:rPr>
                <w:rFonts w:ascii="Arial" w:cs="Arial" w:eastAsia="Arial" w:hAnsi="Arial"/>
                <w:sz w:val="16"/>
                <w:szCs w:val="16"/>
                <w:color w:val="auto"/>
              </w:rPr>
              <w:t>234,627</w:t>
            </w:r>
          </w:p>
        </w:tc>
        <w:tc>
          <w:tcPr>
            <w:tcW w:w="820" w:type="dxa"/>
            <w:vAlign w:val="bottom"/>
          </w:tcPr>
          <w:p>
            <w:pPr>
              <w:jc w:val="right"/>
              <w:spacing w:after="0"/>
              <w:rPr>
                <w:sz w:val="20"/>
                <w:szCs w:val="20"/>
                <w:color w:val="auto"/>
              </w:rPr>
            </w:pPr>
            <w:r>
              <w:rPr>
                <w:rFonts w:ascii="Arial" w:cs="Arial" w:eastAsia="Arial" w:hAnsi="Arial"/>
                <w:sz w:val="16"/>
                <w:szCs w:val="16"/>
                <w:color w:val="auto"/>
              </w:rPr>
              <w:t>27,317</w:t>
            </w:r>
          </w:p>
        </w:tc>
        <w:tc>
          <w:tcPr>
            <w:tcW w:w="840" w:type="dxa"/>
            <w:vAlign w:val="bottom"/>
          </w:tcPr>
          <w:p>
            <w:pPr>
              <w:jc w:val="right"/>
              <w:ind w:right="2"/>
              <w:spacing w:after="0"/>
              <w:rPr>
                <w:sz w:val="20"/>
                <w:szCs w:val="20"/>
                <w:color w:val="auto"/>
              </w:rPr>
            </w:pPr>
            <w:r>
              <w:rPr>
                <w:rFonts w:ascii="Arial" w:cs="Arial" w:eastAsia="Arial" w:hAnsi="Arial"/>
                <w:sz w:val="16"/>
                <w:szCs w:val="16"/>
                <w:u w:val="single" w:color="auto"/>
                <w:color w:val="auto"/>
              </w:rPr>
              <w:t>1,921,410</w:t>
            </w:r>
          </w:p>
        </w:tc>
        <w:tc>
          <w:tcPr>
            <w:tcW w:w="920" w:type="dxa"/>
            <w:vAlign w:val="bottom"/>
          </w:tcPr>
          <w:p>
            <w:pPr>
              <w:jc w:val="right"/>
              <w:spacing w:after="0"/>
              <w:rPr>
                <w:sz w:val="20"/>
                <w:szCs w:val="20"/>
                <w:color w:val="auto"/>
              </w:rPr>
            </w:pPr>
            <w:r>
              <w:rPr>
                <w:rFonts w:ascii="Arial" w:cs="Arial" w:eastAsia="Arial" w:hAnsi="Arial"/>
                <w:sz w:val="16"/>
                <w:szCs w:val="16"/>
                <w:color w:val="auto"/>
              </w:rPr>
              <w:t>6,567,784</w:t>
            </w:r>
          </w:p>
        </w:tc>
        <w:tc>
          <w:tcPr>
            <w:tcW w:w="900" w:type="dxa"/>
            <w:vAlign w:val="bottom"/>
          </w:tcPr>
          <w:p>
            <w:pPr>
              <w:jc w:val="right"/>
              <w:ind w:right="62"/>
              <w:spacing w:after="0"/>
              <w:rPr>
                <w:sz w:val="20"/>
                <w:szCs w:val="20"/>
                <w:color w:val="auto"/>
              </w:rPr>
            </w:pPr>
            <w:r>
              <w:rPr>
                <w:rFonts w:ascii="Arial" w:cs="Arial" w:eastAsia="Arial" w:hAnsi="Arial"/>
                <w:sz w:val="16"/>
                <w:szCs w:val="16"/>
                <w:u w:val="single" w:color="auto"/>
                <w:color w:val="auto"/>
              </w:rPr>
              <w:t>3,646,610</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358,303</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241,182</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8,484</w:t>
            </w:r>
          </w:p>
        </w:tc>
        <w:tc>
          <w:tcPr>
            <w:tcW w:w="840" w:type="dxa"/>
            <w:vAlign w:val="bottom"/>
          </w:tcPr>
          <w:p>
            <w:pPr>
              <w:jc w:val="right"/>
              <w:ind w:right="2"/>
              <w:spacing w:after="0"/>
              <w:rPr>
                <w:sz w:val="20"/>
                <w:szCs w:val="20"/>
                <w:color w:val="auto"/>
              </w:rPr>
            </w:pPr>
            <w:r>
              <w:rPr>
                <w:rFonts w:ascii="Arial" w:cs="Arial" w:eastAsia="Arial" w:hAnsi="Arial"/>
                <w:sz w:val="16"/>
                <w:szCs w:val="16"/>
                <w:u w:val="single" w:color="auto"/>
                <w:color w:val="auto"/>
              </w:rPr>
              <w:t>1,636,332</w:t>
            </w:r>
          </w:p>
        </w:tc>
        <w:tc>
          <w:tcPr>
            <w:tcW w:w="860" w:type="dxa"/>
            <w:vAlign w:val="bottom"/>
          </w:tcPr>
          <w:p>
            <w:pPr>
              <w:jc w:val="right"/>
              <w:spacing w:after="0"/>
              <w:rPr>
                <w:sz w:val="20"/>
                <w:szCs w:val="20"/>
                <w:color w:val="auto"/>
              </w:rPr>
            </w:pPr>
            <w:r>
              <w:rPr>
                <w:rFonts w:ascii="Arial" w:cs="Arial" w:eastAsia="Arial" w:hAnsi="Arial"/>
                <w:sz w:val="16"/>
                <w:szCs w:val="16"/>
                <w:color w:val="auto"/>
              </w:rPr>
              <w:t>5,890,911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-1270</wp:posOffset>
            </wp:positionV>
            <wp:extent cx="55562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5625" cy="7620"/>
                    </a:xfrm>
                    <a:prstGeom prst="rect">
                      <a:avLst/>
                    </a:prstGeom>
                    <a:noFill/>
                  </pic:spPr>
                </pic:pic>
              </a:graphicData>
            </a:graphic>
          </wp:anchor>
        </w:drawing>
        <w:drawing>
          <wp:anchor simplePos="0" relativeHeight="251657728" behindDoc="1" locked="0" layoutInCell="0" allowOverlap="1">
            <wp:simplePos x="0" y="0"/>
            <wp:positionH relativeFrom="column">
              <wp:posOffset>521970</wp:posOffset>
            </wp:positionH>
            <wp:positionV relativeFrom="paragraph">
              <wp:posOffset>-1270</wp:posOffset>
            </wp:positionV>
            <wp:extent cx="47872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87265" cy="76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u w:val="single" w:color="auto"/>
          <w:color w:val="auto"/>
        </w:rPr>
        <w:t>42,137,270 28,440,277 49,097,482 56,103,173 35,742,156 211,520,358 52,871,574 21,530,921 38,441,811 69,019,417 15,495,409 197,359,132</w:t>
      </w:r>
    </w:p>
    <w:p>
      <w:pPr>
        <w:spacing w:after="0" w:line="183" w:lineRule="exact"/>
        <w:rPr>
          <w:sz w:val="20"/>
          <w:szCs w:val="20"/>
          <w:color w:val="auto"/>
        </w:rPr>
      </w:pPr>
    </w:p>
    <w:p>
      <w:pPr>
        <w:sectPr>
          <w:pgSz w:w="11900" w:h="16838" w:orient="portrait"/>
          <w:cols w:equalWidth="0" w:num="2">
            <w:col w:w="1060" w:space="60"/>
            <w:col w:w="10140"/>
          </w:cols>
          <w:pgMar w:left="320" w:top="124" w:right="3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Arial" w:cs="Arial" w:eastAsia="Arial" w:hAnsi="Arial"/>
                <w:sz w:val="16"/>
                <w:szCs w:val="16"/>
                <w:b w:val="1"/>
                <w:bCs w:val="1"/>
                <w:color w:val="auto"/>
              </w:rPr>
              <w:t>Derivative</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line="175" w:lineRule="exact"/>
              <w:rPr>
                <w:sz w:val="20"/>
                <w:szCs w:val="20"/>
                <w:color w:val="auto"/>
              </w:rPr>
            </w:pPr>
            <w:r>
              <w:rPr>
                <w:rFonts w:ascii="Arial" w:cs="Arial" w:eastAsia="Arial" w:hAnsi="Arial"/>
                <w:sz w:val="16"/>
                <w:szCs w:val="16"/>
                <w:b w:val="1"/>
                <w:bCs w:val="1"/>
                <w:color w:val="auto"/>
              </w:rPr>
              <w:t>financial</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line="177" w:lineRule="exact"/>
              <w:rPr>
                <w:sz w:val="20"/>
                <w:szCs w:val="20"/>
                <w:color w:val="auto"/>
              </w:rPr>
            </w:pPr>
            <w:r>
              <w:rPr>
                <w:rFonts w:ascii="Arial" w:cs="Arial" w:eastAsia="Arial" w:hAnsi="Arial"/>
                <w:sz w:val="16"/>
                <w:szCs w:val="16"/>
                <w:b w:val="1"/>
                <w:bCs w:val="1"/>
                <w:color w:val="auto"/>
              </w:rPr>
              <w:t>liabilities -</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line="175" w:lineRule="exact"/>
              <w:rPr>
                <w:sz w:val="20"/>
                <w:szCs w:val="20"/>
                <w:color w:val="auto"/>
              </w:rPr>
            </w:pPr>
            <w:r>
              <w:rPr>
                <w:rFonts w:ascii="Arial" w:cs="Arial" w:eastAsia="Arial" w:hAnsi="Arial"/>
                <w:sz w:val="16"/>
                <w:szCs w:val="16"/>
                <w:color w:val="auto"/>
              </w:rPr>
              <w:t>Contractual</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line="175" w:lineRule="exact"/>
              <w:rPr>
                <w:sz w:val="20"/>
                <w:szCs w:val="20"/>
                <w:color w:val="auto"/>
              </w:rPr>
            </w:pPr>
            <w:r>
              <w:rPr>
                <w:rFonts w:ascii="Arial" w:cs="Arial" w:eastAsia="Arial" w:hAnsi="Arial"/>
                <w:sz w:val="16"/>
                <w:szCs w:val="16"/>
                <w:color w:val="auto"/>
              </w:rPr>
              <w:t>amounts</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1,960,811</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3,420,416</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4,858,373</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1,013,090</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20,320</w:t>
            </w: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11,273,010</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961,788</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1,059,625</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3,153,643</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1,394,394</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30,653</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6,600,103</w:t>
            </w:r>
          </w:p>
        </w:tc>
        <w:tc>
          <w:tcPr>
            <w:tcW w:w="0" w:type="dxa"/>
            <w:vAlign w:val="bottom"/>
          </w:tcPr>
          <w:p>
            <w:pPr>
              <w:spacing w:after="0"/>
              <w:rPr>
                <w:sz w:val="1"/>
                <w:szCs w:val="1"/>
                <w:color w:val="auto"/>
              </w:rPr>
            </w:pPr>
          </w:p>
        </w:tc>
      </w:tr>
      <w:tr>
        <w:trPr>
          <w:trHeight w:val="111"/>
        </w:trPr>
        <w:tc>
          <w:tcPr>
            <w:tcW w:w="1120" w:type="dxa"/>
            <w:vAlign w:val="bottom"/>
            <w:vMerge w:val="restart"/>
          </w:tcPr>
          <w:p>
            <w:pPr>
              <w:spacing w:after="0" w:line="175" w:lineRule="exact"/>
              <w:rPr>
                <w:sz w:val="20"/>
                <w:szCs w:val="20"/>
                <w:color w:val="auto"/>
              </w:rPr>
            </w:pPr>
            <w:r>
              <w:rPr>
                <w:rFonts w:ascii="Arial" w:cs="Arial" w:eastAsia="Arial" w:hAnsi="Arial"/>
                <w:sz w:val="16"/>
                <w:szCs w:val="16"/>
                <w:color w:val="auto"/>
              </w:rPr>
              <w:t>receivable</w:t>
            </w: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1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line="175" w:lineRule="exact"/>
              <w:rPr>
                <w:sz w:val="20"/>
                <w:szCs w:val="20"/>
                <w:color w:val="auto"/>
              </w:rPr>
            </w:pPr>
            <w:r>
              <w:rPr>
                <w:rFonts w:ascii="Arial" w:cs="Arial" w:eastAsia="Arial" w:hAnsi="Arial"/>
                <w:sz w:val="16"/>
                <w:szCs w:val="16"/>
                <w:color w:val="auto"/>
              </w:rPr>
              <w:t>(Inflows)</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line="175" w:lineRule="exact"/>
              <w:rPr>
                <w:sz w:val="20"/>
                <w:szCs w:val="20"/>
                <w:color w:val="auto"/>
              </w:rPr>
            </w:pPr>
            <w:r>
              <w:rPr>
                <w:rFonts w:ascii="Arial" w:cs="Arial" w:eastAsia="Arial" w:hAnsi="Arial"/>
                <w:sz w:val="16"/>
                <w:szCs w:val="16"/>
                <w:color w:val="auto"/>
              </w:rPr>
              <w:t>Contractual</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line="175" w:lineRule="exact"/>
              <w:rPr>
                <w:sz w:val="20"/>
                <w:szCs w:val="20"/>
                <w:color w:val="auto"/>
              </w:rPr>
            </w:pPr>
            <w:r>
              <w:rPr>
                <w:rFonts w:ascii="Arial" w:cs="Arial" w:eastAsia="Arial" w:hAnsi="Arial"/>
                <w:sz w:val="16"/>
                <w:szCs w:val="16"/>
                <w:color w:val="auto"/>
              </w:rPr>
              <w:t>amounts</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1,955,324</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3,416,357</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4,877,328</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1,034,592</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21,027</w:t>
            </w: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11,304,628</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939,961</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1,053,036</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3,185,326</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1,329,268</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28,899</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6,536,490</w:t>
            </w:r>
          </w:p>
        </w:tc>
        <w:tc>
          <w:tcPr>
            <w:tcW w:w="0" w:type="dxa"/>
            <w:vAlign w:val="bottom"/>
          </w:tcPr>
          <w:p>
            <w:pPr>
              <w:spacing w:after="0"/>
              <w:rPr>
                <w:sz w:val="1"/>
                <w:szCs w:val="1"/>
                <w:color w:val="auto"/>
              </w:rPr>
            </w:pPr>
          </w:p>
        </w:tc>
      </w:tr>
      <w:tr>
        <w:trPr>
          <w:trHeight w:val="123"/>
        </w:trPr>
        <w:tc>
          <w:tcPr>
            <w:tcW w:w="1120" w:type="dxa"/>
            <w:vAlign w:val="bottom"/>
            <w:vMerge w:val="restart"/>
          </w:tcPr>
          <w:p>
            <w:pPr>
              <w:spacing w:after="0" w:line="175" w:lineRule="exact"/>
              <w:rPr>
                <w:sz w:val="20"/>
                <w:szCs w:val="20"/>
                <w:color w:val="auto"/>
              </w:rPr>
            </w:pPr>
            <w:r>
              <w:rPr>
                <w:rFonts w:ascii="Arial" w:cs="Arial" w:eastAsia="Arial" w:hAnsi="Arial"/>
                <w:sz w:val="16"/>
                <w:szCs w:val="16"/>
                <w:color w:val="auto"/>
              </w:rPr>
              <w:t>payable</w:t>
            </w:r>
          </w:p>
        </w:tc>
        <w:tc>
          <w:tcPr>
            <w:tcW w:w="82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1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20" w:type="dxa"/>
            <w:vAlign w:val="bottom"/>
          </w:tcPr>
          <w:p>
            <w:pPr>
              <w:spacing w:after="0"/>
              <w:rPr>
                <w:sz w:val="20"/>
                <w:szCs w:val="20"/>
                <w:color w:val="auto"/>
              </w:rPr>
            </w:pPr>
            <w:r>
              <w:rPr>
                <w:rFonts w:ascii="Arial" w:cs="Arial" w:eastAsia="Arial" w:hAnsi="Arial"/>
                <w:sz w:val="16"/>
                <w:szCs w:val="16"/>
                <w:color w:val="auto"/>
              </w:rPr>
              <w:t>(outflows)</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120" w:type="dxa"/>
            <w:vAlign w:val="bottom"/>
          </w:tcPr>
          <w:p>
            <w:pPr>
              <w:spacing w:after="0" w:line="175" w:lineRule="exact"/>
              <w:rPr>
                <w:sz w:val="20"/>
                <w:szCs w:val="20"/>
                <w:color w:val="auto"/>
              </w:rPr>
            </w:pPr>
            <w:r>
              <w:rPr>
                <w:rFonts w:ascii="Arial" w:cs="Arial" w:eastAsia="Arial" w:hAnsi="Arial"/>
                <w:sz w:val="16"/>
                <w:szCs w:val="16"/>
                <w:b w:val="1"/>
                <w:bCs w:val="1"/>
                <w:color w:val="auto"/>
                <w:w w:val="98"/>
              </w:rPr>
              <w:t>Total liabilities</w:t>
            </w: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5,487</w:t>
            </w:r>
          </w:p>
        </w:tc>
        <w:tc>
          <w:tcPr>
            <w:tcW w:w="4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4,059</w:t>
            </w: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(18,955)</w:t>
            </w:r>
          </w:p>
        </w:tc>
        <w:tc>
          <w:tcPr>
            <w:tcW w:w="4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(21,502)</w:t>
            </w:r>
          </w:p>
        </w:tc>
        <w:tc>
          <w:tcPr>
            <w:tcW w:w="4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(707)</w:t>
            </w:r>
          </w:p>
        </w:tc>
        <w:tc>
          <w:tcPr>
            <w:tcW w:w="6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(31,618)</w:t>
            </w:r>
          </w:p>
        </w:tc>
        <w:tc>
          <w:tcPr>
            <w:tcW w:w="4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21,827</w:t>
            </w: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6,589</w:t>
            </w: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(31,683)</w:t>
            </w: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65,126</w:t>
            </w:r>
          </w:p>
        </w:tc>
        <w:tc>
          <w:tcPr>
            <w:tcW w:w="6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1,754</w:t>
            </w:r>
          </w:p>
        </w:tc>
        <w:tc>
          <w:tcPr>
            <w:tcW w:w="6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63,613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2"/>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ind w:right="306"/>
              <w:spacing w:after="0"/>
              <w:rPr>
                <w:sz w:val="20"/>
                <w:szCs w:val="20"/>
                <w:color w:val="auto"/>
              </w:rPr>
            </w:pPr>
            <w:r>
              <w:rPr>
                <w:rFonts w:ascii="Arial" w:cs="Arial" w:eastAsia="Arial" w:hAnsi="Arial"/>
                <w:sz w:val="12"/>
                <w:szCs w:val="12"/>
                <w:color w:val="auto"/>
              </w:rPr>
              <w:t>-155-</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type w:val="continuous"/>
        </w:sectPr>
      </w:pPr>
    </w:p>
    <w:bookmarkStart w:id="158" w:name="page159"/>
    <w:bookmarkEnd w:id="158"/>
    <w:p>
      <w:pPr>
        <w:spacing w:after="0"/>
        <w:tabs>
          <w:tab w:leader="none" w:pos="540" w:val="left"/>
        </w:tabs>
        <w:rPr>
          <w:sz w:val="20"/>
          <w:szCs w:val="20"/>
          <w:color w:val="auto"/>
        </w:rPr>
      </w:pPr>
      <w:r>
        <w:rPr>
          <w:rFonts w:ascii="Arial" w:cs="Arial" w:eastAsia="Arial" w:hAnsi="Arial"/>
          <w:sz w:val="16"/>
          <w:szCs w:val="16"/>
          <w:b w:val="1"/>
          <w:bCs w:val="1"/>
          <w:color w:val="auto"/>
        </w:rPr>
        <w:t>30.4</w:t>
      </w:r>
      <w:r>
        <w:rPr>
          <w:sz w:val="20"/>
          <w:szCs w:val="20"/>
          <w:color w:val="auto"/>
        </w:rPr>
        <w:tab/>
      </w:r>
      <w:r>
        <w:rPr>
          <w:rFonts w:ascii="Arial" w:cs="Arial" w:eastAsia="Arial" w:hAnsi="Arial"/>
          <w:sz w:val="14"/>
          <w:szCs w:val="14"/>
          <w:b w:val="1"/>
          <w:bCs w:val="1"/>
          <w:color w:val="auto"/>
        </w:rPr>
        <w:t>Non-financial risk -</w:t>
      </w:r>
    </w:p>
    <w:p>
      <w:pPr>
        <w:spacing w:after="0" w:line="156" w:lineRule="exact"/>
        <w:rPr>
          <w:sz w:val="20"/>
          <w:szCs w:val="20"/>
          <w:color w:val="auto"/>
        </w:rPr>
      </w:pPr>
    </w:p>
    <w:p>
      <w:pPr>
        <w:ind w:left="560" w:right="120"/>
        <w:spacing w:after="0" w:line="293" w:lineRule="auto"/>
        <w:rPr>
          <w:sz w:val="20"/>
          <w:szCs w:val="20"/>
          <w:color w:val="auto"/>
        </w:rPr>
      </w:pPr>
      <w:r>
        <w:rPr>
          <w:rFonts w:ascii="Arial" w:cs="Arial" w:eastAsia="Arial" w:hAnsi="Arial"/>
          <w:sz w:val="14"/>
          <w:szCs w:val="14"/>
          <w:color w:val="auto"/>
        </w:rPr>
        <w:t>A non-financial risk (NFR) is broadly defined by exclusion, encompassing any risk other than financial market, credit and liquidity risks. NFR may have substantial negative strategic, commercial, economic and/or reputational implications. They include operational risks as defined by Basel's seven types of operational risk events, as well as other significant risks such as technology, cyber, conduct, model, compliance, strategic and third-party risks.</w:t>
      </w:r>
    </w:p>
    <w:p>
      <w:pPr>
        <w:spacing w:after="0" w:line="99" w:lineRule="exact"/>
        <w:rPr>
          <w:sz w:val="20"/>
          <w:szCs w:val="20"/>
          <w:color w:val="auto"/>
        </w:rPr>
      </w:pPr>
    </w:p>
    <w:p>
      <w:pPr>
        <w:ind w:left="560" w:right="80"/>
        <w:spacing w:after="0" w:line="241" w:lineRule="auto"/>
        <w:rPr>
          <w:sz w:val="20"/>
          <w:szCs w:val="20"/>
          <w:color w:val="auto"/>
        </w:rPr>
      </w:pPr>
      <w:r>
        <w:rPr>
          <w:rFonts w:ascii="Arial" w:cs="Arial" w:eastAsia="Arial" w:hAnsi="Arial"/>
          <w:sz w:val="16"/>
          <w:szCs w:val="16"/>
          <w:color w:val="auto"/>
        </w:rPr>
        <w:t>The management of non-financial risks has become increasingly challenging due to the added complexity of rapid technological advancements, extensive process automation, greater reliance on systems rather than people, and transformational processes. These changes in the way financial institutions operate have led to new risk exposures, including attacks affecting the Group's services, data theft and online fraud.</w:t>
      </w:r>
    </w:p>
    <w:p>
      <w:pPr>
        <w:spacing w:after="0" w:line="13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30.5</w:t>
      </w:r>
      <w:r>
        <w:rPr>
          <w:sz w:val="20"/>
          <w:szCs w:val="20"/>
          <w:color w:val="auto"/>
        </w:rPr>
        <w:tab/>
      </w:r>
      <w:r>
        <w:rPr>
          <w:rFonts w:ascii="Arial" w:cs="Arial" w:eastAsia="Arial" w:hAnsi="Arial"/>
          <w:sz w:val="14"/>
          <w:szCs w:val="14"/>
          <w:b w:val="1"/>
          <w:bCs w:val="1"/>
          <w:color w:val="auto"/>
        </w:rPr>
        <w:t>Operational risk -</w:t>
      </w:r>
    </w:p>
    <w:p>
      <w:pPr>
        <w:spacing w:after="0" w:line="156" w:lineRule="exact"/>
        <w:rPr>
          <w:sz w:val="20"/>
          <w:szCs w:val="20"/>
          <w:color w:val="auto"/>
        </w:rPr>
      </w:pPr>
    </w:p>
    <w:p>
      <w:pPr>
        <w:ind w:left="560"/>
        <w:spacing w:after="0" w:line="241" w:lineRule="auto"/>
        <w:rPr>
          <w:sz w:val="20"/>
          <w:szCs w:val="20"/>
          <w:color w:val="auto"/>
        </w:rPr>
      </w:pPr>
      <w:r>
        <w:rPr>
          <w:rFonts w:ascii="Arial" w:cs="Arial" w:eastAsia="Arial" w:hAnsi="Arial"/>
          <w:sz w:val="16"/>
          <w:szCs w:val="16"/>
          <w:color w:val="auto"/>
        </w:rPr>
        <w:t>Operational risk is the possibility of incurring losses due to inadequate processes, human error, information technology failures, third party relationships or external events. These risks can result in financial losses and have legal or regulatory compliance consequences, but they exclude strategic or reputational risk (except for companies under Colombian regulations, where reputational risk is included in operational risk).</w:t>
      </w:r>
    </w:p>
    <w:p>
      <w:pPr>
        <w:spacing w:after="0" w:line="134" w:lineRule="exact"/>
        <w:rPr>
          <w:sz w:val="20"/>
          <w:szCs w:val="20"/>
          <w:color w:val="auto"/>
        </w:rPr>
      </w:pPr>
    </w:p>
    <w:p>
      <w:pPr>
        <w:ind w:left="560" w:right="180"/>
        <w:spacing w:after="0" w:line="255" w:lineRule="auto"/>
        <w:rPr>
          <w:sz w:val="20"/>
          <w:szCs w:val="20"/>
          <w:color w:val="auto"/>
        </w:rPr>
      </w:pPr>
      <w:r>
        <w:rPr>
          <w:rFonts w:ascii="Arial" w:cs="Arial" w:eastAsia="Arial" w:hAnsi="Arial"/>
          <w:sz w:val="16"/>
          <w:szCs w:val="16"/>
          <w:color w:val="auto"/>
        </w:rPr>
        <w:t>Operational risks are categorized into internal fraud, external fraud, labor relations and job security, customer relations, business products and practices, damage to material assets, business and systems interruption, and failures in process, execution, delivery and management.</w:t>
      </w:r>
    </w:p>
    <w:p>
      <w:pPr>
        <w:spacing w:after="0" w:line="122" w:lineRule="exact"/>
        <w:rPr>
          <w:sz w:val="20"/>
          <w:szCs w:val="20"/>
          <w:color w:val="auto"/>
        </w:rPr>
      </w:pPr>
    </w:p>
    <w:p>
      <w:pPr>
        <w:ind w:left="560" w:right="120"/>
        <w:spacing w:after="0" w:line="241" w:lineRule="auto"/>
        <w:rPr>
          <w:sz w:val="20"/>
          <w:szCs w:val="20"/>
          <w:color w:val="auto"/>
        </w:rPr>
      </w:pPr>
      <w:r>
        <w:rPr>
          <w:rFonts w:ascii="Arial" w:cs="Arial" w:eastAsia="Arial" w:hAnsi="Arial"/>
          <w:sz w:val="16"/>
          <w:szCs w:val="16"/>
          <w:color w:val="auto"/>
        </w:rPr>
        <w:t>One of the Group’s pillars is to cultivate an efficient risk culture. To achieve this, it records operational risks and their respective process controls. The risk map allows for the monitoring, prioritization and proposed treatment of these risks according to established governance. Additionally, the Group actively manages cybersecurity and fraud prevention, aligning with best international practices.</w:t>
      </w:r>
    </w:p>
    <w:p>
      <w:pPr>
        <w:spacing w:after="0" w:line="134" w:lineRule="exact"/>
        <w:rPr>
          <w:sz w:val="20"/>
          <w:szCs w:val="20"/>
          <w:color w:val="auto"/>
        </w:rPr>
      </w:pPr>
    </w:p>
    <w:p>
      <w:pPr>
        <w:ind w:left="560" w:right="20"/>
        <w:spacing w:after="0" w:line="241" w:lineRule="auto"/>
        <w:rPr>
          <w:sz w:val="20"/>
          <w:szCs w:val="20"/>
          <w:color w:val="auto"/>
        </w:rPr>
      </w:pPr>
      <w:r>
        <w:rPr>
          <w:rFonts w:ascii="Arial" w:cs="Arial" w:eastAsia="Arial" w:hAnsi="Arial"/>
          <w:sz w:val="16"/>
          <w:szCs w:val="16"/>
          <w:color w:val="auto"/>
        </w:rPr>
        <w:t>The business continuity management system enables the establishment, implementation, operation, monitoring, review, maintenance, and improvement of business continuity based on best practices and regulatory requirements. The Group implements recovery strategies for resources that support critical products and services, which are periodically tested to measure the effectiveness of these strategies.</w:t>
      </w:r>
    </w:p>
    <w:p>
      <w:pPr>
        <w:spacing w:after="0" w:line="134" w:lineRule="exact"/>
        <w:rPr>
          <w:sz w:val="20"/>
          <w:szCs w:val="20"/>
          <w:color w:val="auto"/>
        </w:rPr>
      </w:pPr>
    </w:p>
    <w:p>
      <w:pPr>
        <w:ind w:left="560" w:right="160"/>
        <w:spacing w:after="0" w:line="255" w:lineRule="auto"/>
        <w:rPr>
          <w:sz w:val="20"/>
          <w:szCs w:val="20"/>
          <w:color w:val="auto"/>
        </w:rPr>
      </w:pPr>
      <w:r>
        <w:rPr>
          <w:rFonts w:ascii="Arial" w:cs="Arial" w:eastAsia="Arial" w:hAnsi="Arial"/>
          <w:sz w:val="16"/>
          <w:szCs w:val="16"/>
          <w:color w:val="auto"/>
        </w:rPr>
        <w:t>In managing operational risk, cybersecurity, fraud prevention and business continuity, corporate guidelines are utilized, methodologies and best practices are shared among the Group's companies.</w:t>
      </w:r>
    </w:p>
    <w:p>
      <w:pPr>
        <w:spacing w:after="0" w:line="122" w:lineRule="exact"/>
        <w:rPr>
          <w:sz w:val="20"/>
          <w:szCs w:val="20"/>
          <w:color w:val="auto"/>
        </w:rPr>
      </w:pPr>
    </w:p>
    <w:p>
      <w:pPr>
        <w:ind w:left="560" w:right="20"/>
        <w:spacing w:after="0" w:line="238" w:lineRule="auto"/>
        <w:rPr>
          <w:sz w:val="20"/>
          <w:szCs w:val="20"/>
          <w:color w:val="auto"/>
        </w:rPr>
      </w:pPr>
      <w:r>
        <w:rPr>
          <w:rFonts w:ascii="Arial" w:cs="Arial" w:eastAsia="Arial" w:hAnsi="Arial"/>
          <w:sz w:val="16"/>
          <w:szCs w:val="16"/>
          <w:color w:val="auto"/>
        </w:rPr>
        <w:t>We also have recovery mechanisms for the materialization of operational risks, primarily through insurance policies contracted for all Credicorp Group companies in the international market. These policies cover losses due to fraud events, professional liability, cyber risks, and directors' liability. Additionally, we have insurance policies individually contracted by Credicorp companies in the local market that cover losses due to material damage to physical assets and civil liability.</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59" w:name="page160"/>
    <w:bookmarkEnd w:id="159"/>
    <w:p>
      <w:pPr>
        <w:spacing w:after="0"/>
        <w:tabs>
          <w:tab w:leader="none" w:pos="540" w:val="left"/>
        </w:tabs>
        <w:rPr>
          <w:sz w:val="20"/>
          <w:szCs w:val="20"/>
          <w:color w:val="auto"/>
        </w:rPr>
      </w:pPr>
      <w:r>
        <w:rPr>
          <w:rFonts w:ascii="Arial" w:cs="Arial" w:eastAsia="Arial" w:hAnsi="Arial"/>
          <w:sz w:val="16"/>
          <w:szCs w:val="16"/>
          <w:b w:val="1"/>
          <w:bCs w:val="1"/>
          <w:color w:val="auto"/>
        </w:rPr>
        <w:t>30.6</w:t>
      </w:r>
      <w:r>
        <w:rPr>
          <w:sz w:val="20"/>
          <w:szCs w:val="20"/>
          <w:color w:val="auto"/>
        </w:rPr>
        <w:tab/>
      </w:r>
      <w:r>
        <w:rPr>
          <w:rFonts w:ascii="Arial" w:cs="Arial" w:eastAsia="Arial" w:hAnsi="Arial"/>
          <w:sz w:val="14"/>
          <w:szCs w:val="14"/>
          <w:b w:val="1"/>
          <w:bCs w:val="1"/>
          <w:color w:val="auto"/>
        </w:rPr>
        <w:t>Cybersecurity –</w:t>
      </w:r>
    </w:p>
    <w:p>
      <w:pPr>
        <w:spacing w:after="0" w:line="156" w:lineRule="exact"/>
        <w:rPr>
          <w:sz w:val="20"/>
          <w:szCs w:val="20"/>
          <w:color w:val="auto"/>
        </w:rPr>
      </w:pPr>
    </w:p>
    <w:p>
      <w:pPr>
        <w:jc w:val="both"/>
        <w:ind w:left="560" w:right="300"/>
        <w:spacing w:after="0" w:line="241" w:lineRule="auto"/>
        <w:rPr>
          <w:sz w:val="20"/>
          <w:szCs w:val="20"/>
          <w:color w:val="auto"/>
        </w:rPr>
      </w:pPr>
      <w:r>
        <w:rPr>
          <w:rFonts w:ascii="Arial" w:cs="Arial" w:eastAsia="Arial" w:hAnsi="Arial"/>
          <w:sz w:val="16"/>
          <w:szCs w:val="16"/>
          <w:color w:val="auto"/>
        </w:rPr>
        <w:t>Credicorp directs its efforts towards cost-efficient strategies to minimize the exposure to cybersecurity risk. To this end, it implements different levels of controls adapted to the different areas and potentially vulnerable companies. In addition, it maintains a significant investment program that ensures the availability of technologies and processes necessary to protect the Group's operations and assets.</w:t>
      </w:r>
    </w:p>
    <w:p>
      <w:pPr>
        <w:spacing w:after="0" w:line="134" w:lineRule="exact"/>
        <w:rPr>
          <w:sz w:val="20"/>
          <w:szCs w:val="20"/>
          <w:color w:val="auto"/>
        </w:rPr>
      </w:pPr>
    </w:p>
    <w:p>
      <w:pPr>
        <w:ind w:left="560" w:right="120"/>
        <w:spacing w:after="0" w:line="234" w:lineRule="auto"/>
        <w:rPr>
          <w:sz w:val="20"/>
          <w:szCs w:val="20"/>
          <w:color w:val="auto"/>
        </w:rPr>
      </w:pPr>
      <w:r>
        <w:rPr>
          <w:rFonts w:ascii="Arial" w:cs="Arial" w:eastAsia="Arial" w:hAnsi="Arial"/>
          <w:sz w:val="16"/>
          <w:szCs w:val="16"/>
          <w:color w:val="auto"/>
        </w:rPr>
        <w:t>Within the framework of cybersecurity governance, the Group has a Credicorp CISO and a corporate team dedicated to ensuring the implementation and compliance of the cybersecurity strategy in all companies. A corporate strategy and plan has been established that includes implementation priorities and improvements, adapted to the different realities of the companies. These lines of work comprise the Cybersecurity Strategy, which is constantly reviewed considering the global scenario, risk profile, standards, frameworks and regulations, with the aim of ensuring business continuity, resilience and data privacy. In addition, a robust cybersecurity framework is adopted that allows adjusting cybersecurity controls for each Group company, managing and remediating vulnerabilities in an early and timely manner.</w:t>
      </w:r>
    </w:p>
    <w:p>
      <w:pPr>
        <w:spacing w:after="0" w:line="137" w:lineRule="exact"/>
        <w:rPr>
          <w:sz w:val="20"/>
          <w:szCs w:val="20"/>
          <w:color w:val="auto"/>
        </w:rPr>
      </w:pPr>
    </w:p>
    <w:p>
      <w:pPr>
        <w:ind w:left="560" w:right="160"/>
        <w:spacing w:after="0" w:line="255" w:lineRule="auto"/>
        <w:rPr>
          <w:sz w:val="20"/>
          <w:szCs w:val="20"/>
          <w:color w:val="auto"/>
        </w:rPr>
      </w:pPr>
      <w:r>
        <w:rPr>
          <w:rFonts w:ascii="Arial" w:cs="Arial" w:eastAsia="Arial" w:hAnsi="Arial"/>
          <w:sz w:val="16"/>
          <w:szCs w:val="16"/>
          <w:color w:val="auto"/>
        </w:rPr>
        <w:t>The Group also has an awareness and continuous training program for its employees, fostering a culture of cybersecurity awareness in all companies. In addition, cybersecurity indicators are used to ensure alignment between operations and the Group's business strategy.</w:t>
      </w:r>
    </w:p>
    <w:p>
      <w:pPr>
        <w:spacing w:after="0" w:line="122" w:lineRule="exact"/>
        <w:rPr>
          <w:sz w:val="20"/>
          <w:szCs w:val="20"/>
          <w:color w:val="auto"/>
        </w:rPr>
      </w:pPr>
    </w:p>
    <w:p>
      <w:pPr>
        <w:ind w:left="560" w:right="60"/>
        <w:spacing w:after="0" w:line="255" w:lineRule="auto"/>
        <w:rPr>
          <w:sz w:val="20"/>
          <w:szCs w:val="20"/>
          <w:color w:val="auto"/>
        </w:rPr>
      </w:pPr>
      <w:r>
        <w:rPr>
          <w:rFonts w:ascii="Arial" w:cs="Arial" w:eastAsia="Arial" w:hAnsi="Arial"/>
          <w:sz w:val="16"/>
          <w:szCs w:val="16"/>
          <w:color w:val="auto"/>
        </w:rPr>
        <w:t>Group companies have third-party governance policies in place, which establish the security requirements to be met by service providers, compliance with which is mandatory.</w:t>
      </w:r>
    </w:p>
    <w:p>
      <w:pPr>
        <w:spacing w:after="0" w:line="122" w:lineRule="exact"/>
        <w:rPr>
          <w:sz w:val="20"/>
          <w:szCs w:val="20"/>
          <w:color w:val="auto"/>
        </w:rPr>
      </w:pPr>
    </w:p>
    <w:p>
      <w:pPr>
        <w:ind w:left="560" w:right="40"/>
        <w:spacing w:after="0" w:line="241" w:lineRule="auto"/>
        <w:rPr>
          <w:sz w:val="20"/>
          <w:szCs w:val="20"/>
          <w:color w:val="auto"/>
        </w:rPr>
      </w:pPr>
      <w:r>
        <w:rPr>
          <w:rFonts w:ascii="Arial" w:cs="Arial" w:eastAsia="Arial" w:hAnsi="Arial"/>
          <w:sz w:val="16"/>
          <w:szCs w:val="16"/>
          <w:color w:val="auto"/>
        </w:rPr>
        <w:t>Finally, asset information security management is carried out through a systematic process, documented and known throughout the organization, following best practices and regulatory requirements. Guidelines based on policies and procedures are designed and developed to guarantee the availability, confidentiality and integrity of the information.</w:t>
      </w:r>
    </w:p>
    <w:p>
      <w:pPr>
        <w:spacing w:after="0" w:line="132"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30.7</w:t>
      </w:r>
      <w:r>
        <w:rPr>
          <w:sz w:val="20"/>
          <w:szCs w:val="20"/>
          <w:color w:val="auto"/>
        </w:rPr>
        <w:tab/>
      </w:r>
      <w:r>
        <w:rPr>
          <w:rFonts w:ascii="Arial" w:cs="Arial" w:eastAsia="Arial" w:hAnsi="Arial"/>
          <w:sz w:val="14"/>
          <w:szCs w:val="14"/>
          <w:b w:val="1"/>
          <w:bCs w:val="1"/>
          <w:color w:val="auto"/>
        </w:rPr>
        <w:t>Corporate Security and Cybercrime -</w:t>
      </w:r>
    </w:p>
    <w:p>
      <w:pPr>
        <w:spacing w:after="0" w:line="156" w:lineRule="exact"/>
        <w:rPr>
          <w:sz w:val="20"/>
          <w:szCs w:val="20"/>
          <w:color w:val="auto"/>
        </w:rPr>
      </w:pPr>
    </w:p>
    <w:p>
      <w:pPr>
        <w:ind w:left="560" w:right="140"/>
        <w:spacing w:after="0" w:line="255" w:lineRule="auto"/>
        <w:rPr>
          <w:sz w:val="20"/>
          <w:szCs w:val="20"/>
          <w:color w:val="auto"/>
        </w:rPr>
      </w:pPr>
      <w:r>
        <w:rPr>
          <w:rFonts w:ascii="Arial" w:cs="Arial" w:eastAsia="Arial" w:hAnsi="Arial"/>
          <w:sz w:val="16"/>
          <w:szCs w:val="16"/>
          <w:color w:val="auto"/>
        </w:rPr>
        <w:t>As part of the management of non-financial risks, the Corporate Security &amp; Cyber Crime operational center is responsible for detecting and responding to fraud cybercrime and security incidents.</w:t>
      </w:r>
    </w:p>
    <w:p>
      <w:pPr>
        <w:spacing w:after="0" w:line="122" w:lineRule="exact"/>
        <w:rPr>
          <w:sz w:val="20"/>
          <w:szCs w:val="20"/>
          <w:color w:val="auto"/>
        </w:rPr>
      </w:pPr>
    </w:p>
    <w:p>
      <w:pPr>
        <w:ind w:left="560" w:right="60"/>
        <w:spacing w:after="0" w:line="241" w:lineRule="auto"/>
        <w:rPr>
          <w:sz w:val="20"/>
          <w:szCs w:val="20"/>
          <w:color w:val="auto"/>
        </w:rPr>
      </w:pPr>
      <w:r>
        <w:rPr>
          <w:rFonts w:ascii="Arial" w:cs="Arial" w:eastAsia="Arial" w:hAnsi="Arial"/>
          <w:sz w:val="16"/>
          <w:szCs w:val="16"/>
          <w:color w:val="auto"/>
        </w:rPr>
        <w:t>These tasks are carried out by teams specialized in transactional monitoring, investigations, cybercrime, electronic security, disaster risk management and strategic intelligence activities, including social conflicts, which safeguard the security of the organization's employees, customers, suppliers and organization assets.</w:t>
      </w:r>
    </w:p>
    <w:p>
      <w:pPr>
        <w:spacing w:after="0" w:line="134" w:lineRule="exact"/>
        <w:rPr>
          <w:sz w:val="20"/>
          <w:szCs w:val="20"/>
          <w:color w:val="auto"/>
        </w:rPr>
      </w:pPr>
    </w:p>
    <w:p>
      <w:pPr>
        <w:ind w:left="560" w:right="180"/>
        <w:spacing w:after="0" w:line="241" w:lineRule="auto"/>
        <w:rPr>
          <w:sz w:val="20"/>
          <w:szCs w:val="20"/>
          <w:color w:val="auto"/>
        </w:rPr>
      </w:pPr>
      <w:r>
        <w:rPr>
          <w:rFonts w:ascii="Arial" w:cs="Arial" w:eastAsia="Arial" w:hAnsi="Arial"/>
          <w:sz w:val="16"/>
          <w:szCs w:val="16"/>
          <w:color w:val="auto"/>
        </w:rPr>
        <w:t xml:space="preserve">To this end, the strategy designed includes the use of state-of-the-art technological tools in monitoring platforms, digital video surveillance and advanced risk profile analysis models, among others. Likewise, we have highly specialized and trained talent on these fronts that allows the appropriate use of artificial intelligence, electronics, advanced analytics and </w:t>
      </w:r>
      <w:r>
        <w:rPr>
          <w:rFonts w:ascii="Arial" w:cs="Arial" w:eastAsia="Arial" w:hAnsi="Arial"/>
          <w:sz w:val="16"/>
          <w:szCs w:val="16"/>
          <w:i w:val="1"/>
          <w:iCs w:val="1"/>
          <w:color w:val="auto"/>
        </w:rPr>
        <w:t>“cyber forensic”</w:t>
      </w:r>
      <w:r>
        <w:rPr>
          <w:rFonts w:ascii="Arial" w:cs="Arial" w:eastAsia="Arial" w:hAnsi="Arial"/>
          <w:sz w:val="16"/>
          <w:szCs w:val="16"/>
          <w:color w:val="auto"/>
        </w:rPr>
        <w:t xml:space="preserve"> achieving high standards of efficiency.</w:t>
      </w:r>
    </w:p>
    <w:p>
      <w:pPr>
        <w:spacing w:after="0" w:line="148" w:lineRule="exact"/>
        <w:rPr>
          <w:sz w:val="20"/>
          <w:szCs w:val="20"/>
          <w:color w:val="auto"/>
        </w:rPr>
      </w:pPr>
    </w:p>
    <w:p>
      <w:pPr>
        <w:ind w:left="560"/>
        <w:spacing w:after="0" w:line="278" w:lineRule="auto"/>
        <w:rPr>
          <w:sz w:val="20"/>
          <w:szCs w:val="20"/>
          <w:color w:val="auto"/>
        </w:rPr>
      </w:pPr>
      <w:r>
        <w:rPr>
          <w:rFonts w:ascii="Arial" w:cs="Arial" w:eastAsia="Arial" w:hAnsi="Arial"/>
          <w:sz w:val="14"/>
          <w:szCs w:val="14"/>
          <w:color w:val="auto"/>
        </w:rPr>
        <w:t>Finally, the Group contributes to the security of the Financial System through union activities that it develops at the local level in the Association of Banks of Peru (ASBANC) and at the Latin American level in the Committee of Security Experts of the Latin American Federation of Banks (FELABAN the Spanish acronym).</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160" w:name="page161"/>
    <w:bookmarkEnd w:id="160"/>
    <w:p>
      <w:pPr>
        <w:spacing w:after="0"/>
        <w:tabs>
          <w:tab w:leader="none" w:pos="540" w:val="left"/>
        </w:tabs>
        <w:rPr>
          <w:sz w:val="20"/>
          <w:szCs w:val="20"/>
          <w:color w:val="auto"/>
        </w:rPr>
      </w:pPr>
      <w:r>
        <w:rPr>
          <w:rFonts w:ascii="Arial" w:cs="Arial" w:eastAsia="Arial" w:hAnsi="Arial"/>
          <w:sz w:val="16"/>
          <w:szCs w:val="16"/>
          <w:b w:val="1"/>
          <w:bCs w:val="1"/>
          <w:color w:val="auto"/>
        </w:rPr>
        <w:t>30.8</w:t>
      </w:r>
      <w:r>
        <w:rPr>
          <w:sz w:val="20"/>
          <w:szCs w:val="20"/>
          <w:color w:val="auto"/>
        </w:rPr>
        <w:tab/>
      </w:r>
      <w:r>
        <w:rPr>
          <w:rFonts w:ascii="Arial" w:cs="Arial" w:eastAsia="Arial" w:hAnsi="Arial"/>
          <w:sz w:val="14"/>
          <w:szCs w:val="14"/>
          <w:b w:val="1"/>
          <w:bCs w:val="1"/>
          <w:color w:val="auto"/>
        </w:rPr>
        <w:t>Model Risk -</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Group uses models for different purposes such as credit admission, capital calculation, behavior, provisions, market risk, liquidity, among others.</w:t>
      </w:r>
    </w:p>
    <w:p>
      <w:pPr>
        <w:spacing w:after="0" w:line="154" w:lineRule="exact"/>
        <w:rPr>
          <w:sz w:val="20"/>
          <w:szCs w:val="20"/>
          <w:color w:val="auto"/>
        </w:rPr>
      </w:pPr>
    </w:p>
    <w:p>
      <w:pPr>
        <w:jc w:val="both"/>
        <w:ind w:left="560" w:right="220"/>
        <w:spacing w:after="0" w:line="241" w:lineRule="auto"/>
        <w:rPr>
          <w:sz w:val="20"/>
          <w:szCs w:val="20"/>
          <w:color w:val="auto"/>
        </w:rPr>
      </w:pPr>
      <w:r>
        <w:rPr>
          <w:rFonts w:ascii="Arial" w:cs="Arial" w:eastAsia="Arial" w:hAnsi="Arial"/>
          <w:sz w:val="16"/>
          <w:szCs w:val="16"/>
          <w:color w:val="auto"/>
        </w:rPr>
        <w:t>Model risk is defined as the probability of loss resulting from decisions (credit, market, among others) based on the use of poorly designed and/or poorly implemented models. The sources that generate this risk are mainly: deficiencies in data, errors in the model (from design to implementation), use of the model.</w:t>
      </w:r>
    </w:p>
    <w:p>
      <w:pPr>
        <w:spacing w:after="0" w:line="134" w:lineRule="exact"/>
        <w:rPr>
          <w:sz w:val="20"/>
          <w:szCs w:val="20"/>
          <w:color w:val="auto"/>
        </w:rPr>
      </w:pPr>
    </w:p>
    <w:p>
      <w:pPr>
        <w:ind w:left="560" w:right="160"/>
        <w:spacing w:after="0" w:line="241" w:lineRule="auto"/>
        <w:rPr>
          <w:sz w:val="20"/>
          <w:szCs w:val="20"/>
          <w:color w:val="auto"/>
        </w:rPr>
      </w:pPr>
      <w:r>
        <w:rPr>
          <w:rFonts w:ascii="Arial" w:cs="Arial" w:eastAsia="Arial" w:hAnsi="Arial"/>
          <w:sz w:val="16"/>
          <w:szCs w:val="16"/>
          <w:color w:val="auto"/>
        </w:rPr>
        <w:t>The management of model risk is proportional to the importance of each model. In this sense, a concept of “tiering” (measurement system that orders the models depending to the importance according to the impact on the business) is defined as the main attribute to synthesize the level of importance or relevance of a model, from which is determined the intensity of the model risk management processes to be followed.</w:t>
      </w:r>
    </w:p>
    <w:p>
      <w:pPr>
        <w:spacing w:after="0" w:line="134" w:lineRule="exact"/>
        <w:rPr>
          <w:sz w:val="20"/>
          <w:szCs w:val="20"/>
          <w:color w:val="auto"/>
        </w:rPr>
      </w:pPr>
    </w:p>
    <w:p>
      <w:pPr>
        <w:jc w:val="both"/>
        <w:ind w:left="560" w:right="100"/>
        <w:spacing w:after="0" w:line="326" w:lineRule="auto"/>
        <w:rPr>
          <w:sz w:val="20"/>
          <w:szCs w:val="20"/>
          <w:color w:val="auto"/>
        </w:rPr>
      </w:pPr>
      <w:r>
        <w:rPr>
          <w:rFonts w:ascii="Arial" w:cs="Arial" w:eastAsia="Arial" w:hAnsi="Arial"/>
          <w:sz w:val="14"/>
          <w:szCs w:val="14"/>
          <w:color w:val="auto"/>
        </w:rPr>
        <w:t>Model risk management is structured around a set of processes known as the life cycle of the model. The definition of phases of the life cycle of the model in the Group is detailed below: identification, planning, development, internal validation, approval, implementation and use, and monitoring and control</w:t>
      </w:r>
    </w:p>
    <w:p>
      <w:pPr>
        <w:spacing w:after="0" w:line="7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30.9</w:t>
      </w:r>
      <w:r>
        <w:rPr>
          <w:sz w:val="20"/>
          <w:szCs w:val="20"/>
          <w:color w:val="auto"/>
        </w:rPr>
        <w:tab/>
      </w:r>
      <w:r>
        <w:rPr>
          <w:rFonts w:ascii="Arial" w:cs="Arial" w:eastAsia="Arial" w:hAnsi="Arial"/>
          <w:sz w:val="14"/>
          <w:szCs w:val="14"/>
          <w:b w:val="1"/>
          <w:bCs w:val="1"/>
          <w:color w:val="auto"/>
        </w:rPr>
        <w:t>Risk of the insurance activity -</w:t>
      </w:r>
    </w:p>
    <w:p>
      <w:pPr>
        <w:spacing w:after="0" w:line="156" w:lineRule="exact"/>
        <w:rPr>
          <w:sz w:val="20"/>
          <w:szCs w:val="20"/>
          <w:color w:val="auto"/>
        </w:rPr>
      </w:pPr>
    </w:p>
    <w:p>
      <w:pPr>
        <w:jc w:val="both"/>
        <w:ind w:left="560" w:right="100"/>
        <w:spacing w:after="0" w:line="241" w:lineRule="auto"/>
        <w:rPr>
          <w:sz w:val="20"/>
          <w:szCs w:val="20"/>
          <w:color w:val="auto"/>
        </w:rPr>
      </w:pPr>
      <w:r>
        <w:rPr>
          <w:rFonts w:ascii="Arial" w:cs="Arial" w:eastAsia="Arial" w:hAnsi="Arial"/>
          <w:sz w:val="16"/>
          <w:szCs w:val="16"/>
          <w:color w:val="auto"/>
        </w:rPr>
        <w:t>The main risk faced by the Group in insurance contracts is that the actual cost of claims and payments, or the timing thereof, differ from expectations. This is influenced by the frequency of claims, the severity of claims, the actual benefits paid and the subsequent development of claims over the long term. The Group's objective is therefore to ensure that sufficient reserves are available to cover these liabilities.</w:t>
      </w:r>
    </w:p>
    <w:p>
      <w:pPr>
        <w:spacing w:after="0" w:line="134" w:lineRule="exact"/>
        <w:rPr>
          <w:sz w:val="20"/>
          <w:szCs w:val="20"/>
          <w:color w:val="auto"/>
        </w:rPr>
      </w:pPr>
    </w:p>
    <w:p>
      <w:pPr>
        <w:ind w:left="560" w:right="60"/>
        <w:spacing w:after="0" w:line="238" w:lineRule="auto"/>
        <w:rPr>
          <w:sz w:val="20"/>
          <w:szCs w:val="20"/>
          <w:color w:val="auto"/>
        </w:rPr>
      </w:pPr>
      <w:r>
        <w:rPr>
          <w:rFonts w:ascii="Arial" w:cs="Arial" w:eastAsia="Arial" w:hAnsi="Arial"/>
          <w:sz w:val="16"/>
          <w:szCs w:val="16"/>
          <w:color w:val="auto"/>
        </w:rPr>
        <w:t>Risk exposure is mitigated by diversification through a large portfolio of insurance contracts and by having different lines of business. Risks are also mitigated by careful selection and implementation of strategic underwriting guidelines, as well as the use of reinsurance agreements. Reinsurance underwriting is diversified in such a way that the Group is not dependent on any particular reinsurer; likewise, the Group's operations are not dependent on any particular reinsurance contract.</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Life insurance contracts -</w:t>
      </w:r>
    </w:p>
    <w:p>
      <w:pPr>
        <w:spacing w:after="0" w:line="154" w:lineRule="exact"/>
        <w:rPr>
          <w:sz w:val="20"/>
          <w:szCs w:val="20"/>
          <w:color w:val="auto"/>
        </w:rPr>
      </w:pPr>
    </w:p>
    <w:p>
      <w:pPr>
        <w:jc w:val="both"/>
        <w:ind w:left="560" w:right="220"/>
        <w:spacing w:after="0" w:line="241" w:lineRule="auto"/>
        <w:rPr>
          <w:sz w:val="20"/>
          <w:szCs w:val="20"/>
          <w:color w:val="auto"/>
        </w:rPr>
      </w:pPr>
      <w:r>
        <w:rPr>
          <w:rFonts w:ascii="Arial" w:cs="Arial" w:eastAsia="Arial" w:hAnsi="Arial"/>
          <w:sz w:val="16"/>
          <w:szCs w:val="16"/>
          <w:color w:val="auto"/>
        </w:rPr>
        <w:t>The main risks that the Group is exposed to are mortality, morbidity, longevity, investment yield and flow, losses arising from policies due to the expense incurred being different than expected, and the policyholder decision; all of which, do not vary significantly in relation to the location of the risk insured by the Group, type of risk insured or industry.</w:t>
      </w:r>
    </w:p>
    <w:p>
      <w:pPr>
        <w:spacing w:after="0" w:line="134" w:lineRule="exact"/>
        <w:rPr>
          <w:sz w:val="20"/>
          <w:szCs w:val="20"/>
          <w:color w:val="auto"/>
        </w:rPr>
      </w:pPr>
    </w:p>
    <w:p>
      <w:pPr>
        <w:ind w:left="560" w:right="100"/>
        <w:spacing w:after="0" w:line="236" w:lineRule="auto"/>
        <w:rPr>
          <w:sz w:val="20"/>
          <w:szCs w:val="20"/>
          <w:color w:val="auto"/>
        </w:rPr>
      </w:pPr>
      <w:r>
        <w:rPr>
          <w:rFonts w:ascii="Arial" w:cs="Arial" w:eastAsia="Arial" w:hAnsi="Arial"/>
          <w:sz w:val="16"/>
          <w:szCs w:val="16"/>
          <w:color w:val="auto"/>
        </w:rPr>
        <w:t>The Group’s underwriting strategy is designed to ensure that risks are well diversified in terms of type of risk and level of insured benefits. This is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34" w:lineRule="exact"/>
        <w:rPr>
          <w:sz w:val="20"/>
          <w:szCs w:val="20"/>
          <w:color w:val="auto"/>
        </w:rPr>
      </w:pPr>
    </w:p>
    <w:p>
      <w:pPr>
        <w:ind w:left="560" w:right="760"/>
        <w:spacing w:after="0" w:line="255" w:lineRule="auto"/>
        <w:rPr>
          <w:sz w:val="20"/>
          <w:szCs w:val="20"/>
          <w:color w:val="auto"/>
        </w:rPr>
      </w:pPr>
      <w:r>
        <w:rPr>
          <w:rFonts w:ascii="Arial" w:cs="Arial" w:eastAsia="Arial" w:hAnsi="Arial"/>
          <w:sz w:val="16"/>
          <w:szCs w:val="16"/>
          <w:color w:val="auto"/>
        </w:rPr>
        <w:t>For contracts when death or disability is the insured risk, the significant factors that could increase the overall frequency of claims are epidemics, widespread changes in lifestyle and natural disasters, resulting in more claims than expected.</w:t>
      </w:r>
    </w:p>
    <w:p>
      <w:pPr>
        <w:spacing w:after="0" w:line="122" w:lineRule="exact"/>
        <w:rPr>
          <w:sz w:val="20"/>
          <w:szCs w:val="20"/>
          <w:color w:val="auto"/>
        </w:rPr>
      </w:pPr>
    </w:p>
    <w:p>
      <w:pPr>
        <w:ind w:left="560"/>
        <w:spacing w:after="0" w:line="255" w:lineRule="auto"/>
        <w:rPr>
          <w:sz w:val="20"/>
          <w:szCs w:val="20"/>
          <w:color w:val="auto"/>
        </w:rPr>
      </w:pPr>
      <w:r>
        <w:rPr>
          <w:rFonts w:ascii="Arial" w:cs="Arial" w:eastAsia="Arial" w:hAnsi="Arial"/>
          <w:sz w:val="16"/>
          <w:szCs w:val="16"/>
          <w:color w:val="auto"/>
        </w:rPr>
        <w:t>For retirement, survival and disability annuities contracts, the most significant factor is continuing improvement in medical science and social conditions that increase longevity.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t>Non-life insurance contracts (general insurance and healthcare) -</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The Group mainly issues the following types of non-life general insurance contracts: automobile, technical branches, business and healthcare insurances.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Healthcare contracts provide medical expense cover to policyholders. Risks under non-life insurance policies usually cover 12 months.</w:t>
      </w:r>
    </w:p>
    <w:p>
      <w:pPr>
        <w:spacing w:after="0" w:line="140" w:lineRule="exact"/>
        <w:rPr>
          <w:sz w:val="20"/>
          <w:szCs w:val="20"/>
          <w:color w:val="auto"/>
        </w:rPr>
      </w:pPr>
    </w:p>
    <w:p>
      <w:pPr>
        <w:ind w:right="620"/>
        <w:spacing w:after="0" w:line="255" w:lineRule="auto"/>
        <w:rPr>
          <w:sz w:val="20"/>
          <w:szCs w:val="20"/>
          <w:color w:val="auto"/>
        </w:rPr>
      </w:pPr>
      <w:r>
        <w:rPr>
          <w:rFonts w:ascii="Arial" w:cs="Arial" w:eastAsia="Arial" w:hAnsi="Arial"/>
          <w:sz w:val="16"/>
          <w:szCs w:val="16"/>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22"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The above risk exposures are mitigated by diversification across a large portfolio of insurance contracts and by having different lines of business. The sensitivity of risk is improved by careful selection and implementation of underwriting strategies of insurance contracts, which are designed to ensure that risks are diversified in terms of type of risks and level of insured benefits. This is achieved, in various cases, through diversification across industry sectors and geographic location.</w:t>
      </w:r>
    </w:p>
    <w:p>
      <w:pPr>
        <w:spacing w:after="0" w:line="134"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Furthermore, strict claim review policies to assess all new and ongoing claims and in process of settlement,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Group has also limited its exposure by imposing maximum claim amounts on certain contracts as well as the use of reinsurance arrangements in order to limit its exposure to catastrophic events.</w:t>
      </w:r>
    </w:p>
    <w:p>
      <w:pPr>
        <w:spacing w:after="0" w:line="122" w:lineRule="exact"/>
        <w:rPr>
          <w:sz w:val="20"/>
          <w:szCs w:val="20"/>
          <w:color w:val="auto"/>
        </w:rPr>
      </w:pPr>
    </w:p>
    <w:p>
      <w:pPr>
        <w:jc w:val="both"/>
        <w:ind w:right="340"/>
        <w:spacing w:after="0" w:line="241" w:lineRule="auto"/>
        <w:rPr>
          <w:sz w:val="20"/>
          <w:szCs w:val="20"/>
          <w:color w:val="auto"/>
        </w:rPr>
      </w:pPr>
      <w:r>
        <w:rPr>
          <w:rFonts w:ascii="Arial" w:cs="Arial" w:eastAsia="Arial" w:hAnsi="Arial"/>
          <w:sz w:val="16"/>
          <w:szCs w:val="16"/>
          <w:color w:val="auto"/>
        </w:rPr>
        <w:t>Considering that risk management is predominantly oriented to credit, market and liquidity exposures inherent to the banking activity, in Management's opinion the impacts of sensitizing the relevant variables used in the valuation of insurance contract assets and liabilities would not be significant for the consolidated financial statements.</w:t>
      </w:r>
    </w:p>
    <w:p>
      <w:pPr>
        <w:spacing w:after="0" w:line="281"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60"/>
          </w:cols>
          <w:pgMar w:left="880" w:top="124" w:right="35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t>Claims development table: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estimates of accumulated claims incurred as of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7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1"/>
              </w:rPr>
              <w:t>S/(000)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6"/>
                <w:szCs w:val="16"/>
                <w:color w:val="auto"/>
              </w:rPr>
            </w:pPr>
          </w:p>
        </w:tc>
      </w:tr>
      <w:tr>
        <w:trPr>
          <w:trHeight w:val="285"/>
        </w:trPr>
        <w:tc>
          <w:tcPr>
            <w:tcW w:w="2420" w:type="dxa"/>
            <w:vAlign w:val="bottom"/>
          </w:tcPr>
          <w:p>
            <w:pPr>
              <w:spacing w:after="0"/>
              <w:rPr>
                <w:sz w:val="20"/>
                <w:szCs w:val="20"/>
                <w:color w:val="auto"/>
              </w:rPr>
            </w:pPr>
            <w:r>
              <w:rPr>
                <w:rFonts w:ascii="Arial" w:cs="Arial" w:eastAsia="Arial" w:hAnsi="Arial"/>
                <w:sz w:val="14"/>
                <w:szCs w:val="14"/>
                <w:b w:val="1"/>
                <w:bCs w:val="1"/>
                <w:color w:val="auto"/>
              </w:rPr>
              <w:t>Gross estimates of the</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b w:val="1"/>
                <w:bCs w:val="1"/>
                <w:color w:val="auto"/>
              </w:rPr>
              <w:t>undiscounted amount of the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2420" w:type="dxa"/>
            <w:vAlign w:val="bottom"/>
          </w:tcPr>
          <w:p>
            <w:pPr>
              <w:spacing w:after="0"/>
              <w:rPr>
                <w:sz w:val="20"/>
                <w:szCs w:val="20"/>
                <w:color w:val="auto"/>
              </w:rPr>
            </w:pPr>
            <w:r>
              <w:rPr>
                <w:rFonts w:ascii="Arial" w:cs="Arial" w:eastAsia="Arial" w:hAnsi="Arial"/>
                <w:sz w:val="14"/>
                <w:szCs w:val="14"/>
                <w:b w:val="1"/>
                <w:bCs w:val="1"/>
                <w:color w:val="auto"/>
              </w:rPr>
              <w:t>claims:</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14"/>
                <w:szCs w:val="14"/>
                <w:color w:val="auto"/>
              </w:rPr>
              <w:t>At the end of the claim year</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1,637,838</w:t>
            </w:r>
          </w:p>
        </w:tc>
        <w:tc>
          <w:tcPr>
            <w:tcW w:w="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1,047,428</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1,602,775</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1,152,556</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1,426,087</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1,548,529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2,106,530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1,379,742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1,564,601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1,491,978</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14,958,064</w:t>
            </w:r>
          </w:p>
        </w:tc>
        <w:tc>
          <w:tcPr>
            <w:tcW w:w="20" w:type="dxa"/>
            <w:vAlign w:val="bottom"/>
          </w:tcPr>
          <w:p>
            <w:pPr>
              <w:spacing w:after="0"/>
              <w:rPr>
                <w:sz w:val="24"/>
                <w:szCs w:val="2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1 year later</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2,458</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1,999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2,917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5,830</w:t>
            </w:r>
          </w:p>
        </w:tc>
        <w:tc>
          <w:tcPr>
            <w:tcW w:w="700" w:type="dxa"/>
            <w:vAlign w:val="bottom"/>
          </w:tcPr>
          <w:p>
            <w:pPr>
              <w:jc w:val="right"/>
              <w:spacing w:after="0"/>
              <w:rPr>
                <w:sz w:val="20"/>
                <w:szCs w:val="20"/>
                <w:color w:val="auto"/>
              </w:rPr>
            </w:pPr>
            <w:r>
              <w:rPr>
                <w:rFonts w:ascii="Arial" w:cs="Arial" w:eastAsia="Arial" w:hAnsi="Arial"/>
                <w:sz w:val="14"/>
                <w:szCs w:val="14"/>
                <w:color w:val="auto"/>
              </w:rPr>
              <w:t>15,447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21,123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107,965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167,943</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172,015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670,047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1,167,744</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2 years later</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2,052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1,889</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3,469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4,180</w:t>
            </w:r>
          </w:p>
        </w:tc>
        <w:tc>
          <w:tcPr>
            <w:tcW w:w="700" w:type="dxa"/>
            <w:vAlign w:val="bottom"/>
          </w:tcPr>
          <w:p>
            <w:pPr>
              <w:jc w:val="right"/>
              <w:spacing w:after="0"/>
              <w:rPr>
                <w:sz w:val="20"/>
                <w:szCs w:val="20"/>
                <w:color w:val="auto"/>
              </w:rPr>
            </w:pPr>
            <w:r>
              <w:rPr>
                <w:rFonts w:ascii="Arial" w:cs="Arial" w:eastAsia="Arial" w:hAnsi="Arial"/>
                <w:sz w:val="14"/>
                <w:szCs w:val="14"/>
                <w:color w:val="auto"/>
              </w:rPr>
              <w:t>11,051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39,861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127,303</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85,383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217,606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492,958</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3 years later</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3,390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2,122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2,880</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3,500</w:t>
            </w:r>
          </w:p>
        </w:tc>
        <w:tc>
          <w:tcPr>
            <w:tcW w:w="700" w:type="dxa"/>
            <w:vAlign w:val="bottom"/>
          </w:tcPr>
          <w:p>
            <w:pPr>
              <w:jc w:val="right"/>
              <w:spacing w:after="0"/>
              <w:rPr>
                <w:sz w:val="20"/>
                <w:szCs w:val="20"/>
                <w:color w:val="auto"/>
              </w:rPr>
            </w:pPr>
            <w:r>
              <w:rPr>
                <w:rFonts w:ascii="Arial" w:cs="Arial" w:eastAsia="Arial" w:hAnsi="Arial"/>
                <w:sz w:val="14"/>
                <w:szCs w:val="14"/>
                <w:color w:val="auto"/>
              </w:rPr>
              <w:t>11,137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31,737</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59,927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94,077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208,944</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4 years later</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1,533</w:t>
            </w: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2,389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4,431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4,203</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9,776</w:t>
            </w:r>
          </w:p>
        </w:tc>
        <w:tc>
          <w:tcPr>
            <w:tcW w:w="700" w:type="dxa"/>
            <w:vAlign w:val="bottom"/>
          </w:tcPr>
          <w:p>
            <w:pPr>
              <w:jc w:val="right"/>
              <w:spacing w:after="0"/>
              <w:rPr>
                <w:sz w:val="20"/>
                <w:szCs w:val="20"/>
                <w:color w:val="auto"/>
              </w:rPr>
            </w:pPr>
            <w:r>
              <w:rPr>
                <w:rFonts w:ascii="Arial" w:cs="Arial" w:eastAsia="Arial" w:hAnsi="Arial"/>
                <w:sz w:val="14"/>
                <w:szCs w:val="14"/>
                <w:color w:val="auto"/>
              </w:rPr>
              <w:t>22,453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67,570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112,491</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5 years later</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144</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3,446</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6,419</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4,076</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9,912</w:t>
            </w:r>
          </w:p>
        </w:tc>
        <w:tc>
          <w:tcPr>
            <w:tcW w:w="700" w:type="dxa"/>
            <w:vAlign w:val="bottom"/>
          </w:tcPr>
          <w:p>
            <w:pPr>
              <w:jc w:val="right"/>
              <w:spacing w:after="0"/>
              <w:rPr>
                <w:sz w:val="20"/>
                <w:szCs w:val="20"/>
                <w:color w:val="auto"/>
              </w:rPr>
            </w:pPr>
            <w:r>
              <w:rPr>
                <w:rFonts w:ascii="Arial" w:cs="Arial" w:eastAsia="Arial" w:hAnsi="Arial"/>
                <w:sz w:val="14"/>
                <w:szCs w:val="14"/>
                <w:color w:val="auto"/>
              </w:rPr>
              <w:t>17,756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42,671</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6 years later</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811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5,158</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4,783</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4,248</w:t>
            </w:r>
          </w:p>
        </w:tc>
        <w:tc>
          <w:tcPr>
            <w:tcW w:w="700" w:type="dxa"/>
            <w:vAlign w:val="bottom"/>
          </w:tcPr>
          <w:p>
            <w:pPr>
              <w:jc w:val="right"/>
              <w:spacing w:after="0"/>
              <w:rPr>
                <w:sz w:val="20"/>
                <w:szCs w:val="20"/>
                <w:color w:val="auto"/>
              </w:rPr>
            </w:pPr>
            <w:r>
              <w:rPr>
                <w:rFonts w:ascii="Arial" w:cs="Arial" w:eastAsia="Arial" w:hAnsi="Arial"/>
                <w:sz w:val="14"/>
                <w:szCs w:val="14"/>
                <w:color w:val="auto"/>
              </w:rPr>
              <w:t>38,738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53,930</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7 years later</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1,419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2,316</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3,339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5,486</w:t>
            </w:r>
          </w:p>
        </w:tc>
        <w:tc>
          <w:tcPr>
            <w:tcW w:w="720" w:type="dxa"/>
            <w:vAlign w:val="bottom"/>
          </w:tcPr>
          <w:p>
            <w:pPr>
              <w:jc w:val="right"/>
              <w:spacing w:after="0"/>
              <w:rPr>
                <w:sz w:val="20"/>
                <w:szCs w:val="20"/>
                <w:color w:val="auto"/>
              </w:rPr>
            </w:pPr>
            <w:r>
              <w:rPr>
                <w:rFonts w:ascii="Arial" w:cs="Arial" w:eastAsia="Arial" w:hAnsi="Arial"/>
                <w:sz w:val="14"/>
                <w:szCs w:val="14"/>
                <w:color w:val="auto"/>
              </w:rPr>
              <w:t>12,620</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8 years later</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1,028</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46</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2,328</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3,322</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6,816</w:t>
            </w:r>
          </w:p>
        </w:tc>
      </w:tr>
      <w:tr>
        <w:trPr>
          <w:trHeight w:val="187"/>
        </w:trPr>
        <w:tc>
          <w:tcPr>
            <w:tcW w:w="2420" w:type="dxa"/>
            <w:vAlign w:val="bottom"/>
          </w:tcPr>
          <w:p>
            <w:pPr>
              <w:spacing w:after="0"/>
              <w:rPr>
                <w:sz w:val="20"/>
                <w:szCs w:val="20"/>
                <w:color w:val="auto"/>
              </w:rPr>
            </w:pPr>
            <w:r>
              <w:rPr>
                <w:rFonts w:ascii="Arial" w:cs="Arial" w:eastAsia="Arial" w:hAnsi="Arial"/>
                <w:sz w:val="14"/>
                <w:szCs w:val="14"/>
                <w:color w:val="auto"/>
              </w:rPr>
              <w:t>9 years later</w:t>
            </w:r>
          </w:p>
        </w:tc>
        <w:tc>
          <w:tcPr>
            <w:tcW w:w="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297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854</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244</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2,557</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3,952</w:t>
            </w:r>
          </w:p>
        </w:tc>
      </w:tr>
      <w:tr>
        <w:trPr>
          <w:trHeight w:val="131"/>
        </w:trPr>
        <w:tc>
          <w:tcPr>
            <w:tcW w:w="2420" w:type="dxa"/>
            <w:vAlign w:val="bottom"/>
          </w:tcPr>
          <w:p>
            <w:pPr>
              <w:spacing w:after="0" w:line="131" w:lineRule="exact"/>
              <w:rPr>
                <w:sz w:val="20"/>
                <w:szCs w:val="20"/>
                <w:color w:val="auto"/>
              </w:rPr>
            </w:pPr>
            <w:r>
              <w:rPr>
                <w:rFonts w:ascii="Arial" w:cs="Arial" w:eastAsia="Arial" w:hAnsi="Arial"/>
                <w:sz w:val="14"/>
                <w:szCs w:val="14"/>
                <w:b w:val="1"/>
                <w:bCs w:val="1"/>
                <w:color w:val="auto"/>
              </w:rPr>
              <w:t>Accumulated gross claims and</w:t>
            </w: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b w:val="1"/>
                <w:bCs w:val="1"/>
                <w:color w:val="auto"/>
              </w:rPr>
              <w:t>other directly attributable expenses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2420" w:type="dxa"/>
            <w:vAlign w:val="bottom"/>
          </w:tcPr>
          <w:p>
            <w:pPr>
              <w:spacing w:after="0"/>
              <w:rPr>
                <w:sz w:val="20"/>
                <w:szCs w:val="20"/>
                <w:color w:val="auto"/>
              </w:rPr>
            </w:pPr>
            <w:r>
              <w:rPr>
                <w:rFonts w:ascii="Arial" w:cs="Arial" w:eastAsia="Arial" w:hAnsi="Arial"/>
                <w:sz w:val="14"/>
                <w:szCs w:val="14"/>
                <w:b w:val="1"/>
                <w:bCs w:val="1"/>
                <w:color w:val="auto"/>
              </w:rPr>
              <w:t>paid for the year of occurrence</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1,645,738</w:t>
            </w:r>
          </w:p>
        </w:tc>
        <w:tc>
          <w:tcPr>
            <w:tcW w:w="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1,051,206</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1,608,562</w:t>
            </w:r>
          </w:p>
        </w:tc>
        <w:tc>
          <w:tcPr>
            <w:tcW w:w="1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1,164,953</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1,452,627</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1,593,249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2,281,646</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1,728,622</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1,924,450</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2,609,137</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17,060,190</w:t>
            </w:r>
          </w:p>
        </w:tc>
        <w:tc>
          <w:tcPr>
            <w:tcW w:w="20" w:type="dxa"/>
            <w:vAlign w:val="bottom"/>
          </w:tcPr>
          <w:p>
            <w:pPr>
              <w:spacing w:after="0"/>
              <w:rPr>
                <w:sz w:val="16"/>
                <w:szCs w:val="16"/>
                <w:color w:val="auto"/>
              </w:rPr>
            </w:pPr>
          </w:p>
        </w:tc>
      </w:tr>
      <w:tr>
        <w:trPr>
          <w:trHeight w:val="306"/>
        </w:trPr>
        <w:tc>
          <w:tcPr>
            <w:tcW w:w="2420" w:type="dxa"/>
            <w:vAlign w:val="bottom"/>
          </w:tcPr>
          <w:p>
            <w:pPr>
              <w:spacing w:after="0"/>
              <w:rPr>
                <w:sz w:val="20"/>
                <w:szCs w:val="20"/>
                <w:color w:val="auto"/>
              </w:rPr>
            </w:pPr>
            <w:r>
              <w:rPr>
                <w:rFonts w:ascii="Arial" w:cs="Arial" w:eastAsia="Arial" w:hAnsi="Arial"/>
                <w:sz w:val="14"/>
                <w:szCs w:val="14"/>
                <w:color w:val="auto"/>
              </w:rPr>
              <w:t>Liabilities / Gross Obligations</w:t>
            </w:r>
          </w:p>
        </w:tc>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accumulated by claims</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8,317</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6,919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7,909</w:t>
            </w:r>
          </w:p>
        </w:tc>
        <w:tc>
          <w:tcPr>
            <w:tcW w:w="700" w:type="dxa"/>
            <w:vAlign w:val="bottom"/>
          </w:tcPr>
          <w:p>
            <w:pPr>
              <w:jc w:val="right"/>
              <w:spacing w:after="0"/>
              <w:rPr>
                <w:sz w:val="20"/>
                <w:szCs w:val="20"/>
                <w:color w:val="auto"/>
              </w:rPr>
            </w:pPr>
            <w:r>
              <w:rPr>
                <w:rFonts w:ascii="Arial" w:cs="Arial" w:eastAsia="Arial" w:hAnsi="Arial"/>
                <w:sz w:val="14"/>
                <w:szCs w:val="14"/>
                <w:color w:val="auto"/>
              </w:rPr>
              <w:t>18,380</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30,226</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56,998</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222,417</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466,484</w:t>
            </w: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454,110</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1,698,314</w:t>
            </w:r>
          </w:p>
        </w:tc>
        <w:tc>
          <w:tcPr>
            <w:tcW w:w="720" w:type="dxa"/>
            <w:vAlign w:val="bottom"/>
          </w:tcPr>
          <w:p>
            <w:pPr>
              <w:jc w:val="right"/>
              <w:spacing w:after="0"/>
              <w:rPr>
                <w:sz w:val="20"/>
                <w:szCs w:val="20"/>
                <w:color w:val="auto"/>
              </w:rPr>
            </w:pPr>
            <w:r>
              <w:rPr>
                <w:rFonts w:ascii="Arial" w:cs="Arial" w:eastAsia="Arial" w:hAnsi="Arial"/>
                <w:sz w:val="14"/>
                <w:szCs w:val="14"/>
                <w:color w:val="auto"/>
              </w:rPr>
              <w:t>2,970,074</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Discount event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(1,614)</w:t>
            </w:r>
          </w:p>
        </w:tc>
        <w:tc>
          <w:tcPr>
            <w:tcW w:w="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(1,900)</w:t>
            </w: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(2,849)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(4,729)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(15,369)</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(34,248)</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(34,104)</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(93,068)</w:t>
            </w:r>
          </w:p>
        </w:tc>
        <w:tc>
          <w:tcPr>
            <w:tcW w:w="720" w:type="dxa"/>
            <w:vAlign w:val="bottom"/>
          </w:tcPr>
          <w:p>
            <w:pPr>
              <w:jc w:val="right"/>
              <w:spacing w:after="0"/>
              <w:rPr>
                <w:sz w:val="20"/>
                <w:szCs w:val="20"/>
                <w:color w:val="auto"/>
              </w:rPr>
            </w:pPr>
            <w:r>
              <w:rPr>
                <w:rFonts w:ascii="Arial" w:cs="Arial" w:eastAsia="Arial" w:hAnsi="Arial"/>
                <w:sz w:val="14"/>
                <w:szCs w:val="14"/>
                <w:color w:val="auto"/>
              </w:rPr>
              <w:t>(189,917)</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Effect of Risk Adjustment for non-</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financial risk</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28,729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28,729</w:t>
            </w:r>
          </w:p>
        </w:tc>
        <w:tc>
          <w:tcPr>
            <w:tcW w:w="20" w:type="dxa"/>
            <w:vAlign w:val="bottom"/>
          </w:tcPr>
          <w:p>
            <w:pPr>
              <w:spacing w:after="0"/>
              <w:rPr>
                <w:sz w:val="14"/>
                <w:szCs w:val="14"/>
                <w:color w:val="auto"/>
              </w:rPr>
            </w:pPr>
          </w:p>
        </w:tc>
      </w:tr>
      <w:tr>
        <w:trPr>
          <w:trHeight w:val="163"/>
        </w:trPr>
        <w:tc>
          <w:tcPr>
            <w:tcW w:w="2420" w:type="dxa"/>
            <w:vAlign w:val="bottom"/>
          </w:tcPr>
          <w:p>
            <w:pPr>
              <w:spacing w:after="0"/>
              <w:rPr>
                <w:sz w:val="20"/>
                <w:szCs w:val="20"/>
                <w:color w:val="auto"/>
              </w:rPr>
            </w:pPr>
            <w:r>
              <w:rPr>
                <w:rFonts w:ascii="Arial" w:cs="Arial" w:eastAsia="Arial" w:hAnsi="Arial"/>
                <w:sz w:val="14"/>
                <w:szCs w:val="14"/>
                <w:color w:val="auto"/>
              </w:rPr>
              <w:t>Gross LIC of the Temporary Regime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2420" w:type="dxa"/>
            <w:vAlign w:val="bottom"/>
          </w:tcPr>
          <w:p>
            <w:pPr>
              <w:spacing w:after="0"/>
              <w:rPr>
                <w:sz w:val="20"/>
                <w:szCs w:val="20"/>
                <w:color w:val="auto"/>
              </w:rPr>
            </w:pPr>
            <w:r>
              <w:rPr>
                <w:rFonts w:ascii="Arial" w:cs="Arial" w:eastAsia="Arial" w:hAnsi="Arial"/>
                <w:sz w:val="14"/>
                <w:szCs w:val="14"/>
                <w:color w:val="auto"/>
              </w:rPr>
              <w:t>and Definitive Regime</w:t>
            </w:r>
          </w:p>
        </w:tc>
        <w:tc>
          <w:tcPr>
            <w:tcW w:w="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39,082</w:t>
            </w:r>
          </w:p>
        </w:tc>
        <w:tc>
          <w:tcPr>
            <w:tcW w:w="20" w:type="dxa"/>
            <w:vAlign w:val="bottom"/>
          </w:tcPr>
          <w:p>
            <w:pPr>
              <w:spacing w:after="0"/>
              <w:rPr>
                <w:sz w:val="16"/>
                <w:szCs w:val="16"/>
                <w:color w:val="auto"/>
              </w:rPr>
            </w:pPr>
          </w:p>
        </w:tc>
      </w:tr>
      <w:tr>
        <w:trPr>
          <w:trHeight w:val="158"/>
        </w:trPr>
        <w:tc>
          <w:tcPr>
            <w:tcW w:w="2420" w:type="dxa"/>
            <w:vAlign w:val="bottom"/>
          </w:tcPr>
          <w:p>
            <w:pPr>
              <w:spacing w:after="0" w:line="155" w:lineRule="exact"/>
              <w:rPr>
                <w:sz w:val="20"/>
                <w:szCs w:val="20"/>
                <w:color w:val="auto"/>
              </w:rPr>
            </w:pPr>
            <w:r>
              <w:rPr>
                <w:rFonts w:ascii="Arial" w:cs="Arial" w:eastAsia="Arial" w:hAnsi="Arial"/>
                <w:sz w:val="14"/>
                <w:szCs w:val="14"/>
                <w:b w:val="1"/>
                <w:bCs w:val="1"/>
                <w:color w:val="auto"/>
              </w:rPr>
              <w:t>Gross provision for incurred claims</w:t>
            </w: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6,703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5,898</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6,894</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16,480</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27,377</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52,269</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207,048</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432,236</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420,006</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1,633,975</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2,847,968</w:t>
            </w:r>
          </w:p>
        </w:tc>
        <w:tc>
          <w:tcPr>
            <w:tcW w:w="20" w:type="dxa"/>
            <w:vAlign w:val="bottom"/>
          </w:tcPr>
          <w:p>
            <w:pPr>
              <w:spacing w:after="0"/>
              <w:rPr>
                <w:sz w:val="13"/>
                <w:szCs w:val="13"/>
                <w:color w:val="auto"/>
              </w:rPr>
            </w:pPr>
          </w:p>
        </w:tc>
      </w:tr>
      <w:tr>
        <w:trPr>
          <w:trHeight w:val="460"/>
        </w:trPr>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right"/>
              <w:ind w:right="590"/>
              <w:spacing w:after="0"/>
              <w:rPr>
                <w:sz w:val="20"/>
                <w:szCs w:val="20"/>
                <w:color w:val="auto"/>
              </w:rPr>
            </w:pPr>
            <w:r>
              <w:rPr>
                <w:rFonts w:ascii="Arial" w:cs="Arial" w:eastAsia="Arial" w:hAnsi="Arial"/>
                <w:sz w:val="12"/>
                <w:szCs w:val="12"/>
                <w:color w:val="auto"/>
              </w:rPr>
              <w:t>-160-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color w:val="auto"/>
        </w:rPr>
        <w:t>The following table shows the estimates of accumulated claims incurred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4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Gross estimates of the</w:t>
            </w: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4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b w:val="1"/>
                <w:bCs w:val="1"/>
                <w:color w:val="auto"/>
              </w:rPr>
              <w:t>undiscounted amount of the</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40" w:type="dxa"/>
            <w:vAlign w:val="bottom"/>
          </w:tcPr>
          <w:p>
            <w:pPr>
              <w:spacing w:after="0"/>
              <w:rPr>
                <w:sz w:val="20"/>
                <w:szCs w:val="20"/>
                <w:color w:val="auto"/>
              </w:rPr>
            </w:pPr>
            <w:r>
              <w:rPr>
                <w:rFonts w:ascii="Arial" w:cs="Arial" w:eastAsia="Arial" w:hAnsi="Arial"/>
                <w:sz w:val="14"/>
                <w:szCs w:val="14"/>
                <w:b w:val="1"/>
                <w:bCs w:val="1"/>
                <w:color w:val="auto"/>
              </w:rPr>
              <w:t>claims: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440" w:type="dxa"/>
            <w:vAlign w:val="bottom"/>
          </w:tcPr>
          <w:p>
            <w:pPr>
              <w:spacing w:after="0"/>
              <w:rPr>
                <w:sz w:val="20"/>
                <w:szCs w:val="20"/>
                <w:color w:val="auto"/>
              </w:rPr>
            </w:pPr>
            <w:r>
              <w:rPr>
                <w:rFonts w:ascii="Arial" w:cs="Arial" w:eastAsia="Arial" w:hAnsi="Arial"/>
                <w:sz w:val="14"/>
                <w:szCs w:val="14"/>
                <w:color w:val="auto"/>
              </w:rPr>
              <w:t>At the end of the claim year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1,397,461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963,490</w:t>
            </w: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1,039,516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1,628,377</w:t>
            </w: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1,154,065</w:t>
            </w:r>
          </w:p>
        </w:tc>
        <w:tc>
          <w:tcPr>
            <w:tcW w:w="720" w:type="dxa"/>
            <w:vAlign w:val="bottom"/>
          </w:tcPr>
          <w:p>
            <w:pPr>
              <w:jc w:val="right"/>
              <w:spacing w:after="0"/>
              <w:rPr>
                <w:sz w:val="20"/>
                <w:szCs w:val="20"/>
                <w:color w:val="auto"/>
              </w:rPr>
            </w:pPr>
            <w:r>
              <w:rPr>
                <w:rFonts w:ascii="Arial" w:cs="Arial" w:eastAsia="Arial" w:hAnsi="Arial"/>
                <w:sz w:val="14"/>
                <w:szCs w:val="14"/>
                <w:color w:val="auto"/>
              </w:rPr>
              <w:t>1,450,470</w:t>
            </w:r>
          </w:p>
        </w:tc>
        <w:tc>
          <w:tcPr>
            <w:tcW w:w="40" w:type="dxa"/>
            <w:vAlign w:val="bottom"/>
          </w:tcPr>
          <w:p>
            <w:pPr>
              <w:spacing w:after="0"/>
              <w:rPr>
                <w:sz w:val="24"/>
                <w:szCs w:val="2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1,538,564</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2,000,372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1,687,397</w:t>
            </w: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1,724,774</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14,584,486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1 year later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1,027</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3,453</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3,475</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1,693</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6,872</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9,523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38,655</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137,774</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317,513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614,260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1,134,245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2 years later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129</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577</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3,441</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4,265</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8,398</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5,701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13,276</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71,537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197,750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191,387</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496,461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3 years later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53</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505</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3,902</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4,665</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2,263</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5,093</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22,757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89,213</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99,775</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228,226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4 years later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3,148</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4,684</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2,712</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7,511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24,184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44,274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86,872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5 years later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262</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4,008</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5,379</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2,762</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7,492</w:t>
            </w:r>
          </w:p>
        </w:tc>
        <w:tc>
          <w:tcPr>
            <w:tcW w:w="720" w:type="dxa"/>
            <w:vAlign w:val="bottom"/>
          </w:tcPr>
          <w:p>
            <w:pPr>
              <w:jc w:val="right"/>
              <w:spacing w:after="0"/>
              <w:rPr>
                <w:sz w:val="20"/>
                <w:szCs w:val="20"/>
                <w:color w:val="auto"/>
              </w:rPr>
            </w:pPr>
            <w:r>
              <w:rPr>
                <w:rFonts w:ascii="Arial" w:cs="Arial" w:eastAsia="Arial" w:hAnsi="Arial"/>
                <w:sz w:val="14"/>
                <w:szCs w:val="14"/>
                <w:color w:val="auto"/>
              </w:rPr>
              <w:t>15,491</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35,422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6 years later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w:t>
            </w:r>
          </w:p>
        </w:tc>
        <w:tc>
          <w:tcPr>
            <w:tcW w:w="720" w:type="dxa"/>
            <w:vAlign w:val="bottom"/>
          </w:tcPr>
          <w:p>
            <w:pPr>
              <w:jc w:val="right"/>
              <w:spacing w:after="0"/>
              <w:rPr>
                <w:sz w:val="20"/>
                <w:szCs w:val="20"/>
                <w:color w:val="auto"/>
              </w:rPr>
            </w:pPr>
            <w:r>
              <w:rPr>
                <w:rFonts w:ascii="Arial" w:cs="Arial" w:eastAsia="Arial" w:hAnsi="Arial"/>
                <w:sz w:val="14"/>
                <w:szCs w:val="14"/>
                <w:color w:val="auto"/>
              </w:rPr>
              <w:t>438</w:t>
            </w:r>
          </w:p>
        </w:tc>
        <w:tc>
          <w:tcPr>
            <w:tcW w:w="4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4,331</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7,395</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2,405</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4,663</w:t>
            </w:r>
          </w:p>
        </w:tc>
        <w:tc>
          <w:tcPr>
            <w:tcW w:w="720" w:type="dxa"/>
            <w:vAlign w:val="bottom"/>
          </w:tcPr>
          <w:p>
            <w:pPr>
              <w:jc w:val="right"/>
              <w:spacing w:after="0"/>
              <w:rPr>
                <w:sz w:val="20"/>
                <w:szCs w:val="20"/>
                <w:color w:val="auto"/>
              </w:rPr>
            </w:pPr>
            <w:r>
              <w:rPr>
                <w:rFonts w:ascii="Arial" w:cs="Arial" w:eastAsia="Arial" w:hAnsi="Arial"/>
                <w:sz w:val="14"/>
                <w:szCs w:val="14"/>
                <w:color w:val="auto"/>
              </w:rPr>
              <w:t>19,272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7 years later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93</w:t>
            </w:r>
          </w:p>
        </w:tc>
        <w:tc>
          <w:tcPr>
            <w:tcW w:w="4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358</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5,953</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6,962</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6,197</w:t>
            </w:r>
          </w:p>
        </w:tc>
        <w:tc>
          <w:tcPr>
            <w:tcW w:w="720" w:type="dxa"/>
            <w:vAlign w:val="bottom"/>
          </w:tcPr>
          <w:p>
            <w:pPr>
              <w:jc w:val="right"/>
              <w:spacing w:after="0"/>
              <w:rPr>
                <w:sz w:val="20"/>
                <w:szCs w:val="20"/>
                <w:color w:val="auto"/>
              </w:rPr>
            </w:pPr>
            <w:r>
              <w:rPr>
                <w:rFonts w:ascii="Arial" w:cs="Arial" w:eastAsia="Arial" w:hAnsi="Arial"/>
                <w:sz w:val="14"/>
                <w:szCs w:val="14"/>
                <w:color w:val="auto"/>
              </w:rPr>
              <w:t>19,563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8 years later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42</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4,639</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9,695</w:t>
            </w:r>
          </w:p>
        </w:tc>
        <w:tc>
          <w:tcPr>
            <w:tcW w:w="720" w:type="dxa"/>
            <w:vAlign w:val="bottom"/>
          </w:tcPr>
          <w:p>
            <w:pPr>
              <w:jc w:val="right"/>
              <w:spacing w:after="0"/>
              <w:rPr>
                <w:sz w:val="20"/>
                <w:szCs w:val="20"/>
                <w:color w:val="auto"/>
              </w:rPr>
            </w:pPr>
            <w:r>
              <w:rPr>
                <w:rFonts w:ascii="Arial" w:cs="Arial" w:eastAsia="Arial" w:hAnsi="Arial"/>
                <w:sz w:val="14"/>
                <w:szCs w:val="14"/>
                <w:color w:val="auto"/>
              </w:rPr>
              <w:t>14,442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20"/>
                <w:szCs w:val="20"/>
                <w:color w:val="auto"/>
              </w:rPr>
            </w:pPr>
            <w:r>
              <w:rPr>
                <w:rFonts w:ascii="Arial" w:cs="Arial" w:eastAsia="Arial" w:hAnsi="Arial"/>
                <w:sz w:val="14"/>
                <w:szCs w:val="14"/>
                <w:color w:val="auto"/>
              </w:rPr>
              <w:t>9 years later</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29</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1,648</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31"/>
        </w:trPr>
        <w:tc>
          <w:tcPr>
            <w:tcW w:w="2440" w:type="dxa"/>
            <w:vAlign w:val="bottom"/>
          </w:tcPr>
          <w:p>
            <w:pPr>
              <w:spacing w:after="0" w:line="131" w:lineRule="exact"/>
              <w:rPr>
                <w:sz w:val="20"/>
                <w:szCs w:val="20"/>
                <w:color w:val="auto"/>
              </w:rPr>
            </w:pPr>
            <w:r>
              <w:rPr>
                <w:rFonts w:ascii="Arial" w:cs="Arial" w:eastAsia="Arial" w:hAnsi="Arial"/>
                <w:sz w:val="14"/>
                <w:szCs w:val="14"/>
                <w:b w:val="1"/>
                <w:bCs w:val="1"/>
                <w:color w:val="auto"/>
              </w:rPr>
              <w:t>Accumulated gross claims and</w:t>
            </w: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b w:val="1"/>
                <w:bCs w:val="1"/>
                <w:color w:val="auto"/>
              </w:rPr>
              <w:t>other directly attributable</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b w:val="1"/>
                <w:bCs w:val="1"/>
                <w:color w:val="auto"/>
              </w:rPr>
              <w:t>expenses paid for the year of</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20"/>
                <w:szCs w:val="20"/>
                <w:color w:val="auto"/>
              </w:rPr>
            </w:pPr>
            <w:r>
              <w:rPr>
                <w:rFonts w:ascii="Arial" w:cs="Arial" w:eastAsia="Arial" w:hAnsi="Arial"/>
                <w:sz w:val="14"/>
                <w:szCs w:val="14"/>
                <w:b w:val="1"/>
                <w:bCs w:val="1"/>
                <w:color w:val="auto"/>
              </w:rPr>
              <w:t>occurrence</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1,398,617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967,573</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1,047,018</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1,638,543</w:t>
            </w: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1,177,450</w:t>
            </w:r>
          </w:p>
        </w:tc>
        <w:tc>
          <w:tcPr>
            <w:tcW w:w="720" w:type="dxa"/>
            <w:vAlign w:val="bottom"/>
          </w:tcPr>
          <w:p>
            <w:pPr>
              <w:jc w:val="right"/>
              <w:spacing w:after="0"/>
              <w:rPr>
                <w:sz w:val="20"/>
                <w:szCs w:val="20"/>
                <w:color w:val="auto"/>
              </w:rPr>
            </w:pPr>
            <w:r>
              <w:rPr>
                <w:rFonts w:ascii="Arial" w:cs="Arial" w:eastAsia="Arial" w:hAnsi="Arial"/>
                <w:sz w:val="14"/>
                <w:szCs w:val="14"/>
                <w:color w:val="auto"/>
              </w:rPr>
              <w:t>1,477,180</w:t>
            </w:r>
          </w:p>
        </w:tc>
        <w:tc>
          <w:tcPr>
            <w:tcW w:w="4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1,608,410</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2,256,156</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2,337,911</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2,712,164</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16,621,022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2440" w:type="dxa"/>
            <w:vAlign w:val="bottom"/>
          </w:tcPr>
          <w:p>
            <w:pPr>
              <w:spacing w:after="0"/>
              <w:rPr>
                <w:sz w:val="20"/>
                <w:szCs w:val="20"/>
                <w:color w:val="auto"/>
              </w:rPr>
            </w:pPr>
            <w:r>
              <w:rPr>
                <w:rFonts w:ascii="Arial" w:cs="Arial" w:eastAsia="Arial" w:hAnsi="Arial"/>
                <w:sz w:val="14"/>
                <w:szCs w:val="14"/>
                <w:color w:val="auto"/>
              </w:rPr>
              <w:t>Liabilities / Gross Obligations</w:t>
            </w: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accumulated by claims</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3,672</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6,335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8,955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13,396</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30,289</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34,361</w:t>
            </w:r>
          </w:p>
        </w:tc>
        <w:tc>
          <w:tcPr>
            <w:tcW w:w="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81,747</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321,842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839,516</w:t>
            </w: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1,421,449</w:t>
            </w:r>
          </w:p>
        </w:tc>
        <w:tc>
          <w:tcPr>
            <w:tcW w:w="720" w:type="dxa"/>
            <w:vAlign w:val="bottom"/>
          </w:tcPr>
          <w:p>
            <w:pPr>
              <w:jc w:val="right"/>
              <w:spacing w:after="0"/>
              <w:rPr>
                <w:sz w:val="20"/>
                <w:szCs w:val="20"/>
                <w:color w:val="auto"/>
              </w:rPr>
            </w:pPr>
            <w:r>
              <w:rPr>
                <w:rFonts w:ascii="Arial" w:cs="Arial" w:eastAsia="Arial" w:hAnsi="Arial"/>
                <w:sz w:val="14"/>
                <w:szCs w:val="14"/>
                <w:color w:val="auto"/>
              </w:rPr>
              <w:t>2,761,562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Discount event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(527.00)</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(775)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(1,207)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(1,687)</w:t>
            </w: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(2,890)</w:t>
            </w:r>
          </w:p>
        </w:tc>
        <w:tc>
          <w:tcPr>
            <w:tcW w:w="720" w:type="dxa"/>
            <w:vAlign w:val="bottom"/>
          </w:tcPr>
          <w:p>
            <w:pPr>
              <w:jc w:val="right"/>
              <w:spacing w:after="0"/>
              <w:rPr>
                <w:sz w:val="20"/>
                <w:szCs w:val="20"/>
                <w:color w:val="auto"/>
              </w:rPr>
            </w:pPr>
            <w:r>
              <w:rPr>
                <w:rFonts w:ascii="Arial" w:cs="Arial" w:eastAsia="Arial" w:hAnsi="Arial"/>
                <w:sz w:val="14"/>
                <w:szCs w:val="14"/>
                <w:color w:val="auto"/>
              </w:rPr>
              <w:t>(3,597)</w:t>
            </w:r>
          </w:p>
        </w:tc>
        <w:tc>
          <w:tcPr>
            <w:tcW w:w="4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(7,361)</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(27,666)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(64,783)</w:t>
            </w: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(83,109)</w:t>
            </w:r>
          </w:p>
        </w:tc>
        <w:tc>
          <w:tcPr>
            <w:tcW w:w="720" w:type="dxa"/>
            <w:vAlign w:val="bottom"/>
          </w:tcPr>
          <w:p>
            <w:pPr>
              <w:jc w:val="right"/>
              <w:spacing w:after="0"/>
              <w:rPr>
                <w:sz w:val="20"/>
                <w:szCs w:val="20"/>
                <w:color w:val="auto"/>
              </w:rPr>
            </w:pPr>
            <w:r>
              <w:rPr>
                <w:rFonts w:ascii="Arial" w:cs="Arial" w:eastAsia="Arial" w:hAnsi="Arial"/>
                <w:sz w:val="14"/>
                <w:szCs w:val="14"/>
                <w:color w:val="auto"/>
              </w:rPr>
              <w:t>(193,602)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Effect of Risk Adjustment for non-</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financial risk</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21,590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21,590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rPr>
                <w:sz w:val="20"/>
                <w:szCs w:val="20"/>
                <w:color w:val="auto"/>
              </w:rPr>
            </w:pPr>
            <w:r>
              <w:rPr>
                <w:rFonts w:ascii="Arial" w:cs="Arial" w:eastAsia="Arial" w:hAnsi="Arial"/>
                <w:sz w:val="14"/>
                <w:szCs w:val="14"/>
                <w:color w:val="auto"/>
              </w:rPr>
              <w:t>Gross LIC of the Temporary Regime</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20"/>
                <w:szCs w:val="20"/>
                <w:color w:val="auto"/>
              </w:rPr>
            </w:pPr>
            <w:r>
              <w:rPr>
                <w:rFonts w:ascii="Arial" w:cs="Arial" w:eastAsia="Arial" w:hAnsi="Arial"/>
                <w:sz w:val="14"/>
                <w:szCs w:val="14"/>
                <w:color w:val="auto"/>
              </w:rPr>
              <w:t>and Definitive Regime</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41,451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line="151" w:lineRule="exact"/>
              <w:rPr>
                <w:sz w:val="20"/>
                <w:szCs w:val="20"/>
                <w:color w:val="auto"/>
              </w:rPr>
            </w:pPr>
            <w:r>
              <w:rPr>
                <w:rFonts w:ascii="Arial" w:cs="Arial" w:eastAsia="Arial" w:hAnsi="Arial"/>
                <w:sz w:val="14"/>
                <w:szCs w:val="14"/>
                <w:b w:val="1"/>
                <w:bCs w:val="1"/>
                <w:color w:val="auto"/>
              </w:rPr>
              <w:t>Gross provision for incurred</w:t>
            </w: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440" w:type="dxa"/>
            <w:vAlign w:val="bottom"/>
            <w:vMerge w:val="continue"/>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3,145</w:t>
            </w:r>
          </w:p>
        </w:tc>
        <w:tc>
          <w:tcPr>
            <w:tcW w:w="8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5,560</w:t>
            </w: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7,748</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11,709</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27,399</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30,764</w:t>
            </w:r>
          </w:p>
        </w:tc>
        <w:tc>
          <w:tcPr>
            <w:tcW w:w="4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74,386</w:t>
            </w:r>
          </w:p>
        </w:tc>
        <w:tc>
          <w:tcPr>
            <w:tcW w:w="12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294,176</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774,733</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1,359,930</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2,631,001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40" w:type="dxa"/>
            <w:vAlign w:val="bottom"/>
          </w:tcPr>
          <w:p>
            <w:pPr>
              <w:spacing w:after="0"/>
              <w:rPr>
                <w:sz w:val="20"/>
                <w:szCs w:val="20"/>
                <w:color w:val="auto"/>
              </w:rPr>
            </w:pPr>
            <w:r>
              <w:rPr>
                <w:rFonts w:ascii="Arial" w:cs="Arial" w:eastAsia="Arial" w:hAnsi="Arial"/>
                <w:sz w:val="14"/>
                <w:szCs w:val="14"/>
                <w:b w:val="1"/>
                <w:bCs w:val="1"/>
                <w:color w:val="auto"/>
              </w:rPr>
              <w:t>claims</w:t>
            </w:r>
          </w:p>
        </w:tc>
        <w:tc>
          <w:tcPr>
            <w:tcW w:w="76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0"/>
        </w:trPr>
        <w:tc>
          <w:tcPr>
            <w:tcW w:w="2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3"/>
          </w:tcPr>
          <w:p>
            <w:pPr>
              <w:jc w:val="right"/>
              <w:ind w:right="530"/>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64" w:name="page165"/>
    <w:bookmarkEnd w:id="164"/>
    <w:p>
      <w:pPr>
        <w:spacing w:after="0"/>
        <w:tabs>
          <w:tab w:leader="none" w:pos="520" w:val="left"/>
        </w:tabs>
        <w:rPr>
          <w:sz w:val="20"/>
          <w:szCs w:val="20"/>
          <w:color w:val="auto"/>
        </w:rPr>
      </w:pPr>
      <w:r>
        <w:rPr>
          <w:rFonts w:ascii="Arial" w:cs="Arial" w:eastAsia="Arial" w:hAnsi="Arial"/>
          <w:sz w:val="16"/>
          <w:szCs w:val="16"/>
          <w:b w:val="1"/>
          <w:bCs w:val="1"/>
          <w:color w:val="auto"/>
        </w:rPr>
        <w:t>30.10</w:t>
      </w:r>
      <w:r>
        <w:rPr>
          <w:sz w:val="20"/>
          <w:szCs w:val="20"/>
          <w:color w:val="auto"/>
        </w:rPr>
        <w:tab/>
      </w:r>
      <w:r>
        <w:rPr>
          <w:rFonts w:ascii="Arial" w:cs="Arial" w:eastAsia="Arial" w:hAnsi="Arial"/>
          <w:sz w:val="14"/>
          <w:szCs w:val="14"/>
          <w:b w:val="1"/>
          <w:bCs w:val="1"/>
          <w:color w:val="auto"/>
        </w:rPr>
        <w:t>Capital management -</w:t>
      </w:r>
    </w:p>
    <w:p>
      <w:pPr>
        <w:spacing w:after="0" w:line="156" w:lineRule="exact"/>
        <w:rPr>
          <w:sz w:val="20"/>
          <w:szCs w:val="20"/>
          <w:color w:val="auto"/>
        </w:rPr>
      </w:pPr>
    </w:p>
    <w:p>
      <w:pPr>
        <w:ind w:left="560" w:right="220"/>
        <w:spacing w:after="0" w:line="236" w:lineRule="auto"/>
        <w:rPr>
          <w:sz w:val="20"/>
          <w:szCs w:val="20"/>
          <w:color w:val="auto"/>
        </w:rPr>
      </w:pPr>
      <w:r>
        <w:rPr>
          <w:rFonts w:ascii="Arial" w:cs="Arial" w:eastAsia="Arial" w:hAnsi="Arial"/>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 Furthermore, capital management responds to market expectations in relation to the solvency of the Group and to support the growth of the businesses considered in the strategic planning. In this way, the capital maintained by the Group enables it to assume unexpected losses in normal conditions and conditions of severe stress.</w:t>
      </w:r>
    </w:p>
    <w:p>
      <w:pPr>
        <w:spacing w:after="0" w:line="134" w:lineRule="exact"/>
        <w:rPr>
          <w:sz w:val="20"/>
          <w:szCs w:val="20"/>
          <w:color w:val="auto"/>
        </w:rPr>
      </w:pPr>
    </w:p>
    <w:p>
      <w:pPr>
        <w:ind w:left="560"/>
        <w:spacing w:after="0" w:line="238" w:lineRule="auto"/>
        <w:rPr>
          <w:sz w:val="20"/>
          <w:szCs w:val="20"/>
          <w:color w:val="auto"/>
        </w:rPr>
      </w:pPr>
      <w:r>
        <w:rPr>
          <w:rFonts w:ascii="Arial" w:cs="Arial" w:eastAsia="Arial" w:hAnsi="Arial"/>
          <w:sz w:val="16"/>
          <w:szCs w:val="16"/>
          <w:color w:val="auto"/>
        </w:rPr>
        <w:t>The Group’s objectives when managing capital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 in line with the limits and tolerances established in the declaration of Risk Appetite.</w:t>
      </w:r>
    </w:p>
    <w:p>
      <w:pPr>
        <w:spacing w:after="0" w:line="134" w:lineRule="exact"/>
        <w:rPr>
          <w:sz w:val="20"/>
          <w:szCs w:val="20"/>
          <w:color w:val="auto"/>
        </w:rPr>
      </w:pPr>
    </w:p>
    <w:p>
      <w:pPr>
        <w:ind w:left="560" w:right="100"/>
        <w:spacing w:after="0" w:line="238" w:lineRule="auto"/>
        <w:rPr>
          <w:sz w:val="20"/>
          <w:szCs w:val="20"/>
          <w:color w:val="auto"/>
        </w:rPr>
      </w:pPr>
      <w:r>
        <w:rPr>
          <w:rFonts w:ascii="Arial" w:cs="Arial" w:eastAsia="Arial" w:hAnsi="Arial"/>
          <w:sz w:val="16"/>
          <w:szCs w:val="16"/>
          <w:color w:val="auto"/>
        </w:rPr>
        <w:t>As of December 31, 2024, and 2023, the regulatory capital for the subsidiaries amounted to approximately S/40,009.5 million and S/33,452.6 million, respectively. The regulatory capital has been determined in accordance with SBS regulations in force as of said dates. Under the SBS regulations, the Group’s regulatory capital exceeds by approximately S/10,885.9 million the minimum regulatory capital required as of December 31, 2024 (approximately S/7,731.9 million as of December 31, 2023).</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150735"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165" w:name="page166"/>
    <w:bookmarkEnd w:id="165"/>
    <w:p>
      <w:pPr>
        <w:spacing w:after="0"/>
        <w:tabs>
          <w:tab w:leader="none" w:pos="560" w:val="left"/>
        </w:tabs>
        <w:rPr>
          <w:sz w:val="20"/>
          <w:szCs w:val="20"/>
          <w:color w:val="auto"/>
        </w:rPr>
      </w:pPr>
      <w:r>
        <w:rPr>
          <w:rFonts w:ascii="Arial" w:cs="Arial" w:eastAsia="Arial" w:hAnsi="Arial"/>
          <w:sz w:val="14"/>
          <w:szCs w:val="14"/>
          <w:b w:val="1"/>
          <w:bCs w:val="1"/>
          <w:color w:val="auto"/>
        </w:rPr>
        <w:t>30.11</w:t>
      </w:r>
      <w:r>
        <w:rPr>
          <w:sz w:val="20"/>
          <w:szCs w:val="20"/>
          <w:color w:val="auto"/>
        </w:rPr>
        <w:tab/>
      </w:r>
      <w:r>
        <w:rPr>
          <w:rFonts w:ascii="Arial" w:cs="Arial" w:eastAsia="Arial" w:hAnsi="Arial"/>
          <w:sz w:val="14"/>
          <w:szCs w:val="14"/>
          <w:b w:val="1"/>
          <w:bCs w:val="1"/>
          <w:color w:val="auto"/>
        </w:rPr>
        <w:t>Fair values –</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Financial instruments recorded at fair value and fair value hierarchy –</w:t>
      </w:r>
    </w:p>
    <w:p>
      <w:pPr>
        <w:spacing w:after="0" w:line="154" w:lineRule="exact"/>
        <w:rPr>
          <w:sz w:val="20"/>
          <w:szCs w:val="20"/>
          <w:color w:val="auto"/>
        </w:rPr>
      </w:pPr>
    </w:p>
    <w:p>
      <w:pPr>
        <w:ind w:left="820" w:right="100"/>
        <w:spacing w:after="0" w:line="255" w:lineRule="auto"/>
        <w:rPr>
          <w:sz w:val="20"/>
          <w:szCs w:val="20"/>
          <w:color w:val="auto"/>
        </w:rPr>
      </w:pPr>
      <w:r>
        <w:rPr>
          <w:rFonts w:ascii="Arial" w:cs="Arial" w:eastAsia="Arial" w:hAnsi="Arial"/>
          <w:sz w:val="16"/>
          <w:szCs w:val="16"/>
          <w:color w:val="auto"/>
        </w:rPr>
        <w:t>The following table analyses financial instruments measured at fair value at the reporting date, by the level in the fair value hierarchy into which the fair value measurement is categorized. The amounts are based on the values recognized in the consolidated statement of financial position:</w:t>
      </w:r>
    </w:p>
    <w:p>
      <w:pPr>
        <w:spacing w:after="0" w:line="112" w:lineRule="exact"/>
        <w:rPr>
          <w:sz w:val="20"/>
          <w:szCs w:val="20"/>
          <w:color w:val="auto"/>
        </w:rPr>
      </w:pPr>
    </w:p>
    <w:tbl>
      <w:tblPr>
        <w:tblLayout w:type="fixed"/>
        <w:tblInd w:w="3580" w:type="dxa"/>
        <w:tblCellMar>
          <w:top w:w="0" w:type="dxa"/>
          <w:left w:w="0" w:type="dxa"/>
          <w:bottom w:w="0" w:type="dxa"/>
          <w:right w:w="0" w:type="dxa"/>
        </w:tblCellMar>
      </w:tblPr>
      <w:tr>
        <w:trPr>
          <w:trHeight w:val="192"/>
        </w:trPr>
        <w:tc>
          <w:tcPr>
            <w:tcW w:w="1280" w:type="dxa"/>
            <w:vAlign w:val="bottom"/>
            <w:gridSpan w:val="3"/>
          </w:tcPr>
          <w:p>
            <w:pPr>
              <w:ind w:left="50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75"/>
        </w:trPr>
        <w:tc>
          <w:tcPr>
            <w:tcW w:w="50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Note</w:t>
            </w:r>
          </w:p>
        </w:tc>
        <w:tc>
          <w:tcPr>
            <w:tcW w:w="880" w:type="dxa"/>
            <w:vAlign w:val="bottom"/>
            <w:tcBorders>
              <w:top w:val="single" w:sz="8" w:color="auto"/>
            </w:tcBorders>
            <w:gridSpan w:val="2"/>
          </w:tcPr>
          <w:p>
            <w:pPr>
              <w:spacing w:after="0" w:line="175" w:lineRule="exact"/>
              <w:rPr>
                <w:sz w:val="20"/>
                <w:szCs w:val="20"/>
                <w:color w:val="auto"/>
              </w:rPr>
            </w:pPr>
            <w:r>
              <w:rPr>
                <w:rFonts w:ascii="Arial" w:cs="Arial" w:eastAsia="Arial" w:hAnsi="Arial"/>
                <w:sz w:val="16"/>
                <w:szCs w:val="16"/>
                <w:b w:val="1"/>
                <w:bCs w:val="1"/>
                <w:color w:val="auto"/>
              </w:rPr>
              <w:t>Level 1</w:t>
            </w:r>
          </w:p>
        </w:tc>
        <w:tc>
          <w:tcPr>
            <w:tcW w:w="78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Level 2</w:t>
            </w:r>
          </w:p>
        </w:tc>
        <w:tc>
          <w:tcPr>
            <w:tcW w:w="900" w:type="dxa"/>
            <w:vAlign w:val="bottom"/>
            <w:tcBorders>
              <w:top w:val="single" w:sz="8" w:color="auto"/>
            </w:tcBorders>
            <w:gridSpan w:val="3"/>
          </w:tcPr>
          <w:p>
            <w:pPr>
              <w:ind w:left="80"/>
              <w:spacing w:after="0" w:line="175" w:lineRule="exact"/>
              <w:rPr>
                <w:sz w:val="20"/>
                <w:szCs w:val="20"/>
                <w:color w:val="auto"/>
              </w:rPr>
            </w:pPr>
            <w:r>
              <w:rPr>
                <w:rFonts w:ascii="Arial" w:cs="Arial" w:eastAsia="Arial" w:hAnsi="Arial"/>
                <w:sz w:val="16"/>
                <w:szCs w:val="16"/>
                <w:b w:val="1"/>
                <w:bCs w:val="1"/>
                <w:color w:val="auto"/>
              </w:rPr>
              <w:t>Level 3</w:t>
            </w:r>
          </w:p>
        </w:tc>
        <w:tc>
          <w:tcPr>
            <w:tcW w:w="78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w:t>
            </w:r>
          </w:p>
        </w:tc>
        <w:tc>
          <w:tcPr>
            <w:tcW w:w="500" w:type="dxa"/>
            <w:vAlign w:val="bottom"/>
          </w:tcPr>
          <w:p>
            <w:pPr>
              <w:spacing w:after="0"/>
              <w:rPr>
                <w:sz w:val="15"/>
                <w:szCs w:val="15"/>
                <w:color w:val="auto"/>
              </w:rPr>
            </w:pPr>
          </w:p>
        </w:tc>
        <w:tc>
          <w:tcPr>
            <w:tcW w:w="76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Level 1</w:t>
            </w:r>
          </w:p>
        </w:tc>
        <w:tc>
          <w:tcPr>
            <w:tcW w:w="880" w:type="dxa"/>
            <w:vAlign w:val="bottom"/>
            <w:tcBorders>
              <w:top w:val="single" w:sz="8" w:color="auto"/>
            </w:tcBorders>
            <w:gridSpan w:val="2"/>
          </w:tcPr>
          <w:p>
            <w:pPr>
              <w:ind w:left="100"/>
              <w:spacing w:after="0" w:line="175" w:lineRule="exact"/>
              <w:rPr>
                <w:sz w:val="20"/>
                <w:szCs w:val="20"/>
                <w:color w:val="auto"/>
              </w:rPr>
            </w:pPr>
            <w:r>
              <w:rPr>
                <w:rFonts w:ascii="Arial" w:cs="Arial" w:eastAsia="Arial" w:hAnsi="Arial"/>
                <w:sz w:val="16"/>
                <w:szCs w:val="16"/>
                <w:b w:val="1"/>
                <w:bCs w:val="1"/>
                <w:color w:val="auto"/>
              </w:rPr>
              <w:t>Level 2</w:t>
            </w:r>
          </w:p>
        </w:tc>
        <w:tc>
          <w:tcPr>
            <w:tcW w:w="920" w:type="dxa"/>
            <w:vAlign w:val="bottom"/>
            <w:tcBorders>
              <w:top w:val="single" w:sz="8" w:color="auto"/>
            </w:tcBorders>
            <w:gridSpan w:val="3"/>
          </w:tcPr>
          <w:p>
            <w:pPr>
              <w:ind w:left="100"/>
              <w:spacing w:after="0" w:line="175" w:lineRule="exact"/>
              <w:rPr>
                <w:sz w:val="20"/>
                <w:szCs w:val="20"/>
                <w:color w:val="auto"/>
              </w:rPr>
            </w:pPr>
            <w:r>
              <w:rPr>
                <w:rFonts w:ascii="Arial" w:cs="Arial" w:eastAsia="Arial" w:hAnsi="Arial"/>
                <w:sz w:val="16"/>
                <w:szCs w:val="16"/>
                <w:b w:val="1"/>
                <w:bCs w:val="1"/>
                <w:color w:val="auto"/>
              </w:rPr>
              <w:t>Level 3</w:t>
            </w:r>
          </w:p>
        </w:tc>
        <w:tc>
          <w:tcPr>
            <w:tcW w:w="78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Total</w:t>
            </w:r>
          </w:p>
        </w:tc>
      </w:tr>
      <w:tr>
        <w:trPr>
          <w:trHeight w:val="166"/>
        </w:trPr>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500" w:type="dxa"/>
            <w:vAlign w:val="bottom"/>
          </w:tcPr>
          <w:p>
            <w:pPr>
              <w:spacing w:after="0"/>
              <w:rPr>
                <w:sz w:val="14"/>
                <w:szCs w:val="14"/>
                <w:color w:val="auto"/>
              </w:rPr>
            </w:pPr>
          </w:p>
        </w:tc>
        <w:tc>
          <w:tcPr>
            <w:tcW w:w="76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rPr>
              <w:t>S/(000)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ind w:left="840"/>
              <w:spacing w:after="0" w:line="159" w:lineRule="exact"/>
              <w:rPr>
                <w:sz w:val="20"/>
                <w:szCs w:val="20"/>
                <w:color w:val="auto"/>
              </w:rPr>
            </w:pPr>
            <w:r>
              <w:rPr>
                <w:rFonts w:ascii="Arial" w:cs="Arial" w:eastAsia="Arial" w:hAnsi="Arial"/>
                <w:sz w:val="16"/>
                <w:szCs w:val="16"/>
                <w:b w:val="1"/>
                <w:bCs w:val="1"/>
                <w:color w:val="auto"/>
              </w:rPr>
              <w:t>Financial assets</w:t>
            </w: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540" w:type="dxa"/>
            <w:vAlign w:val="bottom"/>
          </w:tcPr>
          <w:p>
            <w:pPr>
              <w:ind w:left="840"/>
              <w:spacing w:after="0" w:line="177" w:lineRule="exact"/>
              <w:rPr>
                <w:sz w:val="20"/>
                <w:szCs w:val="20"/>
                <w:color w:val="auto"/>
              </w:rPr>
            </w:pPr>
            <w:r>
              <w:rPr>
                <w:rFonts w:ascii="Arial" w:cs="Arial" w:eastAsia="Arial" w:hAnsi="Arial"/>
                <w:sz w:val="16"/>
                <w:szCs w:val="16"/>
                <w:b w:val="1"/>
                <w:bCs w:val="1"/>
                <w:color w:val="auto"/>
              </w:rPr>
              <w:t>Derivative financial instruments:</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Interest rate swaps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489,602</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489,602</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384,238</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384,238</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Currency swaps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219,648</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219,648</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230,818</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230,818</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Foreign currency forwards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161,495</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161,495</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334,562</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334,562</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Cross currency swaps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29,551</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29,551</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35,754</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35,754</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Foreign exchange options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3,018</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3,018</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1,104</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201"/>
        </w:trPr>
        <w:tc>
          <w:tcPr>
            <w:tcW w:w="3540" w:type="dxa"/>
            <w:vAlign w:val="bottom"/>
          </w:tcPr>
          <w:p>
            <w:pPr>
              <w:ind w:left="980"/>
              <w:spacing w:after="0"/>
              <w:rPr>
                <w:sz w:val="20"/>
                <w:szCs w:val="20"/>
                <w:color w:val="auto"/>
              </w:rPr>
            </w:pPr>
            <w:r>
              <w:rPr>
                <w:rFonts w:ascii="Arial" w:cs="Arial" w:eastAsia="Arial" w:hAnsi="Arial"/>
                <w:sz w:val="16"/>
                <w:szCs w:val="16"/>
                <w:color w:val="auto"/>
              </w:rPr>
              <w:t>Futures</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auto"/>
              </w:rPr>
              <w:t>12(c)</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1,477</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6"/>
                <w:szCs w:val="16"/>
                <w:color w:val="auto"/>
              </w:rPr>
              <w:t>1,477</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1,187</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904,791</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904,791</w:t>
            </w:r>
          </w:p>
        </w:tc>
        <w:tc>
          <w:tcPr>
            <w:tcW w:w="50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987,663</w:t>
            </w:r>
          </w:p>
        </w:tc>
        <w:tc>
          <w:tcPr>
            <w:tcW w:w="1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987,663</w:t>
            </w:r>
          </w:p>
        </w:tc>
        <w:tc>
          <w:tcPr>
            <w:tcW w:w="0" w:type="dxa"/>
            <w:vAlign w:val="bottom"/>
          </w:tcPr>
          <w:p>
            <w:pPr>
              <w:spacing w:after="0"/>
              <w:rPr>
                <w:sz w:val="1"/>
                <w:szCs w:val="1"/>
                <w:color w:val="auto"/>
              </w:rPr>
            </w:pPr>
          </w:p>
        </w:tc>
      </w:tr>
      <w:tr>
        <w:trPr>
          <w:trHeight w:val="294"/>
        </w:trPr>
        <w:tc>
          <w:tcPr>
            <w:tcW w:w="3540" w:type="dxa"/>
            <w:vAlign w:val="bottom"/>
          </w:tcPr>
          <w:p>
            <w:pPr>
              <w:ind w:left="840"/>
              <w:spacing w:after="0"/>
              <w:rPr>
                <w:sz w:val="20"/>
                <w:szCs w:val="20"/>
                <w:color w:val="auto"/>
              </w:rPr>
            </w:pPr>
            <w:r>
              <w:rPr>
                <w:rFonts w:ascii="Arial" w:cs="Arial" w:eastAsia="Arial" w:hAnsi="Arial"/>
                <w:sz w:val="16"/>
                <w:szCs w:val="16"/>
                <w:color w:val="auto"/>
                <w:w w:val="98"/>
              </w:rPr>
              <w:t>Investments at fair value through profit</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rPr>
              <w:t>of loss</w:t>
            </w:r>
          </w:p>
        </w:tc>
        <w:tc>
          <w:tcPr>
            <w:tcW w:w="540" w:type="dxa"/>
            <w:vAlign w:val="bottom"/>
          </w:tcPr>
          <w:p>
            <w:pPr>
              <w:ind w:left="40"/>
              <w:spacing w:after="0" w:line="175" w:lineRule="exact"/>
              <w:rPr>
                <w:sz w:val="20"/>
                <w:szCs w:val="20"/>
                <w:color w:val="auto"/>
              </w:rPr>
            </w:pPr>
            <w:r>
              <w:rPr>
                <w:rFonts w:ascii="Arial" w:cs="Arial" w:eastAsia="Arial" w:hAnsi="Arial"/>
                <w:sz w:val="16"/>
                <w:szCs w:val="16"/>
                <w:color w:val="auto"/>
              </w:rPr>
              <w:t>6(a)</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2,512,497</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625,116</w:t>
            </w: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1,577,730</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4,715,343</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2,983,312</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919,499</w:t>
            </w:r>
          </w:p>
        </w:tc>
        <w:tc>
          <w:tcPr>
            <w:tcW w:w="8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w w:val="98"/>
              </w:rPr>
              <w:t>1,079,850</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4,982,661</w:t>
            </w: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color w:val="auto"/>
              </w:rPr>
              <w:t>Financial assets at fair value through</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40" w:type="dxa"/>
            <w:vAlign w:val="bottom"/>
          </w:tcPr>
          <w:p>
            <w:pPr>
              <w:ind w:left="840"/>
              <w:spacing w:after="0"/>
              <w:rPr>
                <w:sz w:val="20"/>
                <w:szCs w:val="20"/>
                <w:color w:val="auto"/>
              </w:rPr>
            </w:pPr>
            <w:r>
              <w:rPr>
                <w:rFonts w:ascii="Arial" w:cs="Arial" w:eastAsia="Arial" w:hAnsi="Arial"/>
                <w:sz w:val="16"/>
                <w:szCs w:val="16"/>
                <w:color w:val="auto"/>
              </w:rPr>
              <w:t>profit of loss</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930,627</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2,107</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6"/>
                <w:szCs w:val="16"/>
                <w:color w:val="auto"/>
              </w:rPr>
              <w:t>932,734</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810,582</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350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810,932</w:t>
            </w:r>
          </w:p>
        </w:tc>
        <w:tc>
          <w:tcPr>
            <w:tcW w:w="0" w:type="dxa"/>
            <w:vAlign w:val="bottom"/>
          </w:tcPr>
          <w:p>
            <w:pPr>
              <w:spacing w:after="0"/>
              <w:rPr>
                <w:sz w:val="1"/>
                <w:szCs w:val="1"/>
                <w:color w:val="auto"/>
              </w:rPr>
            </w:pPr>
          </w:p>
        </w:tc>
      </w:tr>
      <w:tr>
        <w:trPr>
          <w:trHeight w:val="307"/>
        </w:trPr>
        <w:tc>
          <w:tcPr>
            <w:tcW w:w="3540" w:type="dxa"/>
            <w:vAlign w:val="bottom"/>
          </w:tcPr>
          <w:p>
            <w:pPr>
              <w:ind w:left="840"/>
              <w:spacing w:after="0"/>
              <w:rPr>
                <w:sz w:val="20"/>
                <w:szCs w:val="20"/>
                <w:color w:val="auto"/>
              </w:rPr>
            </w:pPr>
            <w:r>
              <w:rPr>
                <w:rFonts w:ascii="Arial" w:cs="Arial" w:eastAsia="Arial" w:hAnsi="Arial"/>
                <w:sz w:val="16"/>
                <w:szCs w:val="16"/>
                <w:b w:val="1"/>
                <w:bCs w:val="1"/>
                <w:color w:val="auto"/>
              </w:rPr>
              <w:t>Investments at fair value through</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840"/>
              <w:spacing w:after="0" w:line="175" w:lineRule="exact"/>
              <w:rPr>
                <w:sz w:val="20"/>
                <w:szCs w:val="20"/>
                <w:color w:val="auto"/>
              </w:rPr>
            </w:pPr>
            <w:r>
              <w:rPr>
                <w:rFonts w:ascii="Arial" w:cs="Arial" w:eastAsia="Arial" w:hAnsi="Arial"/>
                <w:sz w:val="16"/>
                <w:szCs w:val="16"/>
                <w:b w:val="1"/>
                <w:bCs w:val="1"/>
                <w:color w:val="auto"/>
              </w:rPr>
              <w:t>other</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40" w:type="dxa"/>
            <w:vAlign w:val="bottom"/>
          </w:tcPr>
          <w:p>
            <w:pPr>
              <w:ind w:left="840"/>
              <w:spacing w:after="0" w:line="177" w:lineRule="exact"/>
              <w:rPr>
                <w:sz w:val="20"/>
                <w:szCs w:val="20"/>
                <w:color w:val="auto"/>
              </w:rPr>
            </w:pPr>
            <w:r>
              <w:rPr>
                <w:rFonts w:ascii="Arial" w:cs="Arial" w:eastAsia="Arial" w:hAnsi="Arial"/>
                <w:sz w:val="16"/>
                <w:szCs w:val="16"/>
                <w:b w:val="1"/>
                <w:bCs w:val="1"/>
                <w:color w:val="auto"/>
              </w:rPr>
              <w:t>comprehensive income: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Debt Instruments</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Corporate bonds</w:t>
            </w:r>
          </w:p>
        </w:tc>
        <w:tc>
          <w:tcPr>
            <w:tcW w:w="540" w:type="dxa"/>
            <w:vAlign w:val="bottom"/>
          </w:tcPr>
          <w:p>
            <w:pPr>
              <w:spacing w:after="0"/>
              <w:rPr>
                <w:sz w:val="15"/>
                <w:szCs w:val="15"/>
                <w:color w:val="auto"/>
              </w:rPr>
            </w:pP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7,094,584</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7,292,412</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w w:val="94"/>
              </w:rPr>
              <w:t>14,386,996</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6,176,329</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7,139,979</w:t>
            </w:r>
          </w:p>
        </w:tc>
        <w:tc>
          <w:tcPr>
            <w:tcW w:w="8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68,842</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4"/>
              </w:rPr>
              <w:t>13,385,150</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Government bonds</w:t>
            </w:r>
          </w:p>
        </w:tc>
        <w:tc>
          <w:tcPr>
            <w:tcW w:w="540" w:type="dxa"/>
            <w:vAlign w:val="bottom"/>
          </w:tcPr>
          <w:p>
            <w:pPr>
              <w:spacing w:after="0"/>
              <w:rPr>
                <w:sz w:val="15"/>
                <w:szCs w:val="15"/>
                <w:color w:val="auto"/>
              </w:rPr>
            </w:pP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w w:val="94"/>
              </w:rPr>
              <w:t>11,565,309</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902,942</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w w:val="94"/>
              </w:rPr>
              <w:t>12,468,251</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9,722,319</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867,883</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4"/>
              </w:rPr>
              <w:t>10,590,202</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Certificates of deposit BCRP</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w w:val="94"/>
              </w:rPr>
              <w:t>11,435,757</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w w:val="94"/>
              </w:rPr>
              <w:t>11,435,757</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w w:val="94"/>
              </w:rPr>
              <w:t>10,935,253</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4"/>
              </w:rPr>
              <w:t>10,935,253</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Securitization instruments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714,738</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714,738</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683,930</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683,930</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Negotiable certificates of deposit</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438,988</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438,988</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482,047</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482,047</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Subordinated bonds</w:t>
            </w:r>
          </w:p>
        </w:tc>
        <w:tc>
          <w:tcPr>
            <w:tcW w:w="540" w:type="dxa"/>
            <w:vAlign w:val="bottom"/>
          </w:tcPr>
          <w:p>
            <w:pPr>
              <w:spacing w:after="0"/>
              <w:rPr>
                <w:sz w:val="15"/>
                <w:szCs w:val="15"/>
                <w:color w:val="auto"/>
              </w:rPr>
            </w:pP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42,493</w:t>
            </w: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127,455</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169,948</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71,590</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209,349</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280,939</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Other instruments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282,104</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98,592</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380,696</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297,220</w:t>
            </w:r>
          </w:p>
        </w:tc>
        <w:tc>
          <w:tcPr>
            <w:tcW w:w="82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54,397</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351,617</w:t>
            </w:r>
          </w:p>
        </w:tc>
        <w:tc>
          <w:tcPr>
            <w:tcW w:w="0" w:type="dxa"/>
            <w:vAlign w:val="bottom"/>
          </w:tcPr>
          <w:p>
            <w:pPr>
              <w:spacing w:after="0"/>
              <w:rPr>
                <w:sz w:val="1"/>
                <w:szCs w:val="1"/>
                <w:color w:val="auto"/>
              </w:rPr>
            </w:pPr>
          </w:p>
        </w:tc>
      </w:tr>
      <w:tr>
        <w:trPr>
          <w:trHeight w:val="201"/>
        </w:trPr>
        <w:tc>
          <w:tcPr>
            <w:tcW w:w="3540" w:type="dxa"/>
            <w:vAlign w:val="bottom"/>
          </w:tcPr>
          <w:p>
            <w:pPr>
              <w:ind w:left="980"/>
              <w:spacing w:after="0"/>
              <w:rPr>
                <w:sz w:val="20"/>
                <w:szCs w:val="20"/>
                <w:color w:val="auto"/>
              </w:rPr>
            </w:pPr>
            <w:r>
              <w:rPr>
                <w:rFonts w:ascii="Arial" w:cs="Arial" w:eastAsia="Arial" w:hAnsi="Arial"/>
                <w:sz w:val="16"/>
                <w:szCs w:val="16"/>
                <w:color w:val="auto"/>
              </w:rPr>
              <w:t>Equity instruments</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auto"/>
              </w:rPr>
              <w:t>6(b)</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15,307</w:t>
            </w:r>
          </w:p>
        </w:tc>
        <w:tc>
          <w:tcPr>
            <w:tcW w:w="780" w:type="dxa"/>
            <w:vAlign w:val="bottom"/>
          </w:tcPr>
          <w:p>
            <w:pPr>
              <w:jc w:val="right"/>
              <w:spacing w:after="0"/>
              <w:rPr>
                <w:sz w:val="20"/>
                <w:szCs w:val="20"/>
                <w:color w:val="auto"/>
              </w:rPr>
            </w:pPr>
            <w:r>
              <w:rPr>
                <w:rFonts w:ascii="Arial" w:cs="Arial" w:eastAsia="Arial" w:hAnsi="Arial"/>
                <w:sz w:val="16"/>
                <w:szCs w:val="16"/>
                <w:color w:val="auto"/>
              </w:rPr>
              <w:t>118,735</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13,222</w:t>
            </w:r>
          </w:p>
        </w:tc>
        <w:tc>
          <w:tcPr>
            <w:tcW w:w="1280" w:type="dxa"/>
            <w:vAlign w:val="bottom"/>
            <w:gridSpan w:val="2"/>
          </w:tcPr>
          <w:p>
            <w:pPr>
              <w:jc w:val="right"/>
              <w:ind w:right="500"/>
              <w:spacing w:after="0"/>
              <w:rPr>
                <w:sz w:val="20"/>
                <w:szCs w:val="20"/>
                <w:color w:val="auto"/>
              </w:rPr>
            </w:pPr>
            <w:r>
              <w:rPr>
                <w:rFonts w:ascii="Arial" w:cs="Arial" w:eastAsia="Arial" w:hAnsi="Arial"/>
                <w:sz w:val="16"/>
                <w:szCs w:val="16"/>
                <w:color w:val="auto"/>
              </w:rPr>
              <w:t>147,264</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147,681</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173,253</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13,868</w:t>
            </w:r>
          </w:p>
        </w:tc>
        <w:tc>
          <w:tcPr>
            <w:tcW w:w="780" w:type="dxa"/>
            <w:vAlign w:val="bottom"/>
          </w:tcPr>
          <w:p>
            <w:pPr>
              <w:jc w:val="right"/>
              <w:spacing w:after="0"/>
              <w:rPr>
                <w:sz w:val="20"/>
                <w:szCs w:val="20"/>
                <w:color w:val="auto"/>
              </w:rPr>
            </w:pPr>
            <w:r>
              <w:rPr>
                <w:rFonts w:ascii="Arial" w:cs="Arial" w:eastAsia="Arial" w:hAnsi="Arial"/>
                <w:sz w:val="16"/>
                <w:szCs w:val="16"/>
                <w:color w:val="auto"/>
              </w:rPr>
              <w:t>334,802</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18,717,693</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21,313,131</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111,814</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40,142,638</w:t>
            </w:r>
          </w:p>
        </w:tc>
        <w:tc>
          <w:tcPr>
            <w:tcW w:w="50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16,117,919</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20,788,914</w:t>
            </w:r>
          </w:p>
        </w:tc>
        <w:tc>
          <w:tcPr>
            <w:tcW w:w="1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137,107</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37,043,940</w:t>
            </w:r>
          </w:p>
        </w:tc>
        <w:tc>
          <w:tcPr>
            <w:tcW w:w="0" w:type="dxa"/>
            <w:vAlign w:val="bottom"/>
          </w:tcPr>
          <w:p>
            <w:pPr>
              <w:spacing w:after="0"/>
              <w:rPr>
                <w:sz w:val="1"/>
                <w:szCs w:val="1"/>
                <w:color w:val="auto"/>
              </w:rPr>
            </w:pPr>
          </w:p>
        </w:tc>
      </w:tr>
      <w:tr>
        <w:trPr>
          <w:trHeight w:val="145"/>
        </w:trPr>
        <w:tc>
          <w:tcPr>
            <w:tcW w:w="35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Total financial assets</w:t>
            </w:r>
          </w:p>
        </w:tc>
        <w:tc>
          <w:tcPr>
            <w:tcW w:w="5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00" w:type="dxa"/>
            <w:vAlign w:val="bottom"/>
            <w:vMerge w:val="restart"/>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22,160,817</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22,845,145</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1,689,544</w:t>
            </w:r>
          </w:p>
        </w:tc>
        <w:tc>
          <w:tcPr>
            <w:tcW w:w="80" w:type="dxa"/>
            <w:vAlign w:val="bottom"/>
            <w:vMerge w:val="continue"/>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46,695,506</w:t>
            </w:r>
          </w:p>
        </w:tc>
        <w:tc>
          <w:tcPr>
            <w:tcW w:w="500" w:type="dxa"/>
            <w:vAlign w:val="bottom"/>
            <w:vMerge w:val="continue"/>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2"/>
              </w:rPr>
              <w:t>19,911,813</w:t>
            </w:r>
          </w:p>
        </w:tc>
        <w:tc>
          <w:tcPr>
            <w:tcW w:w="100" w:type="dxa"/>
            <w:vAlign w:val="bottom"/>
            <w:vMerge w:val="continue"/>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22,696,426</w:t>
            </w: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8"/>
              </w:rPr>
              <w:t>1,216,957</w:t>
            </w:r>
          </w:p>
        </w:tc>
        <w:tc>
          <w:tcPr>
            <w:tcW w:w="100" w:type="dxa"/>
            <w:vAlign w:val="bottom"/>
            <w:vMerge w:val="continue"/>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43,825,196</w:t>
            </w:r>
          </w:p>
        </w:tc>
        <w:tc>
          <w:tcPr>
            <w:tcW w:w="0" w:type="dxa"/>
            <w:vAlign w:val="bottom"/>
          </w:tcPr>
          <w:p>
            <w:pPr>
              <w:spacing w:after="0"/>
              <w:rPr>
                <w:sz w:val="1"/>
                <w:szCs w:val="1"/>
                <w:color w:val="auto"/>
              </w:rPr>
            </w:pPr>
          </w:p>
        </w:tc>
      </w:tr>
      <w:tr>
        <w:trPr>
          <w:trHeight w:val="313"/>
        </w:trPr>
        <w:tc>
          <w:tcPr>
            <w:tcW w:w="3540" w:type="dxa"/>
            <w:vAlign w:val="bottom"/>
          </w:tcPr>
          <w:p>
            <w:pPr>
              <w:ind w:left="840"/>
              <w:spacing w:after="0"/>
              <w:rPr>
                <w:sz w:val="20"/>
                <w:szCs w:val="20"/>
                <w:color w:val="auto"/>
              </w:rPr>
            </w:pPr>
            <w:r>
              <w:rPr>
                <w:rFonts w:ascii="Arial" w:cs="Arial" w:eastAsia="Arial" w:hAnsi="Arial"/>
                <w:sz w:val="16"/>
                <w:szCs w:val="16"/>
                <w:b w:val="1"/>
                <w:bCs w:val="1"/>
                <w:color w:val="auto"/>
              </w:rPr>
              <w:t>Financial liabilities</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540" w:type="dxa"/>
            <w:vAlign w:val="bottom"/>
          </w:tcPr>
          <w:p>
            <w:pPr>
              <w:ind w:left="840"/>
              <w:spacing w:after="0" w:line="177" w:lineRule="exact"/>
              <w:rPr>
                <w:sz w:val="20"/>
                <w:szCs w:val="20"/>
                <w:color w:val="auto"/>
              </w:rPr>
            </w:pPr>
            <w:r>
              <w:rPr>
                <w:rFonts w:ascii="Arial" w:cs="Arial" w:eastAsia="Arial" w:hAnsi="Arial"/>
                <w:sz w:val="16"/>
                <w:szCs w:val="16"/>
                <w:b w:val="1"/>
                <w:bCs w:val="1"/>
                <w:color w:val="auto"/>
              </w:rPr>
              <w:t>Derivatives financial instruments:</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Interest rate swaps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353,647</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353,647</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205,112</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205,112</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Currency swaps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230,848</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230,848</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429,365</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429,365</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Foreign currency forwards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210,947</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210,947</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205,341</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205,341</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Cross currency swaps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15,491</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15,491</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46,561</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46,561</w:t>
            </w:r>
          </w:p>
        </w:tc>
        <w:tc>
          <w:tcPr>
            <w:tcW w:w="0" w:type="dxa"/>
            <w:vAlign w:val="bottom"/>
          </w:tcPr>
          <w:p>
            <w:pPr>
              <w:spacing w:after="0"/>
              <w:rPr>
                <w:sz w:val="1"/>
                <w:szCs w:val="1"/>
                <w:color w:val="auto"/>
              </w:rPr>
            </w:pPr>
          </w:p>
        </w:tc>
      </w:tr>
      <w:tr>
        <w:trPr>
          <w:trHeight w:val="175"/>
        </w:trPr>
        <w:tc>
          <w:tcPr>
            <w:tcW w:w="3540" w:type="dxa"/>
            <w:vAlign w:val="bottom"/>
          </w:tcPr>
          <w:p>
            <w:pPr>
              <w:ind w:left="980"/>
              <w:spacing w:after="0" w:line="175" w:lineRule="exact"/>
              <w:rPr>
                <w:sz w:val="20"/>
                <w:szCs w:val="20"/>
                <w:color w:val="auto"/>
              </w:rPr>
            </w:pPr>
            <w:r>
              <w:rPr>
                <w:rFonts w:ascii="Arial" w:cs="Arial" w:eastAsia="Arial" w:hAnsi="Arial"/>
                <w:sz w:val="16"/>
                <w:szCs w:val="16"/>
                <w:color w:val="auto"/>
              </w:rPr>
              <w:t>Foreign exchange options</w:t>
            </w:r>
          </w:p>
        </w:tc>
        <w:tc>
          <w:tcPr>
            <w:tcW w:w="5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8,420</w:t>
            </w: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line="175" w:lineRule="exact"/>
              <w:rPr>
                <w:sz w:val="20"/>
                <w:szCs w:val="20"/>
                <w:color w:val="auto"/>
              </w:rPr>
            </w:pPr>
            <w:r>
              <w:rPr>
                <w:rFonts w:ascii="Arial" w:cs="Arial" w:eastAsia="Arial" w:hAnsi="Arial"/>
                <w:sz w:val="16"/>
                <w:szCs w:val="16"/>
                <w:color w:val="auto"/>
              </w:rPr>
              <w:t>8,420</w:t>
            </w:r>
          </w:p>
        </w:tc>
        <w:tc>
          <w:tcPr>
            <w:tcW w:w="86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4,002</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4,002</w:t>
            </w:r>
          </w:p>
        </w:tc>
        <w:tc>
          <w:tcPr>
            <w:tcW w:w="0" w:type="dxa"/>
            <w:vAlign w:val="bottom"/>
          </w:tcPr>
          <w:p>
            <w:pPr>
              <w:spacing w:after="0"/>
              <w:rPr>
                <w:sz w:val="1"/>
                <w:szCs w:val="1"/>
                <w:color w:val="auto"/>
              </w:rPr>
            </w:pPr>
          </w:p>
        </w:tc>
      </w:tr>
      <w:tr>
        <w:trPr>
          <w:trHeight w:val="201"/>
        </w:trPr>
        <w:tc>
          <w:tcPr>
            <w:tcW w:w="3540" w:type="dxa"/>
            <w:vAlign w:val="bottom"/>
          </w:tcPr>
          <w:p>
            <w:pPr>
              <w:ind w:left="980"/>
              <w:spacing w:after="0"/>
              <w:rPr>
                <w:sz w:val="20"/>
                <w:szCs w:val="20"/>
                <w:color w:val="auto"/>
              </w:rPr>
            </w:pPr>
            <w:r>
              <w:rPr>
                <w:rFonts w:ascii="Arial" w:cs="Arial" w:eastAsia="Arial" w:hAnsi="Arial"/>
                <w:sz w:val="16"/>
                <w:szCs w:val="16"/>
                <w:color w:val="auto"/>
              </w:rPr>
              <w:t>Futures</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auto"/>
              </w:rPr>
              <w:t>12(c)</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6"/>
                <w:szCs w:val="16"/>
                <w:color w:val="auto"/>
              </w:rPr>
              <w:t>120</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1,618</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196"/>
        </w:trPr>
        <w:tc>
          <w:tcPr>
            <w:tcW w:w="3540" w:type="dxa"/>
            <w:vAlign w:val="bottom"/>
            <w:vMerge w:val="restart"/>
          </w:tcPr>
          <w:p>
            <w:pPr>
              <w:ind w:left="840"/>
              <w:spacing w:after="0"/>
              <w:rPr>
                <w:sz w:val="20"/>
                <w:szCs w:val="20"/>
                <w:color w:val="auto"/>
              </w:rPr>
            </w:pPr>
            <w:r>
              <w:rPr>
                <w:rFonts w:ascii="Arial" w:cs="Arial" w:eastAsia="Arial" w:hAnsi="Arial"/>
                <w:sz w:val="16"/>
                <w:szCs w:val="16"/>
                <w:color w:val="auto"/>
                <w:w w:val="97"/>
              </w:rPr>
              <w:t>Financial liabilities at fair value through</w:t>
            </w:r>
          </w:p>
        </w:tc>
        <w:tc>
          <w:tcPr>
            <w:tcW w:w="540" w:type="dxa"/>
            <w:vAlign w:val="bottom"/>
            <w:vMerge w:val="continue"/>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819,473</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819,473</w:t>
            </w:r>
          </w:p>
        </w:tc>
        <w:tc>
          <w:tcPr>
            <w:tcW w:w="50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891,999</w:t>
            </w:r>
          </w:p>
        </w:tc>
        <w:tc>
          <w:tcPr>
            <w:tcW w:w="1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891,999</w:t>
            </w:r>
          </w:p>
        </w:tc>
        <w:tc>
          <w:tcPr>
            <w:tcW w:w="0" w:type="dxa"/>
            <w:vAlign w:val="bottom"/>
          </w:tcPr>
          <w:p>
            <w:pPr>
              <w:spacing w:after="0"/>
              <w:rPr>
                <w:sz w:val="1"/>
                <w:szCs w:val="1"/>
                <w:color w:val="auto"/>
              </w:rPr>
            </w:pPr>
          </w:p>
        </w:tc>
      </w:tr>
      <w:tr>
        <w:trPr>
          <w:trHeight w:val="131"/>
        </w:trPr>
        <w:tc>
          <w:tcPr>
            <w:tcW w:w="35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540" w:type="dxa"/>
            <w:vAlign w:val="bottom"/>
          </w:tcPr>
          <w:p>
            <w:pPr>
              <w:ind w:left="840"/>
              <w:spacing w:after="0"/>
              <w:rPr>
                <w:sz w:val="20"/>
                <w:szCs w:val="20"/>
                <w:color w:val="auto"/>
              </w:rPr>
            </w:pPr>
            <w:r>
              <w:rPr>
                <w:rFonts w:ascii="Arial" w:cs="Arial" w:eastAsia="Arial" w:hAnsi="Arial"/>
                <w:sz w:val="16"/>
                <w:szCs w:val="16"/>
                <w:color w:val="auto"/>
              </w:rPr>
              <w:t>profit or loss</w:t>
            </w:r>
          </w:p>
        </w:tc>
        <w:tc>
          <w:tcPr>
            <w:tcW w:w="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151,485</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6"/>
                <w:szCs w:val="16"/>
                <w:color w:val="auto"/>
              </w:rPr>
              <w:t>151,485</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641,915</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641,915</w:t>
            </w:r>
          </w:p>
        </w:tc>
        <w:tc>
          <w:tcPr>
            <w:tcW w:w="0" w:type="dxa"/>
            <w:vAlign w:val="bottom"/>
          </w:tcPr>
          <w:p>
            <w:pPr>
              <w:spacing w:after="0"/>
              <w:rPr>
                <w:sz w:val="1"/>
                <w:szCs w:val="1"/>
                <w:color w:val="auto"/>
              </w:rPr>
            </w:pPr>
          </w:p>
        </w:tc>
      </w:tr>
      <w:tr>
        <w:trPr>
          <w:trHeight w:val="160"/>
        </w:trPr>
        <w:tc>
          <w:tcPr>
            <w:tcW w:w="3540" w:type="dxa"/>
            <w:vAlign w:val="bottom"/>
            <w:vMerge w:val="restart"/>
          </w:tcPr>
          <w:p>
            <w:pPr>
              <w:ind w:left="840"/>
              <w:spacing w:after="0"/>
              <w:rPr>
                <w:sz w:val="20"/>
                <w:szCs w:val="20"/>
                <w:color w:val="auto"/>
              </w:rPr>
            </w:pPr>
            <w:r>
              <w:rPr>
                <w:rFonts w:ascii="Arial" w:cs="Arial" w:eastAsia="Arial" w:hAnsi="Arial"/>
                <w:sz w:val="16"/>
                <w:szCs w:val="16"/>
                <w:b w:val="1"/>
                <w:bCs w:val="1"/>
                <w:color w:val="auto"/>
              </w:rPr>
              <w:t>Total financial liabilities</w:t>
            </w:r>
          </w:p>
        </w:tc>
        <w:tc>
          <w:tcPr>
            <w:tcW w:w="5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vMerge w:val="restart"/>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vMerge w:val="restart"/>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vMerge w:val="restart"/>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vMerge w:val="restart"/>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970,958</w:t>
            </w:r>
          </w:p>
        </w:tc>
        <w:tc>
          <w:tcPr>
            <w:tcW w:w="80" w:type="dxa"/>
            <w:vAlign w:val="bottom"/>
            <w:vMerge w:val="continue"/>
          </w:tcPr>
          <w:p>
            <w:pPr>
              <w:spacing w:after="0"/>
              <w:rPr>
                <w:sz w:val="14"/>
                <w:szCs w:val="14"/>
                <w:color w:val="auto"/>
              </w:rPr>
            </w:pP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80" w:type="dxa"/>
            <w:vAlign w:val="bottom"/>
            <w:vMerge w:val="continue"/>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970,958</w:t>
            </w:r>
          </w:p>
        </w:tc>
        <w:tc>
          <w:tcPr>
            <w:tcW w:w="500" w:type="dxa"/>
            <w:vAlign w:val="bottom"/>
            <w:vMerge w:val="continue"/>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1,533,914</w:t>
            </w: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1,533,914</w:t>
            </w:r>
          </w:p>
        </w:tc>
        <w:tc>
          <w:tcPr>
            <w:tcW w:w="0" w:type="dxa"/>
            <w:vAlign w:val="bottom"/>
          </w:tcPr>
          <w:p>
            <w:pPr>
              <w:spacing w:after="0"/>
              <w:rPr>
                <w:sz w:val="1"/>
                <w:szCs w:val="1"/>
                <w:color w:val="auto"/>
              </w:rPr>
            </w:pPr>
          </w:p>
        </w:tc>
      </w:tr>
      <w:tr>
        <w:trPr>
          <w:trHeight w:val="460"/>
        </w:trPr>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-163-</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166" w:name="page167"/>
    <w:bookmarkEnd w:id="166"/>
    <w:p>
      <w:pPr>
        <w:ind w:right="160"/>
        <w:spacing w:after="0" w:line="242" w:lineRule="auto"/>
        <w:rPr>
          <w:sz w:val="20"/>
          <w:szCs w:val="20"/>
          <w:color w:val="auto"/>
        </w:rPr>
      </w:pPr>
      <w:r>
        <w:rPr>
          <w:rFonts w:ascii="Arial" w:cs="Arial" w:eastAsia="Arial" w:hAnsi="Arial"/>
          <w:sz w:val="16"/>
          <w:szCs w:val="16"/>
          <w:color w:val="auto"/>
        </w:rPr>
        <w:t>Financial instruments included in the Level 1 category are those that are measured based on of quotations obtained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w:t>
      </w:r>
    </w:p>
    <w:p>
      <w:pPr>
        <w:spacing w:after="0" w:line="133"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Financial instruments included in the Level 2 category are those that are measured based on observable market factors. This category includes instruments valued using quoted prices for similar instruments, either in active or less active markets and other valuation techniques (models) where all significant inputs are directly or indirectly observable based on market data.</w:t>
      </w:r>
    </w:p>
    <w:p>
      <w:pPr>
        <w:spacing w:after="0" w:line="134" w:lineRule="exact"/>
        <w:rPr>
          <w:sz w:val="20"/>
          <w:szCs w:val="20"/>
          <w:color w:val="auto"/>
        </w:rPr>
      </w:pPr>
    </w:p>
    <w:p>
      <w:pPr>
        <w:ind w:right="420"/>
        <w:spacing w:after="0" w:line="241" w:lineRule="auto"/>
        <w:rPr>
          <w:sz w:val="20"/>
          <w:szCs w:val="20"/>
          <w:color w:val="auto"/>
        </w:rPr>
      </w:pPr>
      <w:r>
        <w:rPr>
          <w:rFonts w:ascii="Arial" w:cs="Arial" w:eastAsia="Arial" w:hAnsi="Arial"/>
          <w:sz w:val="16"/>
          <w:szCs w:val="16"/>
          <w:color w:val="auto"/>
        </w:rPr>
        <w:t>Following is a description of how fair value is determined for the main Group’s financial instruments where valuation techniques were used with inputs based on market data which incorporate Credicorp’s estimates on the assumptions that market participants would use for measuring these financial instruments:</w:t>
      </w:r>
    </w:p>
    <w:p>
      <w:pPr>
        <w:spacing w:after="0" w:line="134"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Valuation of derivative financial instruments -</w:t>
      </w:r>
    </w:p>
    <w:p>
      <w:pPr>
        <w:spacing w:after="0" w:line="154" w:lineRule="exact"/>
        <w:rPr>
          <w:sz w:val="20"/>
          <w:szCs w:val="20"/>
          <w:color w:val="auto"/>
        </w:rPr>
      </w:pPr>
    </w:p>
    <w:p>
      <w:pPr>
        <w:ind w:left="280"/>
        <w:spacing w:after="0" w:line="238" w:lineRule="auto"/>
        <w:rPr>
          <w:sz w:val="20"/>
          <w:szCs w:val="20"/>
          <w:color w:val="auto"/>
        </w:rPr>
      </w:pPr>
      <w:r>
        <w:rPr>
          <w:rFonts w:ascii="Arial" w:cs="Arial" w:eastAsia="Arial" w:hAnsi="Arial"/>
          <w:sz w:val="16"/>
          <w:szCs w:val="16"/>
          <w:color w:val="auto"/>
        </w:rPr>
        <w:t>Interest rate swaps, currency swaps and forward exchange contracts are measured by using valuation techniques where inputs are based on market data. The most frequently applied valuation techniques include forward and swap pricing models, using present value calculations. The models incorporate various inputs, including the credit quality of counterparties, spot exchange rates, forward rates and interest rate curves. Options are valued using well-known, widely accepted valuation models.</w:t>
      </w:r>
    </w:p>
    <w:p>
      <w:pPr>
        <w:spacing w:after="0" w:line="134" w:lineRule="exact"/>
        <w:rPr>
          <w:sz w:val="20"/>
          <w:szCs w:val="20"/>
          <w:color w:val="auto"/>
        </w:rPr>
      </w:pPr>
    </w:p>
    <w:p>
      <w:pPr>
        <w:jc w:val="both"/>
        <w:ind w:left="280" w:right="260"/>
        <w:spacing w:after="0" w:line="238" w:lineRule="auto"/>
        <w:rPr>
          <w:sz w:val="20"/>
          <w:szCs w:val="20"/>
          <w:color w:val="auto"/>
        </w:rPr>
      </w:pPr>
      <w:r>
        <w:rPr>
          <w:rFonts w:ascii="Arial" w:cs="Arial" w:eastAsia="Arial" w:hAnsi="Arial"/>
          <w:sz w:val="16"/>
          <w:szCs w:val="16"/>
          <w:color w:val="auto"/>
        </w:rPr>
        <w:t>A credit valuation adjustment (CVA) is applied to the “Over The Counter” derivative exposures to take into account the counterparty’s risk of default when measuring the fair value of the derivative. CVA is the mark-to market cost of protection required to hedge credit risk from counterparties in this type of derivatives portfolio. CVA is calculated by multiplying the probability of default (PD), the loss given default (LGD) and the expected exposure (EE) at the time of default.</w:t>
      </w:r>
    </w:p>
    <w:p>
      <w:pPr>
        <w:spacing w:after="0" w:line="134" w:lineRule="exact"/>
        <w:rPr>
          <w:sz w:val="20"/>
          <w:szCs w:val="20"/>
          <w:color w:val="auto"/>
        </w:rPr>
      </w:pPr>
    </w:p>
    <w:p>
      <w:pPr>
        <w:ind w:left="280" w:right="80"/>
        <w:spacing w:after="0" w:line="255" w:lineRule="auto"/>
        <w:rPr>
          <w:sz w:val="20"/>
          <w:szCs w:val="20"/>
          <w:color w:val="auto"/>
        </w:rPr>
      </w:pPr>
      <w:r>
        <w:rPr>
          <w:rFonts w:ascii="Arial" w:cs="Arial" w:eastAsia="Arial" w:hAnsi="Arial"/>
          <w:sz w:val="16"/>
          <w:szCs w:val="16"/>
          <w:color w:val="auto"/>
        </w:rPr>
        <w:t>A debit valuation adjustment (DVA) is applied to include the Group’s own credit risk in the fair value of derivatives (the risk that the Group might default on its contractual obligations), using the same methodology as for CVA.</w:t>
      </w:r>
    </w:p>
    <w:p>
      <w:pPr>
        <w:spacing w:after="0" w:line="122" w:lineRule="exact"/>
        <w:rPr>
          <w:sz w:val="20"/>
          <w:szCs w:val="20"/>
          <w:color w:val="auto"/>
        </w:rPr>
      </w:pPr>
    </w:p>
    <w:p>
      <w:pPr>
        <w:ind w:left="280" w:right="320"/>
        <w:spacing w:after="0" w:line="234" w:lineRule="auto"/>
        <w:rPr>
          <w:sz w:val="20"/>
          <w:szCs w:val="20"/>
          <w:color w:val="auto"/>
        </w:rPr>
      </w:pPr>
      <w:r>
        <w:rPr>
          <w:rFonts w:ascii="Arial" w:cs="Arial" w:eastAsia="Arial" w:hAnsi="Arial"/>
          <w:sz w:val="16"/>
          <w:szCs w:val="16"/>
          <w:color w:val="auto"/>
        </w:rPr>
        <w:t>As of December 31, 2024, the balance of receivables and payables corresponding to derivatives amounted to S/904.8 million and S/819.5 million respectively, see Note 12(c), generating DVA and CVA adjustments for approximately S/3.0 million and S/5.7 million respectively. The net impact of both items in the consolidated statement of income amounted to S/1.2 million of loss. As of December 31, 2023, the balance of receivables and payables corresponding to derivatives amounted to S/987.7 million and S/892.0 million, respectively, see Note 12(c), generating DVA and CVA adjustments for approximately S/3.2 million and S/6.9 million, respectively. Likewise, the net impact of both items in the consolidated statement of income amounted to S/4.0 million of loss.</w:t>
      </w:r>
    </w:p>
    <w:p>
      <w:pPr>
        <w:spacing w:after="0" w:line="137"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Valuation of debt securities classified in the category “at fair value through other comprehensive income” and included in level 2 -</w:t>
      </w:r>
    </w:p>
    <w:p>
      <w:pPr>
        <w:spacing w:after="0" w:line="154" w:lineRule="exact"/>
        <w:rPr>
          <w:sz w:val="20"/>
          <w:szCs w:val="20"/>
          <w:color w:val="auto"/>
        </w:rPr>
      </w:pPr>
    </w:p>
    <w:p>
      <w:pPr>
        <w:ind w:left="280" w:right="260"/>
        <w:spacing w:after="0" w:line="241" w:lineRule="auto"/>
        <w:rPr>
          <w:sz w:val="20"/>
          <w:szCs w:val="20"/>
          <w:color w:val="auto"/>
        </w:rPr>
      </w:pPr>
      <w:r>
        <w:rPr>
          <w:rFonts w:ascii="Arial" w:cs="Arial" w:eastAsia="Arial" w:hAnsi="Arial"/>
          <w:sz w:val="16"/>
          <w:szCs w:val="16"/>
          <w:color w:val="auto"/>
        </w:rPr>
        <w:t>Valuation of certificates of deposit BCRP, corporate, leasing, subordinated bonds and Government treasury bonds are measured by calculating their Net Present Values (NPV) through discounted cash flows, using appropriate and relevant zero coupon-rate curves to discount cash flows in the respective currency and considering observable current market transactions.</w:t>
      </w:r>
    </w:p>
    <w:p>
      <w:pPr>
        <w:spacing w:after="0" w:line="281"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0"/>
          </w:cols>
          <w:pgMar w:left="880" w:top="124" w:right="339" w:bottom="1440" w:gutter="0" w:footer="0" w:header="0"/>
        </w:sectPr>
      </w:pPr>
    </w:p>
    <w:bookmarkStart w:id="167" w:name="page168"/>
    <w:bookmarkEnd w:id="167"/>
    <w:p>
      <w:pPr>
        <w:ind w:left="280" w:right="260"/>
        <w:spacing w:after="0" w:line="242" w:lineRule="auto"/>
        <w:rPr>
          <w:sz w:val="20"/>
          <w:szCs w:val="20"/>
          <w:color w:val="auto"/>
        </w:rPr>
      </w:pPr>
      <w:r>
        <w:rPr>
          <w:rFonts w:ascii="Arial" w:cs="Arial" w:eastAsia="Arial" w:hAnsi="Arial"/>
          <w:sz w:val="16"/>
          <w:szCs w:val="16"/>
          <w:color w:val="auto"/>
        </w:rPr>
        <w:t>Certificates of deposit BCRP (CD BCRP) are securities issued at a discount in order to regulate the liquidity of the financial system. They are placed mainly through public auction or direct placement, are freely negotiable by their holders in the Peruvian secondary market and may be used as collateral in Repurchase Agreement Transactions of Securities with the BCRP.</w:t>
      </w:r>
    </w:p>
    <w:p>
      <w:pPr>
        <w:spacing w:after="0" w:line="133" w:lineRule="exact"/>
        <w:rPr>
          <w:sz w:val="20"/>
          <w:szCs w:val="20"/>
          <w:color w:val="auto"/>
        </w:rPr>
      </w:pPr>
    </w:p>
    <w:p>
      <w:pPr>
        <w:ind w:left="280" w:right="200"/>
        <w:spacing w:after="0" w:line="241" w:lineRule="auto"/>
        <w:rPr>
          <w:sz w:val="20"/>
          <w:szCs w:val="20"/>
          <w:color w:val="auto"/>
        </w:rPr>
      </w:pPr>
      <w:r>
        <w:rPr>
          <w:rFonts w:ascii="Arial" w:cs="Arial" w:eastAsia="Arial" w:hAnsi="Arial"/>
          <w:sz w:val="16"/>
          <w:szCs w:val="16"/>
          <w:color w:val="auto"/>
        </w:rPr>
        <w:t>Other debt instruments are measured using valuation techniques based on assumptions supported by prices from observable current market transactions, obtained via pricing services. Nevertheless, when prices have not been determined in an active market, fair values are based on broker quotes and assets that are valued using models whereby the majority of assumptions are market observable.</w:t>
      </w:r>
    </w:p>
    <w:p>
      <w:pPr>
        <w:spacing w:after="0" w:line="134"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Valuation of financial instruments included in level 3 -</w:t>
      </w:r>
    </w:p>
    <w:p>
      <w:pPr>
        <w:spacing w:after="0" w:line="154" w:lineRule="exact"/>
        <w:rPr>
          <w:sz w:val="20"/>
          <w:szCs w:val="20"/>
          <w:color w:val="auto"/>
        </w:rPr>
      </w:pPr>
    </w:p>
    <w:p>
      <w:pPr>
        <w:ind w:left="280"/>
        <w:spacing w:after="0" w:line="255" w:lineRule="auto"/>
        <w:rPr>
          <w:sz w:val="20"/>
          <w:szCs w:val="20"/>
          <w:color w:val="auto"/>
        </w:rPr>
      </w:pPr>
      <w:r>
        <w:rPr>
          <w:rFonts w:ascii="Arial" w:cs="Arial" w:eastAsia="Arial" w:hAnsi="Arial"/>
          <w:sz w:val="16"/>
          <w:szCs w:val="16"/>
          <w:color w:val="auto"/>
        </w:rPr>
        <w:t>These are measured using valuation techniques (internal models), based on assumptions that are not supported by transaction prices observable in the market for the same instrument, nor based on available market data.</w:t>
      </w:r>
    </w:p>
    <w:p>
      <w:pPr>
        <w:spacing w:after="0" w:line="122" w:lineRule="exact"/>
        <w:rPr>
          <w:sz w:val="20"/>
          <w:szCs w:val="20"/>
          <w:color w:val="auto"/>
        </w:rPr>
      </w:pPr>
    </w:p>
    <w:p>
      <w:pPr>
        <w:ind w:left="280" w:right="80"/>
        <w:spacing w:after="0" w:line="241" w:lineRule="auto"/>
        <w:rPr>
          <w:sz w:val="20"/>
          <w:szCs w:val="20"/>
          <w:color w:val="auto"/>
        </w:rPr>
      </w:pPr>
      <w:r>
        <w:rPr>
          <w:rFonts w:ascii="Arial" w:cs="Arial" w:eastAsia="Arial" w:hAnsi="Arial"/>
          <w:sz w:val="16"/>
          <w:szCs w:val="16"/>
          <w:color w:val="auto"/>
        </w:rPr>
        <w:t>As of December 31, 2024, and 2023, the net unrealized loss of Level 3 financial instruments amounted to S/14.0 million and S/3.4 million, respectively. As of those dates, changes in the book value of Level 3 financial instruments have not been significant as there have been no purchases, issues, liquidations or any other significant movements or transfers from Level 3 to Level 1 or Level 2 or vice versa.</w:t>
      </w:r>
    </w:p>
    <w:p>
      <w:pPr>
        <w:spacing w:after="0" w:line="281"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0"/>
          </w:cols>
          <w:pgMar w:left="880" w:top="124" w:right="319" w:bottom="1440" w:gutter="0" w:footer="0" w:header="0"/>
        </w:sectPr>
      </w:pPr>
    </w:p>
    <w:bookmarkStart w:id="168" w:name="page169"/>
    <w:bookmarkEnd w:id="168"/>
    <w:p>
      <w:pPr>
        <w:spacing w:after="0"/>
        <w:rPr>
          <w:sz w:val="20"/>
          <w:szCs w:val="20"/>
          <w:color w:val="auto"/>
        </w:rPr>
      </w:pPr>
      <w:r>
        <w:rPr>
          <w:rFonts w:ascii="Arial" w:cs="Arial" w:eastAsia="Arial" w:hAnsi="Arial"/>
          <w:sz w:val="16"/>
          <w:szCs w:val="16"/>
          <w:color w:val="auto"/>
        </w:rPr>
        <w:t>b) Financial instruments not measured at fair value -</w:t>
      </w:r>
    </w:p>
    <w:p>
      <w:pPr>
        <w:spacing w:after="0" w:line="144" w:lineRule="exact"/>
        <w:rPr>
          <w:sz w:val="20"/>
          <w:szCs w:val="20"/>
          <w:color w:val="auto"/>
        </w:rPr>
      </w:pPr>
    </w:p>
    <w:p>
      <w:pPr>
        <w:ind w:left="280" w:right="80"/>
        <w:spacing w:after="0" w:line="255" w:lineRule="auto"/>
        <w:rPr>
          <w:sz w:val="20"/>
          <w:szCs w:val="20"/>
          <w:color w:val="auto"/>
        </w:rPr>
      </w:pPr>
      <w:r>
        <w:rPr>
          <w:rFonts w:ascii="Arial" w:cs="Arial" w:eastAsia="Arial" w:hAnsi="Arial"/>
          <w:sz w:val="16"/>
          <w:szCs w:val="16"/>
          <w:color w:val="auto"/>
        </w:rPr>
        <w:t>We present below the disclosure of the comparison between the carrying amounts and fair values of the financial instruments, which are not measured at fair value, presented in the consolidated statement of financial position by level of the fair value hierarchy:</w:t>
      </w:r>
    </w:p>
    <w:p>
      <w:pPr>
        <w:spacing w:after="0" w:line="120"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980" w:type="dxa"/>
            <w:vAlign w:val="bottom"/>
          </w:tcPr>
          <w:p>
            <w:pPr>
              <w:spacing w:after="0"/>
              <w:rPr>
                <w:sz w:val="14"/>
                <w:szCs w:val="14"/>
                <w:color w:val="auto"/>
              </w:rPr>
            </w:pPr>
          </w:p>
        </w:tc>
        <w:tc>
          <w:tcPr>
            <w:tcW w:w="740" w:type="dxa"/>
            <w:vAlign w:val="bottom"/>
            <w:gridSpan w:val="2"/>
          </w:tcPr>
          <w:p>
            <w:pPr>
              <w:jc w:val="right"/>
              <w:ind w:right="200"/>
              <w:spacing w:after="0" w:line="167" w:lineRule="exact"/>
              <w:rPr>
                <w:sz w:val="20"/>
                <w:szCs w:val="20"/>
                <w:color w:val="auto"/>
              </w:rPr>
            </w:pPr>
            <w:r>
              <w:rPr>
                <w:rFonts w:ascii="Arial" w:cs="Arial" w:eastAsia="Arial" w:hAnsi="Arial"/>
                <w:sz w:val="16"/>
                <w:szCs w:val="16"/>
                <w:b w:val="1"/>
                <w:bCs w:val="1"/>
                <w:color w:val="auto"/>
                <w:w w:val="95"/>
              </w:rPr>
              <w:t>Level 1</w:t>
            </w:r>
          </w:p>
        </w:tc>
        <w:tc>
          <w:tcPr>
            <w:tcW w:w="940" w:type="dxa"/>
            <w:vAlign w:val="bottom"/>
            <w:gridSpan w:val="3"/>
          </w:tcPr>
          <w:p>
            <w:pPr>
              <w:ind w:left="20"/>
              <w:spacing w:after="0" w:line="167" w:lineRule="exact"/>
              <w:rPr>
                <w:sz w:val="20"/>
                <w:szCs w:val="20"/>
                <w:color w:val="auto"/>
              </w:rPr>
            </w:pPr>
            <w:r>
              <w:rPr>
                <w:rFonts w:ascii="Arial" w:cs="Arial" w:eastAsia="Arial" w:hAnsi="Arial"/>
                <w:sz w:val="16"/>
                <w:szCs w:val="16"/>
                <w:b w:val="1"/>
                <w:bCs w:val="1"/>
                <w:color w:val="auto"/>
              </w:rPr>
              <w:t>Level 2</w:t>
            </w:r>
          </w:p>
        </w:tc>
        <w:tc>
          <w:tcPr>
            <w:tcW w:w="660" w:type="dxa"/>
            <w:vAlign w:val="bottom"/>
            <w:gridSpan w:val="3"/>
          </w:tcPr>
          <w:p>
            <w:pPr>
              <w:ind w:left="20"/>
              <w:spacing w:after="0" w:line="167" w:lineRule="exact"/>
              <w:rPr>
                <w:sz w:val="20"/>
                <w:szCs w:val="20"/>
                <w:color w:val="auto"/>
              </w:rPr>
            </w:pPr>
            <w:r>
              <w:rPr>
                <w:rFonts w:ascii="Arial" w:cs="Arial" w:eastAsia="Arial" w:hAnsi="Arial"/>
                <w:sz w:val="16"/>
                <w:szCs w:val="16"/>
                <w:b w:val="1"/>
                <w:bCs w:val="1"/>
                <w:color w:val="auto"/>
              </w:rPr>
              <w:t>Level 3</w:t>
            </w:r>
          </w:p>
        </w:tc>
        <w:tc>
          <w:tcPr>
            <w:tcW w:w="900" w:type="dxa"/>
            <w:vAlign w:val="bottom"/>
            <w:gridSpan w:val="2"/>
          </w:tcPr>
          <w:p>
            <w:pPr>
              <w:spacing w:after="0" w:line="167" w:lineRule="exact"/>
              <w:rPr>
                <w:sz w:val="20"/>
                <w:szCs w:val="20"/>
                <w:color w:val="auto"/>
              </w:rPr>
            </w:pPr>
            <w:r>
              <w:rPr>
                <w:rFonts w:ascii="Arial" w:cs="Arial" w:eastAsia="Arial" w:hAnsi="Arial"/>
                <w:sz w:val="16"/>
                <w:szCs w:val="16"/>
                <w:b w:val="1"/>
                <w:bCs w:val="1"/>
                <w:color w:val="auto"/>
              </w:rPr>
              <w:t>Fair value</w:t>
            </w:r>
          </w:p>
        </w:tc>
        <w:tc>
          <w:tcPr>
            <w:tcW w:w="920" w:type="dxa"/>
            <w:vAlign w:val="bottom"/>
            <w:gridSpan w:val="2"/>
          </w:tcPr>
          <w:p>
            <w:pPr>
              <w:ind w:left="40"/>
              <w:spacing w:after="0" w:line="167" w:lineRule="exact"/>
              <w:rPr>
                <w:sz w:val="20"/>
                <w:szCs w:val="20"/>
                <w:color w:val="auto"/>
              </w:rPr>
            </w:pPr>
            <w:r>
              <w:rPr>
                <w:rFonts w:ascii="Arial" w:cs="Arial" w:eastAsia="Arial" w:hAnsi="Arial"/>
                <w:sz w:val="16"/>
                <w:szCs w:val="16"/>
                <w:b w:val="1"/>
                <w:bCs w:val="1"/>
                <w:color w:val="auto"/>
              </w:rPr>
              <w:t>Book value</w:t>
            </w:r>
          </w:p>
        </w:tc>
        <w:tc>
          <w:tcPr>
            <w:tcW w:w="60" w:type="dxa"/>
            <w:vAlign w:val="bottom"/>
          </w:tcPr>
          <w:p>
            <w:pPr>
              <w:spacing w:after="0"/>
              <w:rPr>
                <w:sz w:val="14"/>
                <w:szCs w:val="14"/>
                <w:color w:val="auto"/>
              </w:rPr>
            </w:pPr>
          </w:p>
        </w:tc>
        <w:tc>
          <w:tcPr>
            <w:tcW w:w="740" w:type="dxa"/>
            <w:vAlign w:val="bottom"/>
            <w:gridSpan w:val="3"/>
          </w:tcPr>
          <w:p>
            <w:pPr>
              <w:jc w:val="right"/>
              <w:ind w:right="220"/>
              <w:spacing w:after="0" w:line="167" w:lineRule="exact"/>
              <w:rPr>
                <w:sz w:val="20"/>
                <w:szCs w:val="20"/>
                <w:color w:val="auto"/>
              </w:rPr>
            </w:pPr>
            <w:r>
              <w:rPr>
                <w:rFonts w:ascii="Arial" w:cs="Arial" w:eastAsia="Arial" w:hAnsi="Arial"/>
                <w:sz w:val="16"/>
                <w:szCs w:val="16"/>
                <w:b w:val="1"/>
                <w:bCs w:val="1"/>
                <w:color w:val="auto"/>
                <w:w w:val="92"/>
              </w:rPr>
              <w:t>Level 1</w:t>
            </w:r>
          </w:p>
        </w:tc>
        <w:tc>
          <w:tcPr>
            <w:tcW w:w="980" w:type="dxa"/>
            <w:vAlign w:val="bottom"/>
            <w:gridSpan w:val="3"/>
          </w:tcPr>
          <w:p>
            <w:pPr>
              <w:jc w:val="right"/>
              <w:ind w:right="420"/>
              <w:spacing w:after="0" w:line="167" w:lineRule="exact"/>
              <w:rPr>
                <w:sz w:val="20"/>
                <w:szCs w:val="20"/>
                <w:color w:val="auto"/>
              </w:rPr>
            </w:pPr>
            <w:r>
              <w:rPr>
                <w:rFonts w:ascii="Arial" w:cs="Arial" w:eastAsia="Arial" w:hAnsi="Arial"/>
                <w:sz w:val="16"/>
                <w:szCs w:val="16"/>
                <w:b w:val="1"/>
                <w:bCs w:val="1"/>
                <w:color w:val="auto"/>
                <w:w w:val="99"/>
              </w:rPr>
              <w:t>Level 2</w:t>
            </w:r>
          </w:p>
        </w:tc>
        <w:tc>
          <w:tcPr>
            <w:tcW w:w="680" w:type="dxa"/>
            <w:vAlign w:val="bottom"/>
            <w:gridSpan w:val="2"/>
          </w:tcPr>
          <w:p>
            <w:pPr>
              <w:spacing w:after="0" w:line="167" w:lineRule="exact"/>
              <w:rPr>
                <w:sz w:val="20"/>
                <w:szCs w:val="20"/>
                <w:color w:val="auto"/>
              </w:rPr>
            </w:pPr>
            <w:r>
              <w:rPr>
                <w:rFonts w:ascii="Arial" w:cs="Arial" w:eastAsia="Arial" w:hAnsi="Arial"/>
                <w:sz w:val="16"/>
                <w:szCs w:val="16"/>
                <w:b w:val="1"/>
                <w:bCs w:val="1"/>
                <w:color w:val="auto"/>
              </w:rPr>
              <w:t>Level 3</w:t>
            </w:r>
          </w:p>
        </w:tc>
        <w:tc>
          <w:tcPr>
            <w:tcW w:w="940" w:type="dxa"/>
            <w:vAlign w:val="bottom"/>
            <w:gridSpan w:val="2"/>
          </w:tcPr>
          <w:p>
            <w:pPr>
              <w:jc w:val="right"/>
              <w:ind w:right="220"/>
              <w:spacing w:after="0" w:line="167" w:lineRule="exact"/>
              <w:rPr>
                <w:sz w:val="20"/>
                <w:szCs w:val="20"/>
                <w:color w:val="auto"/>
              </w:rPr>
            </w:pPr>
            <w:r>
              <w:rPr>
                <w:rFonts w:ascii="Arial" w:cs="Arial" w:eastAsia="Arial" w:hAnsi="Arial"/>
                <w:sz w:val="16"/>
                <w:szCs w:val="16"/>
                <w:b w:val="1"/>
                <w:bCs w:val="1"/>
                <w:color w:val="auto"/>
                <w:w w:val="93"/>
              </w:rPr>
              <w:t>Fair value</w:t>
            </w:r>
          </w:p>
        </w:tc>
        <w:tc>
          <w:tcPr>
            <w:tcW w:w="880" w:type="dxa"/>
            <w:vAlign w:val="bottom"/>
            <w:gridSpan w:val="2"/>
          </w:tcPr>
          <w:p>
            <w:pPr>
              <w:spacing w:after="0" w:line="167" w:lineRule="exact"/>
              <w:rPr>
                <w:sz w:val="20"/>
                <w:szCs w:val="20"/>
                <w:color w:val="auto"/>
              </w:rPr>
            </w:pPr>
            <w:r>
              <w:rPr>
                <w:rFonts w:ascii="Arial" w:cs="Arial" w:eastAsia="Arial" w:hAnsi="Arial"/>
                <w:sz w:val="16"/>
                <w:szCs w:val="16"/>
                <w:b w:val="1"/>
                <w:bCs w:val="1"/>
                <w:color w:val="auto"/>
              </w:rPr>
              <w:t>Book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S/(000)</w:t>
            </w:r>
          </w:p>
        </w:tc>
        <w:tc>
          <w:tcPr>
            <w:tcW w:w="80" w:type="dxa"/>
            <w:vAlign w:val="bottom"/>
          </w:tcPr>
          <w:p>
            <w:pPr>
              <w:spacing w:after="0"/>
              <w:rPr>
                <w:sz w:val="17"/>
                <w:szCs w:val="17"/>
                <w:color w:val="auto"/>
              </w:rPr>
            </w:pPr>
          </w:p>
        </w:tc>
        <w:tc>
          <w:tcPr>
            <w:tcW w:w="8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S/(000)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9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Cash and due from banks</w:t>
            </w:r>
          </w:p>
        </w:tc>
        <w:tc>
          <w:tcPr>
            <w:tcW w:w="7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47,655,196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47,655,196</w:t>
            </w:r>
          </w:p>
        </w:tc>
        <w:tc>
          <w:tcPr>
            <w:tcW w:w="40" w:type="dxa"/>
            <w:vAlign w:val="bottom"/>
          </w:tcPr>
          <w:p>
            <w:pPr>
              <w:spacing w:after="0"/>
              <w:rPr>
                <w:sz w:val="15"/>
                <w:szCs w:val="15"/>
                <w:color w:val="auto"/>
              </w:rPr>
            </w:pP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47,655,196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33,930,948</w:t>
            </w:r>
          </w:p>
        </w:tc>
        <w:tc>
          <w:tcPr>
            <w:tcW w:w="680" w:type="dxa"/>
            <w:vAlign w:val="bottom"/>
            <w:gridSpan w:val="2"/>
          </w:tcPr>
          <w:p>
            <w:pPr>
              <w:ind w:left="52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33,930,948</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33,930,948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Cash collateral, reverse</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repurchase agreement and</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securities borrowing</w:t>
            </w:r>
          </w:p>
        </w:tc>
        <w:tc>
          <w:tcPr>
            <w:tcW w:w="7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1,033,177</w:t>
            </w:r>
          </w:p>
        </w:tc>
        <w:tc>
          <w:tcPr>
            <w:tcW w:w="20" w:type="dxa"/>
            <w:vAlign w:val="bottom"/>
          </w:tcPr>
          <w:p>
            <w:pPr>
              <w:spacing w:after="0"/>
              <w:rPr>
                <w:sz w:val="15"/>
                <w:szCs w:val="15"/>
                <w:color w:val="auto"/>
              </w:rPr>
            </w:pPr>
          </w:p>
        </w:tc>
        <w:tc>
          <w:tcPr>
            <w:tcW w:w="64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1,033,177</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1,033,177</w:t>
            </w:r>
          </w:p>
        </w:tc>
        <w:tc>
          <w:tcPr>
            <w:tcW w:w="20" w:type="dxa"/>
            <w:vAlign w:val="bottom"/>
          </w:tcPr>
          <w:p>
            <w:pPr>
              <w:spacing w:after="0"/>
              <w:rPr>
                <w:sz w:val="15"/>
                <w:szCs w:val="15"/>
                <w:color w:val="auto"/>
              </w:rPr>
            </w:pP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1,410,647</w:t>
            </w:r>
          </w:p>
        </w:tc>
        <w:tc>
          <w:tcPr>
            <w:tcW w:w="680" w:type="dxa"/>
            <w:vAlign w:val="bottom"/>
            <w:gridSpan w:val="2"/>
          </w:tcPr>
          <w:p>
            <w:pPr>
              <w:ind w:left="52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1,410,647</w:t>
            </w:r>
          </w:p>
        </w:tc>
        <w:tc>
          <w:tcPr>
            <w:tcW w:w="9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1,410,647</w:t>
            </w: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Investments at amortized</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cost</w:t>
            </w:r>
          </w:p>
        </w:tc>
        <w:tc>
          <w:tcPr>
            <w:tcW w:w="7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w w:val="95"/>
              </w:rPr>
              <w:t>8,146,745</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296,793</w:t>
            </w:r>
          </w:p>
        </w:tc>
        <w:tc>
          <w:tcPr>
            <w:tcW w:w="20" w:type="dxa"/>
            <w:vAlign w:val="bottom"/>
          </w:tcPr>
          <w:p>
            <w:pPr>
              <w:spacing w:after="0"/>
              <w:rPr>
                <w:sz w:val="15"/>
                <w:szCs w:val="15"/>
                <w:color w:val="auto"/>
              </w:rPr>
            </w:pPr>
          </w:p>
        </w:tc>
        <w:tc>
          <w:tcPr>
            <w:tcW w:w="64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8,443,538</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8,967,877</w:t>
            </w:r>
          </w:p>
        </w:tc>
        <w:tc>
          <w:tcPr>
            <w:tcW w:w="7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w w:val="95"/>
              </w:rPr>
              <w:t>9,338,213</w:t>
            </w:r>
          </w:p>
        </w:tc>
        <w:tc>
          <w:tcPr>
            <w:tcW w:w="9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362,100</w:t>
            </w:r>
          </w:p>
        </w:tc>
        <w:tc>
          <w:tcPr>
            <w:tcW w:w="680" w:type="dxa"/>
            <w:vAlign w:val="bottom"/>
            <w:gridSpan w:val="2"/>
          </w:tcPr>
          <w:p>
            <w:pPr>
              <w:ind w:left="52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9,700,313</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10,188,927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Loans, net</w:t>
            </w:r>
          </w:p>
        </w:tc>
        <w:tc>
          <w:tcPr>
            <w:tcW w:w="1680" w:type="dxa"/>
            <w:vAlign w:val="bottom"/>
            <w:gridSpan w:val="5"/>
          </w:tcPr>
          <w:p>
            <w:pPr>
              <w:jc w:val="right"/>
              <w:ind w:right="40"/>
              <w:spacing w:after="0" w:line="175" w:lineRule="exact"/>
              <w:rPr>
                <w:sz w:val="20"/>
                <w:szCs w:val="20"/>
                <w:color w:val="auto"/>
              </w:rPr>
            </w:pPr>
            <w:r>
              <w:rPr>
                <w:rFonts w:ascii="Arial" w:cs="Arial" w:eastAsia="Arial" w:hAnsi="Arial"/>
                <w:sz w:val="16"/>
                <w:szCs w:val="16"/>
                <w:color w:val="auto"/>
              </w:rPr>
              <w:t>− 137,737,296</w:t>
            </w:r>
          </w:p>
        </w:tc>
        <w:tc>
          <w:tcPr>
            <w:tcW w:w="20" w:type="dxa"/>
            <w:vAlign w:val="bottom"/>
          </w:tcPr>
          <w:p>
            <w:pPr>
              <w:spacing w:after="0"/>
              <w:rPr>
                <w:sz w:val="15"/>
                <w:szCs w:val="15"/>
                <w:color w:val="auto"/>
              </w:rPr>
            </w:pPr>
          </w:p>
        </w:tc>
        <w:tc>
          <w:tcPr>
            <w:tcW w:w="2520" w:type="dxa"/>
            <w:vAlign w:val="bottom"/>
            <w:gridSpan w:val="7"/>
          </w:tcPr>
          <w:p>
            <w:pPr>
              <w:jc w:val="right"/>
              <w:ind w:right="60"/>
              <w:spacing w:after="0" w:line="175" w:lineRule="exact"/>
              <w:rPr>
                <w:sz w:val="20"/>
                <w:szCs w:val="20"/>
                <w:color w:val="auto"/>
              </w:rPr>
            </w:pPr>
            <w:r>
              <w:rPr>
                <w:rFonts w:ascii="Arial" w:cs="Arial" w:eastAsia="Arial" w:hAnsi="Arial"/>
                <w:sz w:val="16"/>
                <w:szCs w:val="16"/>
                <w:color w:val="auto"/>
              </w:rPr>
              <w:t>− 137,737,296 137,737,296</w:t>
            </w:r>
          </w:p>
        </w:tc>
        <w:tc>
          <w:tcPr>
            <w:tcW w:w="20" w:type="dxa"/>
            <w:vAlign w:val="bottom"/>
          </w:tcPr>
          <w:p>
            <w:pPr>
              <w:spacing w:after="0"/>
              <w:rPr>
                <w:sz w:val="15"/>
                <w:szCs w:val="15"/>
                <w:color w:val="auto"/>
              </w:rPr>
            </w:pPr>
          </w:p>
        </w:tc>
        <w:tc>
          <w:tcPr>
            <w:tcW w:w="1700" w:type="dxa"/>
            <w:vAlign w:val="bottom"/>
            <w:gridSpan w:val="5"/>
          </w:tcPr>
          <w:p>
            <w:pPr>
              <w:jc w:val="right"/>
              <w:ind w:right="80"/>
              <w:spacing w:after="0" w:line="175" w:lineRule="exact"/>
              <w:rPr>
                <w:sz w:val="20"/>
                <w:szCs w:val="20"/>
                <w:color w:val="auto"/>
              </w:rPr>
            </w:pPr>
            <w:r>
              <w:rPr>
                <w:rFonts w:ascii="Arial" w:cs="Arial" w:eastAsia="Arial" w:hAnsi="Arial"/>
                <w:sz w:val="16"/>
                <w:szCs w:val="16"/>
                <w:color w:val="auto"/>
              </w:rPr>
              <w:t>− 136,698,135</w:t>
            </w:r>
          </w:p>
        </w:tc>
        <w:tc>
          <w:tcPr>
            <w:tcW w:w="2520" w:type="dxa"/>
            <w:vAlign w:val="bottom"/>
            <w:gridSpan w:val="7"/>
          </w:tcPr>
          <w:p>
            <w:pPr>
              <w:jc w:val="right"/>
              <w:ind w:right="20"/>
              <w:spacing w:after="0" w:line="175" w:lineRule="exact"/>
              <w:rPr>
                <w:sz w:val="20"/>
                <w:szCs w:val="20"/>
                <w:color w:val="auto"/>
              </w:rPr>
            </w:pPr>
            <w:r>
              <w:rPr>
                <w:rFonts w:ascii="Arial" w:cs="Arial" w:eastAsia="Arial" w:hAnsi="Arial"/>
                <w:sz w:val="16"/>
                <w:szCs w:val="16"/>
                <w:color w:val="auto"/>
              </w:rPr>
              <w:t>− 136,698,135 136,698,135</w:t>
            </w: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Due from customers 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banker’s acceptances</w:t>
            </w:r>
          </w:p>
        </w:tc>
        <w:tc>
          <w:tcPr>
            <w:tcW w:w="7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528,184</w:t>
            </w:r>
          </w:p>
        </w:tc>
        <w:tc>
          <w:tcPr>
            <w:tcW w:w="20" w:type="dxa"/>
            <w:vAlign w:val="bottom"/>
          </w:tcPr>
          <w:p>
            <w:pPr>
              <w:spacing w:after="0"/>
              <w:rPr>
                <w:sz w:val="15"/>
                <w:szCs w:val="15"/>
                <w:color w:val="auto"/>
              </w:rPr>
            </w:pPr>
          </w:p>
        </w:tc>
        <w:tc>
          <w:tcPr>
            <w:tcW w:w="64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528,184</w:t>
            </w:r>
          </w:p>
        </w:tc>
        <w:tc>
          <w:tcPr>
            <w:tcW w:w="40" w:type="dxa"/>
            <w:vAlign w:val="bottom"/>
          </w:tcPr>
          <w:p>
            <w:pPr>
              <w:spacing w:after="0"/>
              <w:rPr>
                <w:sz w:val="15"/>
                <w:szCs w:val="15"/>
                <w:color w:val="auto"/>
              </w:rPr>
            </w:pP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528,184</w:t>
            </w:r>
          </w:p>
        </w:tc>
        <w:tc>
          <w:tcPr>
            <w:tcW w:w="20" w:type="dxa"/>
            <w:vAlign w:val="bottom"/>
          </w:tcPr>
          <w:p>
            <w:pPr>
              <w:spacing w:after="0"/>
              <w:rPr>
                <w:sz w:val="15"/>
                <w:szCs w:val="15"/>
                <w:color w:val="auto"/>
              </w:rPr>
            </w:pP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412,401</w:t>
            </w:r>
          </w:p>
        </w:tc>
        <w:tc>
          <w:tcPr>
            <w:tcW w:w="680" w:type="dxa"/>
            <w:vAlign w:val="bottom"/>
            <w:gridSpan w:val="2"/>
          </w:tcPr>
          <w:p>
            <w:pPr>
              <w:ind w:left="52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412,401</w:t>
            </w:r>
          </w:p>
        </w:tc>
        <w:tc>
          <w:tcPr>
            <w:tcW w:w="9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412,401</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20"/>
                <w:szCs w:val="20"/>
                <w:color w:val="auto"/>
              </w:rPr>
            </w:pPr>
            <w:r>
              <w:rPr>
                <w:rFonts w:ascii="Arial" w:cs="Arial" w:eastAsia="Arial" w:hAnsi="Arial"/>
                <w:sz w:val="16"/>
                <w:szCs w:val="16"/>
                <w:color w:val="auto"/>
              </w:rPr>
              <w:t>Other assets (*)</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3,269,019</w:t>
            </w:r>
          </w:p>
        </w:tc>
        <w:tc>
          <w:tcPr>
            <w:tcW w:w="20" w:type="dxa"/>
            <w:vAlign w:val="bottom"/>
          </w:tcPr>
          <w:p>
            <w:pPr>
              <w:spacing w:after="0"/>
              <w:rPr>
                <w:sz w:val="16"/>
                <w:szCs w:val="16"/>
                <w:color w:val="auto"/>
              </w:rPr>
            </w:pPr>
          </w:p>
        </w:tc>
        <w:tc>
          <w:tcPr>
            <w:tcW w:w="6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3,269,019</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3,269,019</w:t>
            </w:r>
          </w:p>
        </w:tc>
        <w:tc>
          <w:tcPr>
            <w:tcW w:w="2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2,072,603</w:t>
            </w:r>
          </w:p>
        </w:tc>
        <w:tc>
          <w:tcPr>
            <w:tcW w:w="6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2,072,603</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2,072,603</w:t>
            </w: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b w:val="1"/>
                <w:bCs w:val="1"/>
                <w:color w:val="auto"/>
              </w:rPr>
              <w:t>Total</w:t>
            </w:r>
          </w:p>
        </w:tc>
        <w:tc>
          <w:tcPr>
            <w:tcW w:w="70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w w:val="95"/>
              </w:rPr>
              <w:t>8,146,745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w w:val="96"/>
              </w:rPr>
              <w:t>190,519,665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tcBorders>
          </w:tcPr>
          <w:p>
            <w:pPr>
              <w:ind w:left="480"/>
              <w:spacing w:after="0" w:line="175" w:lineRule="exact"/>
              <w:rPr>
                <w:sz w:val="20"/>
                <w:szCs w:val="20"/>
                <w:color w:val="auto"/>
              </w:rPr>
            </w:pPr>
            <w:r>
              <w:rPr>
                <w:rFonts w:ascii="Arial" w:cs="Arial" w:eastAsia="Arial" w:hAnsi="Arial"/>
                <w:sz w:val="16"/>
                <w:szCs w:val="16"/>
                <w:color w:val="auto"/>
                <w:w w:val="85"/>
              </w:rPr>
              <w:t>−</w:t>
            </w:r>
          </w:p>
        </w:tc>
        <w:tc>
          <w:tcPr>
            <w:tcW w:w="60" w:type="dxa"/>
            <w:vAlign w:val="bottom"/>
          </w:tcPr>
          <w:p>
            <w:pPr>
              <w:spacing w:after="0"/>
              <w:rPr>
                <w:sz w:val="15"/>
                <w:szCs w:val="15"/>
                <w:color w:val="auto"/>
              </w:rPr>
            </w:pPr>
          </w:p>
        </w:tc>
        <w:tc>
          <w:tcPr>
            <w:tcW w:w="86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w w:val="94"/>
              </w:rPr>
              <w:t>198,666,410</w:t>
            </w:r>
          </w:p>
        </w:tc>
        <w:tc>
          <w:tcPr>
            <w:tcW w:w="80" w:type="dxa"/>
            <w:vAlign w:val="bottom"/>
            <w:gridSpan w:val="2"/>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w w:val="96"/>
              </w:rPr>
              <w:t>199,190,749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w w:val="92"/>
              </w:rPr>
              <w:t>9,338,213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color w:val="auto"/>
                <w:w w:val="94"/>
              </w:rPr>
              <w:t>174,886,834</w:t>
            </w:r>
          </w:p>
        </w:tc>
        <w:tc>
          <w:tcPr>
            <w:tcW w:w="80" w:type="dxa"/>
            <w:vAlign w:val="bottom"/>
          </w:tcPr>
          <w:p>
            <w:pPr>
              <w:spacing w:after="0"/>
              <w:rPr>
                <w:sz w:val="15"/>
                <w:szCs w:val="15"/>
                <w:color w:val="auto"/>
              </w:rPr>
            </w:pPr>
          </w:p>
        </w:tc>
        <w:tc>
          <w:tcPr>
            <w:tcW w:w="60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w w:val="72"/>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line="175" w:lineRule="exact"/>
              <w:rPr>
                <w:sz w:val="20"/>
                <w:szCs w:val="20"/>
                <w:color w:val="auto"/>
              </w:rPr>
            </w:pPr>
            <w:r>
              <w:rPr>
                <w:rFonts w:ascii="Arial" w:cs="Arial" w:eastAsia="Arial" w:hAnsi="Arial"/>
                <w:sz w:val="16"/>
                <w:szCs w:val="16"/>
                <w:color w:val="auto"/>
                <w:w w:val="94"/>
              </w:rPr>
              <w:t>184,225,047</w:t>
            </w:r>
          </w:p>
        </w:tc>
        <w:tc>
          <w:tcPr>
            <w:tcW w:w="100" w:type="dxa"/>
            <w:vAlign w:val="bottom"/>
            <w:gridSpan w:val="2"/>
          </w:tcPr>
          <w:p>
            <w:pPr>
              <w:spacing w:after="0"/>
              <w:rPr>
                <w:sz w:val="15"/>
                <w:szCs w:val="15"/>
                <w:color w:val="auto"/>
              </w:rPr>
            </w:pPr>
          </w:p>
        </w:tc>
        <w:tc>
          <w:tcPr>
            <w:tcW w:w="880" w:type="dxa"/>
            <w:vAlign w:val="bottom"/>
            <w:tcBorders>
              <w:top w:val="single" w:sz="8" w:color="auto"/>
            </w:tcBorders>
            <w:gridSpan w:val="2"/>
          </w:tcPr>
          <w:p>
            <w:pPr>
              <w:jc w:val="right"/>
              <w:ind w:right="20"/>
              <w:spacing w:after="0" w:line="175" w:lineRule="exact"/>
              <w:rPr>
                <w:sz w:val="20"/>
                <w:szCs w:val="20"/>
                <w:color w:val="auto"/>
              </w:rPr>
            </w:pPr>
            <w:r>
              <w:rPr>
                <w:rFonts w:ascii="Arial" w:cs="Arial" w:eastAsia="Arial" w:hAnsi="Arial"/>
                <w:sz w:val="16"/>
                <w:szCs w:val="16"/>
                <w:color w:val="auto"/>
                <w:w w:val="94"/>
              </w:rPr>
              <w:t>184,713,661</w:t>
            </w:r>
          </w:p>
        </w:tc>
        <w:tc>
          <w:tcPr>
            <w:tcW w:w="0" w:type="dxa"/>
            <w:vAlign w:val="bottom"/>
          </w:tcPr>
          <w:p>
            <w:pPr>
              <w:spacing w:after="0"/>
              <w:rPr>
                <w:sz w:val="1"/>
                <w:szCs w:val="1"/>
                <w:color w:val="auto"/>
              </w:rPr>
            </w:pPr>
          </w:p>
        </w:tc>
      </w:tr>
      <w:tr>
        <w:trPr>
          <w:trHeight w:val="315"/>
        </w:trPr>
        <w:tc>
          <w:tcPr>
            <w:tcW w:w="19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Deposits and obligations</w:t>
            </w:r>
          </w:p>
        </w:tc>
        <w:tc>
          <w:tcPr>
            <w:tcW w:w="1680" w:type="dxa"/>
            <w:vAlign w:val="bottom"/>
            <w:gridSpan w:val="5"/>
          </w:tcPr>
          <w:p>
            <w:pPr>
              <w:jc w:val="right"/>
              <w:ind w:right="40"/>
              <w:spacing w:after="0" w:line="175" w:lineRule="exact"/>
              <w:rPr>
                <w:sz w:val="20"/>
                <w:szCs w:val="20"/>
                <w:color w:val="auto"/>
              </w:rPr>
            </w:pPr>
            <w:r>
              <w:rPr>
                <w:rFonts w:ascii="Arial" w:cs="Arial" w:eastAsia="Arial" w:hAnsi="Arial"/>
                <w:sz w:val="16"/>
                <w:szCs w:val="16"/>
                <w:color w:val="auto"/>
              </w:rPr>
              <w:t>− 161,842,066</w:t>
            </w:r>
          </w:p>
        </w:tc>
        <w:tc>
          <w:tcPr>
            <w:tcW w:w="20" w:type="dxa"/>
            <w:vAlign w:val="bottom"/>
          </w:tcPr>
          <w:p>
            <w:pPr>
              <w:spacing w:after="0"/>
              <w:rPr>
                <w:sz w:val="15"/>
                <w:szCs w:val="15"/>
                <w:color w:val="auto"/>
              </w:rPr>
            </w:pPr>
          </w:p>
        </w:tc>
        <w:tc>
          <w:tcPr>
            <w:tcW w:w="2520" w:type="dxa"/>
            <w:vAlign w:val="bottom"/>
            <w:gridSpan w:val="7"/>
          </w:tcPr>
          <w:p>
            <w:pPr>
              <w:jc w:val="right"/>
              <w:ind w:right="60"/>
              <w:spacing w:after="0" w:line="175" w:lineRule="exact"/>
              <w:rPr>
                <w:sz w:val="20"/>
                <w:szCs w:val="20"/>
                <w:color w:val="auto"/>
              </w:rPr>
            </w:pPr>
            <w:r>
              <w:rPr>
                <w:rFonts w:ascii="Arial" w:cs="Arial" w:eastAsia="Arial" w:hAnsi="Arial"/>
                <w:sz w:val="16"/>
                <w:szCs w:val="16"/>
                <w:color w:val="auto"/>
              </w:rPr>
              <w:t>− 161,842,066 161,842,066</w:t>
            </w:r>
          </w:p>
        </w:tc>
        <w:tc>
          <w:tcPr>
            <w:tcW w:w="20" w:type="dxa"/>
            <w:vAlign w:val="bottom"/>
          </w:tcPr>
          <w:p>
            <w:pPr>
              <w:spacing w:after="0"/>
              <w:rPr>
                <w:sz w:val="15"/>
                <w:szCs w:val="15"/>
                <w:color w:val="auto"/>
              </w:rPr>
            </w:pPr>
          </w:p>
        </w:tc>
        <w:tc>
          <w:tcPr>
            <w:tcW w:w="1700" w:type="dxa"/>
            <w:vAlign w:val="bottom"/>
            <w:gridSpan w:val="5"/>
          </w:tcPr>
          <w:p>
            <w:pPr>
              <w:jc w:val="right"/>
              <w:ind w:right="80"/>
              <w:spacing w:after="0" w:line="175" w:lineRule="exact"/>
              <w:rPr>
                <w:sz w:val="20"/>
                <w:szCs w:val="20"/>
                <w:color w:val="auto"/>
              </w:rPr>
            </w:pPr>
            <w:r>
              <w:rPr>
                <w:rFonts w:ascii="Arial" w:cs="Arial" w:eastAsia="Arial" w:hAnsi="Arial"/>
                <w:sz w:val="16"/>
                <w:szCs w:val="16"/>
                <w:color w:val="auto"/>
              </w:rPr>
              <w:t>− 147,704,994</w:t>
            </w:r>
          </w:p>
        </w:tc>
        <w:tc>
          <w:tcPr>
            <w:tcW w:w="2520" w:type="dxa"/>
            <w:vAlign w:val="bottom"/>
            <w:gridSpan w:val="7"/>
          </w:tcPr>
          <w:p>
            <w:pPr>
              <w:jc w:val="right"/>
              <w:ind w:right="20"/>
              <w:spacing w:after="0" w:line="175" w:lineRule="exact"/>
              <w:rPr>
                <w:sz w:val="20"/>
                <w:szCs w:val="20"/>
                <w:color w:val="auto"/>
              </w:rPr>
            </w:pPr>
            <w:r>
              <w:rPr>
                <w:rFonts w:ascii="Arial" w:cs="Arial" w:eastAsia="Arial" w:hAnsi="Arial"/>
                <w:sz w:val="16"/>
                <w:szCs w:val="16"/>
                <w:color w:val="auto"/>
              </w:rPr>
              <w:t>− 147,704,994 147,704,994</w:t>
            </w: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Payables on repurchase</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agreements and</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securities lending</w:t>
            </w:r>
          </w:p>
        </w:tc>
        <w:tc>
          <w:tcPr>
            <w:tcW w:w="7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9,060,710</w:t>
            </w:r>
          </w:p>
        </w:tc>
        <w:tc>
          <w:tcPr>
            <w:tcW w:w="20" w:type="dxa"/>
            <w:vAlign w:val="bottom"/>
          </w:tcPr>
          <w:p>
            <w:pPr>
              <w:spacing w:after="0"/>
              <w:rPr>
                <w:sz w:val="15"/>
                <w:szCs w:val="15"/>
                <w:color w:val="auto"/>
              </w:rPr>
            </w:pPr>
          </w:p>
        </w:tc>
        <w:tc>
          <w:tcPr>
            <w:tcW w:w="64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9,060,710</w:t>
            </w: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9,060,710</w:t>
            </w:r>
          </w:p>
        </w:tc>
        <w:tc>
          <w:tcPr>
            <w:tcW w:w="20" w:type="dxa"/>
            <w:vAlign w:val="bottom"/>
          </w:tcPr>
          <w:p>
            <w:pPr>
              <w:spacing w:after="0"/>
              <w:rPr>
                <w:sz w:val="15"/>
                <w:szCs w:val="15"/>
                <w:color w:val="auto"/>
              </w:rPr>
            </w:pP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10,168,427</w:t>
            </w:r>
          </w:p>
        </w:tc>
        <w:tc>
          <w:tcPr>
            <w:tcW w:w="680" w:type="dxa"/>
            <w:vAlign w:val="bottom"/>
            <w:gridSpan w:val="2"/>
          </w:tcPr>
          <w:p>
            <w:pPr>
              <w:ind w:left="52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10,168,427</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10,168,427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Due to Banks and</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correspondents and other</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entities</w:t>
            </w:r>
          </w:p>
        </w:tc>
        <w:tc>
          <w:tcPr>
            <w:tcW w:w="7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10,820,211</w:t>
            </w:r>
          </w:p>
        </w:tc>
        <w:tc>
          <w:tcPr>
            <w:tcW w:w="20" w:type="dxa"/>
            <w:vAlign w:val="bottom"/>
          </w:tcPr>
          <w:p>
            <w:pPr>
              <w:spacing w:after="0"/>
              <w:rPr>
                <w:sz w:val="15"/>
                <w:szCs w:val="15"/>
                <w:color w:val="auto"/>
              </w:rPr>
            </w:pPr>
          </w:p>
        </w:tc>
        <w:tc>
          <w:tcPr>
            <w:tcW w:w="64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10,820,211</w:t>
            </w: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10,754,385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12,308,392</w:t>
            </w:r>
          </w:p>
        </w:tc>
        <w:tc>
          <w:tcPr>
            <w:tcW w:w="680" w:type="dxa"/>
            <w:vAlign w:val="bottom"/>
            <w:gridSpan w:val="2"/>
          </w:tcPr>
          <w:p>
            <w:pPr>
              <w:ind w:left="52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12,308,392</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12,278,681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Due from customers 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banker’s acceptances</w:t>
            </w:r>
          </w:p>
        </w:tc>
        <w:tc>
          <w:tcPr>
            <w:tcW w:w="7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528,184</w:t>
            </w:r>
          </w:p>
        </w:tc>
        <w:tc>
          <w:tcPr>
            <w:tcW w:w="20" w:type="dxa"/>
            <w:vAlign w:val="bottom"/>
          </w:tcPr>
          <w:p>
            <w:pPr>
              <w:spacing w:after="0"/>
              <w:rPr>
                <w:sz w:val="15"/>
                <w:szCs w:val="15"/>
                <w:color w:val="auto"/>
              </w:rPr>
            </w:pPr>
          </w:p>
        </w:tc>
        <w:tc>
          <w:tcPr>
            <w:tcW w:w="64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528,184</w:t>
            </w:r>
          </w:p>
        </w:tc>
        <w:tc>
          <w:tcPr>
            <w:tcW w:w="40" w:type="dxa"/>
            <w:vAlign w:val="bottom"/>
          </w:tcPr>
          <w:p>
            <w:pPr>
              <w:spacing w:after="0"/>
              <w:rPr>
                <w:sz w:val="15"/>
                <w:szCs w:val="15"/>
                <w:color w:val="auto"/>
              </w:rPr>
            </w:pP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528,184</w:t>
            </w:r>
          </w:p>
        </w:tc>
        <w:tc>
          <w:tcPr>
            <w:tcW w:w="20" w:type="dxa"/>
            <w:vAlign w:val="bottom"/>
          </w:tcPr>
          <w:p>
            <w:pPr>
              <w:spacing w:after="0"/>
              <w:rPr>
                <w:sz w:val="15"/>
                <w:szCs w:val="15"/>
                <w:color w:val="auto"/>
              </w:rPr>
            </w:pP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412,401</w:t>
            </w:r>
          </w:p>
        </w:tc>
        <w:tc>
          <w:tcPr>
            <w:tcW w:w="680" w:type="dxa"/>
            <w:vAlign w:val="bottom"/>
            <w:gridSpan w:val="2"/>
          </w:tcPr>
          <w:p>
            <w:pPr>
              <w:ind w:left="52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412,401</w:t>
            </w:r>
          </w:p>
        </w:tc>
        <w:tc>
          <w:tcPr>
            <w:tcW w:w="9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412,401</w:t>
            </w: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Lease liabilities</w:t>
            </w:r>
          </w:p>
        </w:tc>
        <w:tc>
          <w:tcPr>
            <w:tcW w:w="7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line="175" w:lineRule="exact"/>
              <w:rPr>
                <w:sz w:val="20"/>
                <w:szCs w:val="20"/>
                <w:color w:val="auto"/>
              </w:rPr>
            </w:pPr>
            <w:r>
              <w:rPr>
                <w:rFonts w:ascii="Arial" w:cs="Arial" w:eastAsia="Arial" w:hAnsi="Arial"/>
                <w:sz w:val="16"/>
                <w:szCs w:val="16"/>
                <w:color w:val="auto"/>
              </w:rPr>
              <w:t>404,817</w:t>
            </w:r>
          </w:p>
        </w:tc>
        <w:tc>
          <w:tcPr>
            <w:tcW w:w="20" w:type="dxa"/>
            <w:vAlign w:val="bottom"/>
          </w:tcPr>
          <w:p>
            <w:pPr>
              <w:spacing w:after="0"/>
              <w:rPr>
                <w:sz w:val="15"/>
                <w:szCs w:val="15"/>
                <w:color w:val="auto"/>
              </w:rPr>
            </w:pPr>
          </w:p>
        </w:tc>
        <w:tc>
          <w:tcPr>
            <w:tcW w:w="64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404,817</w:t>
            </w:r>
          </w:p>
        </w:tc>
        <w:tc>
          <w:tcPr>
            <w:tcW w:w="40" w:type="dxa"/>
            <w:vAlign w:val="bottom"/>
          </w:tcPr>
          <w:p>
            <w:pPr>
              <w:spacing w:after="0"/>
              <w:rPr>
                <w:sz w:val="15"/>
                <w:szCs w:val="15"/>
                <w:color w:val="auto"/>
              </w:rPr>
            </w:pPr>
          </w:p>
        </w:tc>
        <w:tc>
          <w:tcPr>
            <w:tcW w:w="98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404,817</w:t>
            </w:r>
          </w:p>
        </w:tc>
        <w:tc>
          <w:tcPr>
            <w:tcW w:w="20" w:type="dxa"/>
            <w:vAlign w:val="bottom"/>
          </w:tcPr>
          <w:p>
            <w:pPr>
              <w:spacing w:after="0"/>
              <w:rPr>
                <w:sz w:val="15"/>
                <w:szCs w:val="15"/>
                <w:color w:val="auto"/>
              </w:rPr>
            </w:pP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512,579</w:t>
            </w:r>
          </w:p>
        </w:tc>
        <w:tc>
          <w:tcPr>
            <w:tcW w:w="680" w:type="dxa"/>
            <w:vAlign w:val="bottom"/>
            <w:gridSpan w:val="2"/>
          </w:tcPr>
          <w:p>
            <w:pPr>
              <w:ind w:left="52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512,579</w:t>
            </w:r>
          </w:p>
        </w:tc>
        <w:tc>
          <w:tcPr>
            <w:tcW w:w="900" w:type="dxa"/>
            <w:vAlign w:val="bottom"/>
            <w:gridSpan w:val="3"/>
          </w:tcPr>
          <w:p>
            <w:pPr>
              <w:jc w:val="right"/>
              <w:ind w:right="20"/>
              <w:spacing w:after="0" w:line="175" w:lineRule="exact"/>
              <w:rPr>
                <w:sz w:val="20"/>
                <w:szCs w:val="20"/>
                <w:color w:val="auto"/>
              </w:rPr>
            </w:pPr>
            <w:r>
              <w:rPr>
                <w:rFonts w:ascii="Arial" w:cs="Arial" w:eastAsia="Arial" w:hAnsi="Arial"/>
                <w:sz w:val="16"/>
                <w:szCs w:val="16"/>
                <w:color w:val="auto"/>
              </w:rPr>
              <w:t>512,579</w:t>
            </w:r>
          </w:p>
        </w:tc>
        <w:tc>
          <w:tcPr>
            <w:tcW w:w="0" w:type="dxa"/>
            <w:vAlign w:val="bottom"/>
          </w:tcPr>
          <w:p>
            <w:pPr>
              <w:spacing w:after="0"/>
              <w:rPr>
                <w:sz w:val="1"/>
                <w:szCs w:val="1"/>
                <w:color w:val="auto"/>
              </w:rPr>
            </w:pPr>
          </w:p>
        </w:tc>
      </w:tr>
      <w:tr>
        <w:trPr>
          <w:trHeight w:val="175"/>
        </w:trPr>
        <w:tc>
          <w:tcPr>
            <w:tcW w:w="1980" w:type="dxa"/>
            <w:vAlign w:val="bottom"/>
          </w:tcPr>
          <w:p>
            <w:pPr>
              <w:spacing w:after="0" w:line="175" w:lineRule="exact"/>
              <w:rPr>
                <w:sz w:val="20"/>
                <w:szCs w:val="20"/>
                <w:color w:val="auto"/>
              </w:rPr>
            </w:pPr>
            <w:r>
              <w:rPr>
                <w:rFonts w:ascii="Arial" w:cs="Arial" w:eastAsia="Arial" w:hAnsi="Arial"/>
                <w:sz w:val="16"/>
                <w:szCs w:val="16"/>
                <w:color w:val="auto"/>
              </w:rPr>
              <w:t>Bond and notes issued</w:t>
            </w:r>
          </w:p>
        </w:tc>
        <w:tc>
          <w:tcPr>
            <w:tcW w:w="7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17,230,157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80"/>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5" w:lineRule="exact"/>
              <w:rPr>
                <w:sz w:val="20"/>
                <w:szCs w:val="20"/>
                <w:color w:val="auto"/>
              </w:rPr>
            </w:pPr>
            <w:r>
              <w:rPr>
                <w:rFonts w:ascii="Arial" w:cs="Arial" w:eastAsia="Arial" w:hAnsi="Arial"/>
                <w:sz w:val="16"/>
                <w:szCs w:val="16"/>
                <w:color w:val="auto"/>
              </w:rPr>
              <w:t>17,230,157</w:t>
            </w:r>
          </w:p>
        </w:tc>
        <w:tc>
          <w:tcPr>
            <w:tcW w:w="40" w:type="dxa"/>
            <w:vAlign w:val="bottom"/>
          </w:tcPr>
          <w:p>
            <w:pPr>
              <w:spacing w:after="0"/>
              <w:rPr>
                <w:sz w:val="15"/>
                <w:szCs w:val="15"/>
                <w:color w:val="auto"/>
              </w:rPr>
            </w:pPr>
          </w:p>
        </w:tc>
        <w:tc>
          <w:tcPr>
            <w:tcW w:w="92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17,268,443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line="175" w:lineRule="exact"/>
              <w:rPr>
                <w:sz w:val="20"/>
                <w:szCs w:val="20"/>
                <w:color w:val="auto"/>
              </w:rPr>
            </w:pPr>
            <w:r>
              <w:rPr>
                <w:rFonts w:ascii="Arial" w:cs="Arial" w:eastAsia="Arial" w:hAnsi="Arial"/>
                <w:sz w:val="16"/>
                <w:szCs w:val="16"/>
                <w:color w:val="auto"/>
              </w:rPr>
              <w:t>14,742,600</w:t>
            </w:r>
          </w:p>
        </w:tc>
        <w:tc>
          <w:tcPr>
            <w:tcW w:w="680" w:type="dxa"/>
            <w:vAlign w:val="bottom"/>
            <w:gridSpan w:val="2"/>
          </w:tcPr>
          <w:p>
            <w:pPr>
              <w:ind w:left="52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14,742,600</w:t>
            </w:r>
          </w:p>
        </w:tc>
        <w:tc>
          <w:tcPr>
            <w:tcW w:w="8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14,594,785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80" w:type="dxa"/>
            <w:vAlign w:val="bottom"/>
          </w:tcPr>
          <w:p>
            <w:pPr>
              <w:spacing w:after="0"/>
              <w:rPr>
                <w:sz w:val="20"/>
                <w:szCs w:val="20"/>
                <w:color w:val="auto"/>
              </w:rPr>
            </w:pPr>
            <w:r>
              <w:rPr>
                <w:rFonts w:ascii="Arial" w:cs="Arial" w:eastAsia="Arial" w:hAnsi="Arial"/>
                <w:sz w:val="16"/>
                <w:szCs w:val="16"/>
                <w:color w:val="auto"/>
              </w:rPr>
              <w:t>Other liabilities (**)</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5,220,127</w:t>
            </w:r>
          </w:p>
        </w:tc>
        <w:tc>
          <w:tcPr>
            <w:tcW w:w="20" w:type="dxa"/>
            <w:vAlign w:val="bottom"/>
          </w:tcPr>
          <w:p>
            <w:pPr>
              <w:spacing w:after="0"/>
              <w:rPr>
                <w:sz w:val="17"/>
                <w:szCs w:val="17"/>
                <w:color w:val="auto"/>
              </w:rPr>
            </w:pPr>
          </w:p>
        </w:tc>
        <w:tc>
          <w:tcPr>
            <w:tcW w:w="6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5,220,127</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5,220,127</w:t>
            </w:r>
          </w:p>
        </w:tc>
        <w:tc>
          <w:tcPr>
            <w:tcW w:w="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4,586,511</w:t>
            </w:r>
          </w:p>
        </w:tc>
        <w:tc>
          <w:tcPr>
            <w:tcW w:w="6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4,586,511</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4,586,511</w:t>
            </w:r>
          </w:p>
        </w:tc>
        <w:tc>
          <w:tcPr>
            <w:tcW w:w="0" w:type="dxa"/>
            <w:vAlign w:val="bottom"/>
          </w:tcPr>
          <w:p>
            <w:pPr>
              <w:spacing w:after="0"/>
              <w:rPr>
                <w:sz w:val="1"/>
                <w:szCs w:val="1"/>
                <w:color w:val="auto"/>
              </w:rPr>
            </w:pPr>
          </w:p>
        </w:tc>
      </w:tr>
      <w:tr>
        <w:trPr>
          <w:trHeight w:val="170"/>
        </w:trPr>
        <w:tc>
          <w:tcPr>
            <w:tcW w:w="1980" w:type="dxa"/>
            <w:vAlign w:val="bottom"/>
          </w:tcPr>
          <w:p>
            <w:pPr>
              <w:spacing w:after="0" w:line="167" w:lineRule="exact"/>
              <w:rPr>
                <w:sz w:val="20"/>
                <w:szCs w:val="20"/>
                <w:color w:val="auto"/>
              </w:rPr>
            </w:pPr>
            <w:r>
              <w:rPr>
                <w:rFonts w:ascii="Arial" w:cs="Arial" w:eastAsia="Arial" w:hAnsi="Arial"/>
                <w:sz w:val="16"/>
                <w:szCs w:val="16"/>
                <w:b w:val="1"/>
                <w:bCs w:val="1"/>
                <w:color w:val="auto"/>
              </w:rPr>
              <w:t>Total</w:t>
            </w:r>
          </w:p>
        </w:tc>
        <w:tc>
          <w:tcPr>
            <w:tcW w:w="7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60" w:type="dxa"/>
            <w:vAlign w:val="bottom"/>
            <w:gridSpan w:val="2"/>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205,106,272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bottom w:val="single" w:sz="8" w:color="auto"/>
            </w:tcBorders>
          </w:tcPr>
          <w:p>
            <w:pPr>
              <w:ind w:left="480"/>
              <w:spacing w:after="0" w:line="167" w:lineRule="exact"/>
              <w:rPr>
                <w:sz w:val="20"/>
                <w:szCs w:val="20"/>
                <w:color w:val="auto"/>
              </w:rPr>
            </w:pPr>
            <w:r>
              <w:rPr>
                <w:rFonts w:ascii="Arial" w:cs="Arial" w:eastAsia="Arial" w:hAnsi="Arial"/>
                <w:sz w:val="16"/>
                <w:szCs w:val="16"/>
                <w:color w:val="auto"/>
                <w:w w:val="85"/>
              </w:rPr>
              <w:t>−</w:t>
            </w:r>
          </w:p>
        </w:tc>
        <w:tc>
          <w:tcPr>
            <w:tcW w:w="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4"/>
              </w:rPr>
              <w:t>205,106,272</w:t>
            </w:r>
          </w:p>
        </w:tc>
        <w:tc>
          <w:tcPr>
            <w:tcW w:w="80" w:type="dxa"/>
            <w:vAlign w:val="bottom"/>
            <w:gridSpan w:val="2"/>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w w:val="96"/>
              </w:rPr>
              <w:t>205,078,732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w:t>
            </w:r>
          </w:p>
        </w:tc>
        <w:tc>
          <w:tcPr>
            <w:tcW w:w="80" w:type="dxa"/>
            <w:vAlign w:val="bottom"/>
            <w:gridSpan w:val="2"/>
          </w:tcPr>
          <w:p>
            <w:pPr>
              <w:spacing w:after="0"/>
              <w:rPr>
                <w:sz w:val="14"/>
                <w:szCs w:val="14"/>
                <w:color w:val="auto"/>
              </w:rPr>
            </w:pPr>
          </w:p>
        </w:tc>
        <w:tc>
          <w:tcPr>
            <w:tcW w:w="860" w:type="dxa"/>
            <w:vAlign w:val="bottom"/>
            <w:tcBorders>
              <w:top w:val="single" w:sz="8" w:color="auto"/>
              <w:bottom w:val="single" w:sz="8" w:color="auto"/>
            </w:tcBorders>
          </w:tcPr>
          <w:p>
            <w:pPr>
              <w:spacing w:after="0" w:line="167" w:lineRule="exact"/>
              <w:rPr>
                <w:sz w:val="20"/>
                <w:szCs w:val="20"/>
                <w:color w:val="auto"/>
              </w:rPr>
            </w:pPr>
            <w:r>
              <w:rPr>
                <w:rFonts w:ascii="Arial" w:cs="Arial" w:eastAsia="Arial" w:hAnsi="Arial"/>
                <w:sz w:val="16"/>
                <w:szCs w:val="16"/>
                <w:color w:val="auto"/>
                <w:w w:val="94"/>
              </w:rPr>
              <w:t>190,435,904</w:t>
            </w: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w w:val="72"/>
              </w:rPr>
              <w:t>−</w:t>
            </w: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line="167" w:lineRule="exact"/>
              <w:rPr>
                <w:sz w:val="20"/>
                <w:szCs w:val="20"/>
                <w:color w:val="auto"/>
              </w:rPr>
            </w:pPr>
            <w:r>
              <w:rPr>
                <w:rFonts w:ascii="Arial" w:cs="Arial" w:eastAsia="Arial" w:hAnsi="Arial"/>
                <w:sz w:val="16"/>
                <w:szCs w:val="16"/>
                <w:color w:val="auto"/>
                <w:w w:val="94"/>
              </w:rPr>
              <w:t>190,435,904</w:t>
            </w:r>
          </w:p>
        </w:tc>
        <w:tc>
          <w:tcPr>
            <w:tcW w:w="100" w:type="dxa"/>
            <w:vAlign w:val="bottom"/>
            <w:gridSpan w:val="2"/>
          </w:tcPr>
          <w:p>
            <w:pPr>
              <w:spacing w:after="0"/>
              <w:rPr>
                <w:sz w:val="14"/>
                <w:szCs w:val="14"/>
                <w:color w:val="auto"/>
              </w:rPr>
            </w:pPr>
          </w:p>
        </w:tc>
        <w:tc>
          <w:tcPr>
            <w:tcW w:w="880" w:type="dxa"/>
            <w:vAlign w:val="bottom"/>
            <w:tcBorders>
              <w:top w:val="single" w:sz="8" w:color="auto"/>
              <w:bottom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w w:val="94"/>
              </w:rPr>
              <w:t>190,258,378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Corresponds to receivables, margin call, receivables from sale of investments and operations in process.</w:t>
      </w:r>
    </w:p>
    <w:p>
      <w:pPr>
        <w:spacing w:after="0" w:line="5" w:lineRule="exact"/>
        <w:rPr>
          <w:sz w:val="20"/>
          <w:szCs w:val="20"/>
          <w:color w:val="auto"/>
        </w:rPr>
      </w:pPr>
    </w:p>
    <w:p>
      <w:pPr>
        <w:ind w:left="280" w:right="60" w:hanging="6"/>
        <w:spacing w:after="0" w:line="238" w:lineRule="auto"/>
        <w:tabs>
          <w:tab w:leader="none" w:pos="54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Corresponds to accounts payable, salaries and other personnel expenses, accounts payable for acquisitions of investments, operations in process, allowance for indirect loan losses and dividends payable</w:t>
      </w: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36195</wp:posOffset>
            </wp:positionV>
            <wp:extent cx="7150735"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700"/>
          </w:cols>
          <w:pgMar w:left="880" w:top="124" w:right="319" w:bottom="1440" w:gutter="0" w:footer="0" w:header="0"/>
        </w:sectPr>
      </w:pPr>
    </w:p>
    <w:bookmarkStart w:id="169" w:name="page170"/>
    <w:bookmarkEnd w:id="169"/>
    <w:p>
      <w:pPr>
        <w:ind w:left="560" w:right="500"/>
        <w:spacing w:after="0" w:line="256" w:lineRule="auto"/>
        <w:rPr>
          <w:sz w:val="20"/>
          <w:szCs w:val="20"/>
          <w:color w:val="auto"/>
        </w:rPr>
      </w:pPr>
      <w:r>
        <w:rPr>
          <w:rFonts w:ascii="Arial" w:cs="Arial" w:eastAsia="Arial" w:hAnsi="Arial"/>
          <w:sz w:val="16"/>
          <w:szCs w:val="16"/>
          <w:color w:val="auto"/>
        </w:rPr>
        <w:t>The methodologies and assumptions used by the Group to determine fair values depend on the terms and risk characteristics of the various financial instruments and include the following:</w:t>
      </w:r>
    </w:p>
    <w:p>
      <w:pPr>
        <w:spacing w:after="0" w:line="122" w:lineRule="exact"/>
        <w:rPr>
          <w:sz w:val="20"/>
          <w:szCs w:val="20"/>
          <w:color w:val="auto"/>
        </w:rPr>
      </w:pPr>
    </w:p>
    <w:p>
      <w:pPr>
        <w:jc w:val="both"/>
        <w:ind w:left="840" w:right="100" w:hanging="286"/>
        <w:spacing w:after="0" w:line="238" w:lineRule="auto"/>
        <w:tabs>
          <w:tab w:leader="none" w:pos="8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Long-term fixed-rate and variable-rate loans are evaluated by the Group based on parameters such as interest rates, specific country risk factors, and individual creditworthiness of the customer and the risk characteristics of the financed project. Based on this evaluation, allowances are considered for the incurred losses of these loans. As of December 31, 2024, and 2023, the carrying amounts of loans, net of allowances, were not materially different from their calculated fair values.</w:t>
      </w:r>
    </w:p>
    <w:p>
      <w:pPr>
        <w:spacing w:after="0" w:line="133" w:lineRule="exact"/>
        <w:rPr>
          <w:rFonts w:ascii="Arial" w:cs="Arial" w:eastAsia="Arial" w:hAnsi="Arial"/>
          <w:sz w:val="16"/>
          <w:szCs w:val="16"/>
          <w:color w:val="auto"/>
        </w:rPr>
      </w:pPr>
    </w:p>
    <w:p>
      <w:pPr>
        <w:ind w:left="840" w:right="100" w:hanging="286"/>
        <w:spacing w:after="0" w:line="241" w:lineRule="auto"/>
        <w:tabs>
          <w:tab w:leader="none" w:pos="8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Assets for which fair values approximate their carrying value - For financial assets and financial liabilities that are liquid or have a short-term maturity (less than three months) it is assumed that the carrying amounts approximate to their fair values. This three month is also applied to demand deposits, savings accounts without a specific maturity and variable rate financial instruments</w:t>
      </w:r>
    </w:p>
    <w:p>
      <w:pPr>
        <w:spacing w:after="0" w:line="134" w:lineRule="exact"/>
        <w:rPr>
          <w:rFonts w:ascii="Arial" w:cs="Arial" w:eastAsia="Arial" w:hAnsi="Arial"/>
          <w:sz w:val="16"/>
          <w:szCs w:val="16"/>
          <w:color w:val="auto"/>
        </w:rPr>
      </w:pPr>
    </w:p>
    <w:p>
      <w:pPr>
        <w:ind w:left="840" w:right="60" w:hanging="286"/>
        <w:spacing w:after="0" w:line="236" w:lineRule="auto"/>
        <w:tabs>
          <w:tab w:leader="none" w:pos="8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interest-bearing deposits is based on discounted cash flows using prevailing market interest rates for financial instruments with similar credit risk and maturity. For quoted debt issued the fair values are calculated based on quoted market prices. When quoted market prices are not available, a discounted cash flow model is used based on a current interest rate yield curve appropriate for the remaining term to maturity.</w:t>
      </w:r>
    </w:p>
    <w:p>
      <w:pPr>
        <w:spacing w:after="0" w:line="13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30.12</w:t>
      </w:r>
      <w:r>
        <w:rPr>
          <w:sz w:val="20"/>
          <w:szCs w:val="20"/>
          <w:color w:val="auto"/>
        </w:rPr>
        <w:tab/>
      </w:r>
      <w:r>
        <w:rPr>
          <w:rFonts w:ascii="Arial" w:cs="Arial" w:eastAsia="Arial" w:hAnsi="Arial"/>
          <w:sz w:val="14"/>
          <w:szCs w:val="14"/>
          <w:b w:val="1"/>
          <w:bCs w:val="1"/>
          <w:color w:val="auto"/>
        </w:rPr>
        <w:t>Fiduciary activities, management of funds and pension funds -</w:t>
      </w:r>
    </w:p>
    <w:p>
      <w:pPr>
        <w:spacing w:after="0" w:line="168" w:lineRule="exact"/>
        <w:rPr>
          <w:sz w:val="20"/>
          <w:szCs w:val="20"/>
          <w:color w:val="auto"/>
        </w:rPr>
      </w:pPr>
    </w:p>
    <w:p>
      <w:pPr>
        <w:ind w:left="560" w:right="100"/>
        <w:spacing w:after="0" w:line="241"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that the Group will be accused of mismanagement or under-performance.</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2024, and 2023, the value of the net assets under administration off the balance sheet (in millions of soles)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gridSpan w:val="2"/>
          </w:tcPr>
          <w:p>
            <w:pPr>
              <w:ind w:left="7720"/>
              <w:spacing w:after="0"/>
              <w:rPr>
                <w:sz w:val="20"/>
                <w:szCs w:val="20"/>
                <w:color w:val="auto"/>
              </w:rPr>
            </w:pPr>
            <w:r>
              <w:rPr>
                <w:rFonts w:ascii="Arial" w:cs="Arial" w:eastAsia="Arial" w:hAnsi="Arial"/>
                <w:sz w:val="16"/>
                <w:szCs w:val="16"/>
                <w:b w:val="1"/>
                <w:bCs w:val="1"/>
                <w:color w:val="auto"/>
              </w:rPr>
              <w:t>2024</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662"/>
              <w:spacing w:after="0"/>
              <w:rPr>
                <w:sz w:val="20"/>
                <w:szCs w:val="20"/>
                <w:color w:val="auto"/>
              </w:rPr>
            </w:pPr>
            <w:r>
              <w:rPr>
                <w:rFonts w:ascii="Arial" w:cs="Arial" w:eastAsia="Arial" w:hAnsi="Arial"/>
                <w:sz w:val="16"/>
                <w:szCs w:val="16"/>
                <w:b w:val="1"/>
                <w:bCs w:val="1"/>
                <w:color w:val="auto"/>
                <w:w w:val="89"/>
              </w:rPr>
              <w:t>2023</w:t>
            </w:r>
          </w:p>
        </w:tc>
        <w:tc>
          <w:tcPr>
            <w:tcW w:w="1180" w:type="dxa"/>
            <w:vAlign w:val="bottom"/>
          </w:tcPr>
          <w:p>
            <w:pPr>
              <w:spacing w:after="0"/>
              <w:rPr>
                <w:sz w:val="16"/>
                <w:szCs w:val="16"/>
                <w:color w:val="auto"/>
              </w:rPr>
            </w:pPr>
          </w:p>
        </w:tc>
      </w:tr>
      <w:tr>
        <w:trPr>
          <w:trHeight w:val="152"/>
        </w:trPr>
        <w:tc>
          <w:tcPr>
            <w:tcW w:w="7720" w:type="dxa"/>
            <w:vAlign w:val="bottom"/>
          </w:tcPr>
          <w:p>
            <w:pPr>
              <w:ind w:left="560"/>
              <w:spacing w:after="0" w:line="152" w:lineRule="exact"/>
              <w:rPr>
                <w:sz w:val="20"/>
                <w:szCs w:val="20"/>
                <w:color w:val="auto"/>
              </w:rPr>
            </w:pPr>
            <w:r>
              <w:rPr>
                <w:rFonts w:ascii="Arial" w:cs="Arial" w:eastAsia="Arial" w:hAnsi="Arial"/>
                <w:sz w:val="16"/>
                <w:szCs w:val="16"/>
                <w:color w:val="auto"/>
              </w:rPr>
              <w:t>Investment funds and mutual funds</w:t>
            </w:r>
          </w:p>
        </w:tc>
        <w:tc>
          <w:tcPr>
            <w:tcW w:w="4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64,430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top w:val="single" w:sz="8" w:color="auto"/>
            </w:tcBorders>
          </w:tcPr>
          <w:p>
            <w:pPr>
              <w:jc w:val="right"/>
              <w:spacing w:after="0" w:line="152" w:lineRule="exact"/>
              <w:rPr>
                <w:sz w:val="20"/>
                <w:szCs w:val="20"/>
                <w:color w:val="auto"/>
              </w:rPr>
            </w:pPr>
            <w:r>
              <w:rPr>
                <w:rFonts w:ascii="Arial" w:cs="Arial" w:eastAsia="Arial" w:hAnsi="Arial"/>
                <w:sz w:val="16"/>
                <w:szCs w:val="16"/>
                <w:color w:val="auto"/>
              </w:rPr>
              <w:t>55,773</w:t>
            </w:r>
          </w:p>
        </w:tc>
        <w:tc>
          <w:tcPr>
            <w:tcW w:w="1180" w:type="dxa"/>
            <w:vAlign w:val="bottom"/>
          </w:tcPr>
          <w:p>
            <w:pPr>
              <w:spacing w:after="0"/>
              <w:rPr>
                <w:sz w:val="13"/>
                <w:szCs w:val="13"/>
                <w:color w:val="auto"/>
              </w:rPr>
            </w:pPr>
          </w:p>
        </w:tc>
      </w:tr>
      <w:tr>
        <w:trPr>
          <w:trHeight w:val="175"/>
        </w:trPr>
        <w:tc>
          <w:tcPr>
            <w:tcW w:w="8140" w:type="dxa"/>
            <w:vAlign w:val="bottom"/>
            <w:gridSpan w:val="2"/>
          </w:tcPr>
          <w:p>
            <w:pPr>
              <w:ind w:left="560"/>
              <w:spacing w:after="0" w:line="175" w:lineRule="exact"/>
              <w:rPr>
                <w:sz w:val="20"/>
                <w:szCs w:val="20"/>
                <w:color w:val="auto"/>
              </w:rPr>
            </w:pPr>
            <w:r>
              <w:rPr>
                <w:rFonts w:ascii="Arial" w:cs="Arial" w:eastAsia="Arial" w:hAnsi="Arial"/>
                <w:sz w:val="16"/>
                <w:szCs w:val="16"/>
                <w:color w:val="auto"/>
              </w:rPr>
              <w:t>Equity managed</w:t>
            </w:r>
          </w:p>
        </w:tc>
        <w:tc>
          <w:tcPr>
            <w:tcW w:w="6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39,372</w:t>
            </w:r>
          </w:p>
        </w:tc>
        <w:tc>
          <w:tcPr>
            <w:tcW w:w="180" w:type="dxa"/>
            <w:vAlign w:val="bottom"/>
          </w:tcPr>
          <w:p>
            <w:pPr>
              <w:spacing w:after="0"/>
              <w:rPr>
                <w:sz w:val="15"/>
                <w:szCs w:val="15"/>
                <w:color w:val="auto"/>
              </w:rPr>
            </w:pPr>
          </w:p>
        </w:tc>
        <w:tc>
          <w:tcPr>
            <w:tcW w:w="2260" w:type="dxa"/>
            <w:vAlign w:val="bottom"/>
            <w:gridSpan w:val="2"/>
          </w:tcPr>
          <w:p>
            <w:pPr>
              <w:jc w:val="right"/>
              <w:ind w:right="1180"/>
              <w:spacing w:after="0" w:line="175" w:lineRule="exact"/>
              <w:rPr>
                <w:sz w:val="20"/>
                <w:szCs w:val="20"/>
                <w:color w:val="auto"/>
              </w:rPr>
            </w:pPr>
            <w:r>
              <w:rPr>
                <w:rFonts w:ascii="Arial" w:cs="Arial" w:eastAsia="Arial" w:hAnsi="Arial"/>
                <w:sz w:val="16"/>
                <w:szCs w:val="16"/>
                <w:color w:val="auto"/>
              </w:rPr>
              <w:t>35,016</w:t>
            </w:r>
          </w:p>
        </w:tc>
      </w:tr>
      <w:tr>
        <w:trPr>
          <w:trHeight w:val="175"/>
        </w:trPr>
        <w:tc>
          <w:tcPr>
            <w:tcW w:w="8140" w:type="dxa"/>
            <w:vAlign w:val="bottom"/>
            <w:gridSpan w:val="2"/>
          </w:tcPr>
          <w:p>
            <w:pPr>
              <w:ind w:left="560"/>
              <w:spacing w:after="0" w:line="175" w:lineRule="exact"/>
              <w:rPr>
                <w:sz w:val="20"/>
                <w:szCs w:val="20"/>
                <w:color w:val="auto"/>
              </w:rPr>
            </w:pPr>
            <w:r>
              <w:rPr>
                <w:rFonts w:ascii="Arial" w:cs="Arial" w:eastAsia="Arial" w:hAnsi="Arial"/>
                <w:sz w:val="16"/>
                <w:szCs w:val="16"/>
                <w:color w:val="auto"/>
              </w:rPr>
              <w:t>Pension funds</w:t>
            </w:r>
          </w:p>
        </w:tc>
        <w:tc>
          <w:tcPr>
            <w:tcW w:w="680" w:type="dxa"/>
            <w:vAlign w:val="bottom"/>
            <w:gridSpan w:val="2"/>
          </w:tcPr>
          <w:p>
            <w:pPr>
              <w:jc w:val="right"/>
              <w:ind w:right="20"/>
              <w:spacing w:after="0" w:line="175" w:lineRule="exact"/>
              <w:rPr>
                <w:sz w:val="20"/>
                <w:szCs w:val="20"/>
                <w:color w:val="auto"/>
              </w:rPr>
            </w:pPr>
            <w:r>
              <w:rPr>
                <w:rFonts w:ascii="Arial" w:cs="Arial" w:eastAsia="Arial" w:hAnsi="Arial"/>
                <w:sz w:val="16"/>
                <w:szCs w:val="16"/>
                <w:color w:val="auto"/>
              </w:rPr>
              <w:t>32,437</w:t>
            </w:r>
          </w:p>
        </w:tc>
        <w:tc>
          <w:tcPr>
            <w:tcW w:w="180" w:type="dxa"/>
            <w:vAlign w:val="bottom"/>
          </w:tcPr>
          <w:p>
            <w:pPr>
              <w:spacing w:after="0"/>
              <w:rPr>
                <w:sz w:val="15"/>
                <w:szCs w:val="15"/>
                <w:color w:val="auto"/>
              </w:rPr>
            </w:pPr>
          </w:p>
        </w:tc>
        <w:tc>
          <w:tcPr>
            <w:tcW w:w="2260" w:type="dxa"/>
            <w:vAlign w:val="bottom"/>
            <w:gridSpan w:val="2"/>
          </w:tcPr>
          <w:p>
            <w:pPr>
              <w:jc w:val="right"/>
              <w:ind w:right="1180"/>
              <w:spacing w:after="0" w:line="175" w:lineRule="exact"/>
              <w:rPr>
                <w:sz w:val="20"/>
                <w:szCs w:val="20"/>
                <w:color w:val="auto"/>
              </w:rPr>
            </w:pPr>
            <w:r>
              <w:rPr>
                <w:rFonts w:ascii="Arial" w:cs="Arial" w:eastAsia="Arial" w:hAnsi="Arial"/>
                <w:sz w:val="16"/>
                <w:szCs w:val="16"/>
                <w:color w:val="auto"/>
              </w:rPr>
              <w:t>36,867</w:t>
            </w:r>
          </w:p>
        </w:tc>
      </w:tr>
      <w:tr>
        <w:trPr>
          <w:trHeight w:val="190"/>
        </w:trPr>
        <w:tc>
          <w:tcPr>
            <w:tcW w:w="8140" w:type="dxa"/>
            <w:vAlign w:val="bottom"/>
            <w:gridSpan w:val="2"/>
          </w:tcPr>
          <w:p>
            <w:pPr>
              <w:ind w:left="560"/>
              <w:spacing w:after="0"/>
              <w:rPr>
                <w:sz w:val="20"/>
                <w:szCs w:val="20"/>
                <w:color w:val="auto"/>
              </w:rPr>
            </w:pPr>
            <w:r>
              <w:rPr>
                <w:rFonts w:ascii="Arial" w:cs="Arial" w:eastAsia="Arial" w:hAnsi="Arial"/>
                <w:sz w:val="16"/>
                <w:szCs w:val="16"/>
                <w:color w:val="auto"/>
              </w:rPr>
              <w:t>Bank trusts</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6,120</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3,949</w:t>
            </w:r>
          </w:p>
        </w:tc>
        <w:tc>
          <w:tcPr>
            <w:tcW w:w="1180" w:type="dxa"/>
            <w:vAlign w:val="bottom"/>
          </w:tcPr>
          <w:p>
            <w:pPr>
              <w:spacing w:after="0"/>
              <w:rPr>
                <w:sz w:val="16"/>
                <w:szCs w:val="16"/>
                <w:color w:val="auto"/>
              </w:rPr>
            </w:pPr>
          </w:p>
        </w:tc>
      </w:tr>
      <w:tr>
        <w:trPr>
          <w:trHeight w:val="170"/>
        </w:trPr>
        <w:tc>
          <w:tcPr>
            <w:tcW w:w="7720" w:type="dxa"/>
            <w:vAlign w:val="bottom"/>
          </w:tcPr>
          <w:p>
            <w:pPr>
              <w:ind w:left="560"/>
              <w:spacing w:after="0" w:line="167" w:lineRule="exact"/>
              <w:rPr>
                <w:sz w:val="20"/>
                <w:szCs w:val="20"/>
                <w:color w:val="auto"/>
              </w:rPr>
            </w:pPr>
            <w:r>
              <w:rPr>
                <w:rFonts w:ascii="Arial" w:cs="Arial" w:eastAsia="Arial" w:hAnsi="Arial"/>
                <w:sz w:val="16"/>
                <w:szCs w:val="16"/>
                <w:b w:val="1"/>
                <w:bCs w:val="1"/>
                <w:color w:val="auto"/>
              </w:rPr>
              <w:t>Total</w:t>
            </w:r>
          </w:p>
        </w:tc>
        <w:tc>
          <w:tcPr>
            <w:tcW w:w="4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ind w:right="20"/>
              <w:spacing w:after="0" w:line="167" w:lineRule="exact"/>
              <w:rPr>
                <w:sz w:val="20"/>
                <w:szCs w:val="20"/>
                <w:color w:val="auto"/>
              </w:rPr>
            </w:pPr>
            <w:r>
              <w:rPr>
                <w:rFonts w:ascii="Arial" w:cs="Arial" w:eastAsia="Arial" w:hAnsi="Arial"/>
                <w:sz w:val="16"/>
                <w:szCs w:val="16"/>
                <w:color w:val="auto"/>
              </w:rPr>
              <w:t>142,359</w:t>
            </w:r>
          </w:p>
        </w:tc>
        <w:tc>
          <w:tcPr>
            <w:tcW w:w="180" w:type="dxa"/>
            <w:vAlign w:val="bottom"/>
          </w:tcPr>
          <w:p>
            <w:pPr>
              <w:spacing w:after="0"/>
              <w:rPr>
                <w:sz w:val="14"/>
                <w:szCs w:val="14"/>
                <w:color w:val="auto"/>
              </w:rPr>
            </w:pPr>
          </w:p>
        </w:tc>
        <w:tc>
          <w:tcPr>
            <w:tcW w:w="1080" w:type="dxa"/>
            <w:vAlign w:val="bottom"/>
          </w:tcPr>
          <w:p>
            <w:pPr>
              <w:jc w:val="right"/>
              <w:spacing w:after="0" w:line="167" w:lineRule="exact"/>
              <w:rPr>
                <w:sz w:val="20"/>
                <w:szCs w:val="20"/>
                <w:color w:val="auto"/>
              </w:rPr>
            </w:pPr>
            <w:r>
              <w:rPr>
                <w:rFonts w:ascii="Arial" w:cs="Arial" w:eastAsia="Arial" w:hAnsi="Arial"/>
                <w:sz w:val="16"/>
                <w:szCs w:val="16"/>
                <w:color w:val="auto"/>
              </w:rPr>
              <w:t>131,605</w:t>
            </w:r>
          </w:p>
        </w:tc>
        <w:tc>
          <w:tcPr>
            <w:tcW w:w="1180" w:type="dxa"/>
            <w:vAlign w:val="bottom"/>
          </w:tcPr>
          <w:p>
            <w:pPr>
              <w:spacing w:after="0"/>
              <w:rPr>
                <w:sz w:val="14"/>
                <w:szCs w:val="14"/>
                <w:color w:val="auto"/>
              </w:rPr>
            </w:pPr>
          </w:p>
        </w:tc>
      </w:tr>
      <w:tr>
        <w:trPr>
          <w:trHeight w:val="460"/>
        </w:trPr>
        <w:tc>
          <w:tcPr>
            <w:tcW w:w="7720" w:type="dxa"/>
            <w:vAlign w:val="bottom"/>
          </w:tcPr>
          <w:p>
            <w:pPr>
              <w:ind w:left="5480"/>
              <w:spacing w:after="0"/>
              <w:rPr>
                <w:sz w:val="20"/>
                <w:szCs w:val="20"/>
                <w:color w:val="auto"/>
              </w:rPr>
            </w:pPr>
            <w:r>
              <w:rPr>
                <w:rFonts w:ascii="Arial" w:cs="Arial" w:eastAsia="Arial" w:hAnsi="Arial"/>
                <w:sz w:val="12"/>
                <w:szCs w:val="12"/>
                <w:color w:val="auto"/>
              </w:rPr>
              <w:t>-167-</w:t>
            </w:r>
          </w:p>
        </w:tc>
        <w:tc>
          <w:tcPr>
            <w:tcW w:w="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r>
        <w:trPr>
          <w:trHeight w:val="33"/>
        </w:trPr>
        <w:tc>
          <w:tcPr>
            <w:tcW w:w="7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ectPr>
          <w:pgSz w:w="11900" w:h="16838" w:orient="portrait"/>
          <w:cols w:equalWidth="0" w:num="1">
            <w:col w:w="11260"/>
          </w:cols>
          <w:pgMar w:left="320" w:top="124" w:right="319" w:bottom="1440" w:gutter="0" w:footer="0" w:header="0"/>
        </w:sectPr>
      </w:pPr>
    </w:p>
    <w:bookmarkStart w:id="170" w:name="page171"/>
    <w:bookmarkEnd w:id="170"/>
    <w:p>
      <w:pPr>
        <w:ind w:left="567" w:right="7800" w:hanging="567"/>
        <w:spacing w:after="0" w:line="514" w:lineRule="auto"/>
        <w:tabs>
          <w:tab w:leader="none" w:pos="555" w:val="left"/>
        </w:tabs>
        <w:numPr>
          <w:ilvl w:val="0"/>
          <w:numId w:val="18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color w:val="auto"/>
        </w:rPr>
        <w:t>Legal claim contingencies</w:t>
      </w:r>
    </w:p>
    <w:p>
      <w:pPr>
        <w:ind w:left="847" w:hanging="286"/>
        <w:spacing w:after="0"/>
        <w:tabs>
          <w:tab w:leader="none" w:pos="84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Madoff Trustee Litigation and Fairfield Litigation -</w:t>
      </w:r>
    </w:p>
    <w:p>
      <w:pPr>
        <w:spacing w:after="0" w:line="166" w:lineRule="exact"/>
        <w:rPr>
          <w:rFonts w:ascii="Arial" w:cs="Arial" w:eastAsia="Arial" w:hAnsi="Arial"/>
          <w:sz w:val="16"/>
          <w:szCs w:val="16"/>
          <w:color w:val="auto"/>
        </w:rPr>
      </w:pPr>
    </w:p>
    <w:p>
      <w:pPr>
        <w:ind w:left="847"/>
        <w:spacing w:after="0" w:line="266" w:lineRule="auto"/>
        <w:rPr>
          <w:rFonts w:ascii="Arial" w:cs="Arial" w:eastAsia="Arial" w:hAnsi="Arial"/>
          <w:sz w:val="16"/>
          <w:szCs w:val="16"/>
          <w:color w:val="auto"/>
        </w:rPr>
      </w:pPr>
      <w:r>
        <w:rPr>
          <w:rFonts w:ascii="Arial" w:cs="Arial" w:eastAsia="Arial" w:hAnsi="Arial"/>
          <w:sz w:val="14"/>
          <w:szCs w:val="14"/>
          <w:color w:val="auto"/>
        </w:rPr>
        <w:t>In September 2011, the Trustee for the liquidation of Bernard L. Madoff Investment Securities LLC (BLMIS) and the substantively consolidated estate of Bernard L. Madoff (the Madoff Trustee) filed a complaint (the Madoff Complaint) against ASB (now ASB Bank Corp.) in the U.S. Bankruptcy Court for the Southern District of New York (the Bankruptcy Court). The Madoff Complaint sought recovery of approximately US$120.0 million in principal amount from ASB Bank Corp., which the Madoff Complaint alleged was equal to the amount of redemptions between the end of 2004 and the beginning of</w:t>
      </w:r>
    </w:p>
    <w:p>
      <w:pPr>
        <w:jc w:val="both"/>
        <w:ind w:left="847"/>
        <w:spacing w:after="0" w:line="235" w:lineRule="auto"/>
        <w:rPr>
          <w:rFonts w:ascii="Arial" w:cs="Arial" w:eastAsia="Arial" w:hAnsi="Arial"/>
          <w:sz w:val="16"/>
          <w:szCs w:val="16"/>
          <w:color w:val="auto"/>
        </w:rPr>
      </w:pPr>
      <w:r>
        <w:rPr>
          <w:rFonts w:ascii="Arial" w:cs="Arial" w:eastAsia="Arial" w:hAnsi="Arial"/>
          <w:sz w:val="16"/>
          <w:szCs w:val="16"/>
          <w:color w:val="auto"/>
        </w:rPr>
        <w:t>2005 of ASB-managed Atlantic U.S. Blue Chip Fund assets invested in Fairfield Sentry Limited (Fairfield Sentry), together with fees, costs, interest and expenses. The Madoff Complaint sought the recovery of these redemptions from ASB Bank Corp. as “subsequent transfers” or “avoided transfers” from BLMIS to Fairfield Sentry, which Fairfield Sentry in turn subsequently transferred to ASB Bank Corp.</w:t>
      </w:r>
    </w:p>
    <w:p>
      <w:pPr>
        <w:spacing w:after="0" w:line="157" w:lineRule="exact"/>
        <w:rPr>
          <w:rFonts w:ascii="Arial" w:cs="Arial" w:eastAsia="Arial" w:hAnsi="Arial"/>
          <w:sz w:val="16"/>
          <w:szCs w:val="16"/>
          <w:color w:val="auto"/>
        </w:rPr>
      </w:pPr>
    </w:p>
    <w:p>
      <w:pPr>
        <w:ind w:left="847" w:right="160"/>
        <w:spacing w:after="0" w:line="236" w:lineRule="auto"/>
        <w:rPr>
          <w:rFonts w:ascii="Arial" w:cs="Arial" w:eastAsia="Arial" w:hAnsi="Arial"/>
          <w:sz w:val="16"/>
          <w:szCs w:val="16"/>
          <w:color w:val="auto"/>
        </w:rPr>
      </w:pPr>
      <w:r>
        <w:rPr>
          <w:rFonts w:ascii="Arial" w:cs="Arial" w:eastAsia="Arial" w:hAnsi="Arial"/>
          <w:sz w:val="16"/>
          <w:szCs w:val="16"/>
          <w:color w:val="auto"/>
        </w:rPr>
        <w:t>Otherwise, in April 2012, Fairfield Sentry (In Liquidation) and its representative, Kenneth Krys (the Fairfield Liquidator), filed a complaint (the Fairfield Complaint) against ASB (now ASB Bank Corp.) in the Bankruptcy Court. The Fairfield Complaint sought to recover approximately US$115.2 million in principal amount from ASB Bank Corp., representing the amount of ASB’s Bank Corp. redemptions of certain investments in Fairfield Sentry, together with fees, costs, interest and expenses. These were essentially the same funds that the Madoff Trustee sought to recover in the Madoff Trustee litigation as described above.</w:t>
      </w:r>
    </w:p>
    <w:p>
      <w:pPr>
        <w:spacing w:after="0" w:line="157" w:lineRule="exact"/>
        <w:rPr>
          <w:rFonts w:ascii="Arial" w:cs="Arial" w:eastAsia="Arial" w:hAnsi="Arial"/>
          <w:sz w:val="16"/>
          <w:szCs w:val="16"/>
          <w:color w:val="auto"/>
        </w:rPr>
      </w:pPr>
    </w:p>
    <w:p>
      <w:pPr>
        <w:ind w:left="847" w:right="80"/>
        <w:spacing w:after="0" w:line="238" w:lineRule="auto"/>
        <w:rPr>
          <w:rFonts w:ascii="Arial" w:cs="Arial" w:eastAsia="Arial" w:hAnsi="Arial"/>
          <w:sz w:val="16"/>
          <w:szCs w:val="16"/>
          <w:color w:val="auto"/>
        </w:rPr>
      </w:pPr>
      <w:r>
        <w:rPr>
          <w:rFonts w:ascii="Arial" w:cs="Arial" w:eastAsia="Arial" w:hAnsi="Arial"/>
          <w:sz w:val="16"/>
          <w:szCs w:val="16"/>
          <w:color w:val="auto"/>
        </w:rPr>
        <w:t>On January 30, 2024, (i) the Madoff Trustee and ASB Bank Corp. entered into a release and settlement agreement (the “Madoff Settlement”), and (ii) the Fairfield Liquidator and ASB Bank Corp. simultaneously entered into a release and settlement agreement (the “Fairfield Settlement”), which settlements, without admission of liability, have resolved all disputes related to the Madoff Complaint and the Fairfield Complaint, described in previous paragraphs.</w:t>
      </w:r>
    </w:p>
    <w:p>
      <w:pPr>
        <w:spacing w:after="0" w:line="157" w:lineRule="exact"/>
        <w:rPr>
          <w:rFonts w:ascii="Arial" w:cs="Arial" w:eastAsia="Arial" w:hAnsi="Arial"/>
          <w:sz w:val="16"/>
          <w:szCs w:val="16"/>
          <w:color w:val="auto"/>
        </w:rPr>
      </w:pPr>
    </w:p>
    <w:p>
      <w:pPr>
        <w:ind w:left="847" w:right="20"/>
        <w:spacing w:after="0" w:line="271" w:lineRule="auto"/>
        <w:rPr>
          <w:rFonts w:ascii="Arial" w:cs="Arial" w:eastAsia="Arial" w:hAnsi="Arial"/>
          <w:sz w:val="16"/>
          <w:szCs w:val="16"/>
          <w:color w:val="auto"/>
        </w:rPr>
      </w:pPr>
      <w:r>
        <w:rPr>
          <w:rFonts w:ascii="Arial" w:cs="Arial" w:eastAsia="Arial" w:hAnsi="Arial"/>
          <w:sz w:val="14"/>
          <w:szCs w:val="14"/>
          <w:color w:val="auto"/>
        </w:rPr>
        <w:t>Under the terms of such agreements, after approval of the Madoff Settlement by the Bankruptcy Court, among other things, ASB Bank Corp. would pay the Madoff Trustee the amount of US$42,750,000.00 (the Settlement Amount) and the Madoff Trustee and the Fairfield Liquidator would dismiss the Madoff Complaint and the Fairfield Complaint, as applicable, with prejudice and without costs to either party. On March 18, 2024, the Bankruptcy Court approved the Madoff Settlement. On April 3, 2024, ASB Bank Corp. paid the Madoff Trustee the Settlement Amount. On April 5, 2024, the Madoff Trustee dismissed the Madoff Complaint with prejudice and without costs to either party and on April 8, 2024, the Fairfield Liquidator dismissed the Fairfield Complaint, with prejudice and without costs to either party. On September 6, 2024, the Second Circuit Court of Appeals confirmed the dismissal with prejudice of the previously pending appeal by the Fairfield Liquidator related to the Fairfield Complaint.</w:t>
      </w:r>
    </w:p>
    <w:p>
      <w:pPr>
        <w:spacing w:after="0" w:line="139" w:lineRule="exact"/>
        <w:rPr>
          <w:rFonts w:ascii="Arial" w:cs="Arial" w:eastAsia="Arial" w:hAnsi="Arial"/>
          <w:sz w:val="16"/>
          <w:szCs w:val="16"/>
          <w:color w:val="auto"/>
        </w:rPr>
      </w:pPr>
    </w:p>
    <w:p>
      <w:pPr>
        <w:ind w:left="847" w:right="140"/>
        <w:spacing w:after="0" w:line="255" w:lineRule="auto"/>
        <w:rPr>
          <w:rFonts w:ascii="Arial" w:cs="Arial" w:eastAsia="Arial" w:hAnsi="Arial"/>
          <w:sz w:val="16"/>
          <w:szCs w:val="16"/>
          <w:color w:val="auto"/>
        </w:rPr>
      </w:pPr>
      <w:r>
        <w:rPr>
          <w:rFonts w:ascii="Arial" w:cs="Arial" w:eastAsia="Arial" w:hAnsi="Arial"/>
          <w:sz w:val="16"/>
          <w:szCs w:val="16"/>
          <w:color w:val="auto"/>
        </w:rPr>
        <w:t>As a result, all litigation regarding the Madoff Complaint and the Fairfield Complaint has been fully and finally resolved and both the Madoff Complaint and Fairfield Complaint dismissed with prejudice.</w:t>
      </w:r>
    </w:p>
    <w:p>
      <w:pPr>
        <w:spacing w:after="0" w:line="26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1247"/>
          </w:cols>
          <w:pgMar w:left="313" w:top="124" w:right="339" w:bottom="1440" w:gutter="0" w:footer="0" w:header="0"/>
        </w:sectPr>
      </w:pPr>
    </w:p>
    <w:bookmarkStart w:id="171" w:name="page172"/>
    <w:bookmarkEnd w:id="171"/>
    <w:p>
      <w:pPr>
        <w:ind w:left="286" w:hanging="286"/>
        <w:spacing w:after="0"/>
        <w:tabs>
          <w:tab w:leader="none" w:pos="28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Government Investigations -</w:t>
      </w:r>
    </w:p>
    <w:p>
      <w:pPr>
        <w:spacing w:after="0" w:line="167" w:lineRule="exact"/>
        <w:rPr>
          <w:rFonts w:ascii="Arial" w:cs="Arial" w:eastAsia="Arial" w:hAnsi="Arial"/>
          <w:sz w:val="16"/>
          <w:szCs w:val="16"/>
          <w:color w:val="auto"/>
        </w:rPr>
      </w:pPr>
    </w:p>
    <w:p>
      <w:pPr>
        <w:ind w:left="286" w:right="20"/>
        <w:spacing w:after="0" w:line="233" w:lineRule="auto"/>
        <w:rPr>
          <w:rFonts w:ascii="Arial" w:cs="Arial" w:eastAsia="Arial" w:hAnsi="Arial"/>
          <w:sz w:val="16"/>
          <w:szCs w:val="16"/>
          <w:color w:val="auto"/>
        </w:rPr>
      </w:pPr>
      <w:r>
        <w:rPr>
          <w:rFonts w:ascii="Arial" w:cs="Arial" w:eastAsia="Arial" w:hAnsi="Arial"/>
          <w:sz w:val="16"/>
          <w:szCs w:val="16"/>
          <w:color w:val="auto"/>
        </w:rPr>
        <w:t>The former chairman and the current vice chairman of the Board of Directors of Credicorp, in their respective capacities as Chairman of the Board and as a Director of BCP, were summoned as witnesses by Peruvian prosecutors, along with 26 other Peruvian business leaders, to testify in connection with a judicial investigation that is being carried out regarding contributions made to the electoral campaign of a political party in the 2011 Peruvian presidential elections. Our former chairman testified on November 18, 2019, and our vice chairman testified on December 9, 2019. The former chairman informed prosecutors that in 2010 and 2011 Credicorp made donations totaling US$3.65 million to Fuerza 2011 campaign (in total amounts of US$1.7 million in 2010 and US$1.95 million in 2011). These contributions were made in coordination with the General Manager of Credicorp at that time. While the amount of these contributions exceeded the limits then permitted under Peruvian electoral law, the law in place at that time provided no sanction for contributors, and instead only for the recipient of the campaign contribution.</w:t>
      </w:r>
    </w:p>
    <w:p>
      <w:pPr>
        <w:spacing w:after="0" w:line="158" w:lineRule="exact"/>
        <w:rPr>
          <w:rFonts w:ascii="Arial" w:cs="Arial" w:eastAsia="Arial" w:hAnsi="Arial"/>
          <w:sz w:val="16"/>
          <w:szCs w:val="16"/>
          <w:color w:val="auto"/>
        </w:rPr>
      </w:pPr>
    </w:p>
    <w:p>
      <w:pPr>
        <w:ind w:left="286" w:right="260"/>
        <w:spacing w:after="0" w:line="241" w:lineRule="auto"/>
        <w:rPr>
          <w:rFonts w:ascii="Arial" w:cs="Arial" w:eastAsia="Arial" w:hAnsi="Arial"/>
          <w:sz w:val="16"/>
          <w:szCs w:val="16"/>
          <w:color w:val="auto"/>
        </w:rPr>
      </w:pPr>
      <w:r>
        <w:rPr>
          <w:rFonts w:ascii="Arial" w:cs="Arial" w:eastAsia="Arial" w:hAnsi="Arial"/>
          <w:sz w:val="16"/>
          <w:szCs w:val="16"/>
          <w:color w:val="auto"/>
        </w:rPr>
        <w:t>The former chairman also informed prosecutors that in 2016, three subsidiaries of Credicorp (BCP Stand-alone, Mibanco and Grupo Pacifico) made donations totaling S/711,000 (approximately US$200,000) to the political party “Peruanos Por el Kambio”. These contributions were made in accordance with Peruvian electoral law and Credicorp’s own political contributions guidelines, wich were adopted in 2015.</w:t>
      </w:r>
    </w:p>
    <w:p>
      <w:pPr>
        <w:spacing w:after="0" w:line="157" w:lineRule="exact"/>
        <w:rPr>
          <w:rFonts w:ascii="Arial" w:cs="Arial" w:eastAsia="Arial" w:hAnsi="Arial"/>
          <w:sz w:val="16"/>
          <w:szCs w:val="16"/>
          <w:color w:val="auto"/>
        </w:rPr>
      </w:pPr>
    </w:p>
    <w:p>
      <w:pPr>
        <w:ind w:left="286"/>
        <w:spacing w:after="0" w:line="267" w:lineRule="auto"/>
        <w:rPr>
          <w:rFonts w:ascii="Arial" w:cs="Arial" w:eastAsia="Arial" w:hAnsi="Arial"/>
          <w:sz w:val="16"/>
          <w:szCs w:val="16"/>
          <w:color w:val="auto"/>
        </w:rPr>
      </w:pPr>
      <w:r>
        <w:rPr>
          <w:rFonts w:ascii="Arial" w:cs="Arial" w:eastAsia="Arial" w:hAnsi="Arial"/>
          <w:sz w:val="14"/>
          <w:szCs w:val="14"/>
          <w:color w:val="auto"/>
        </w:rPr>
        <w:t>The Peruvian Superintendencia del Mercado de Valores (‘SMV’ for its Spanish acronym) initiated a sanctioning process against Credicorp, for failing to disclose to the market, in due course, the political campaign contributions in the years 2011 and 2016. The SMV also initiated a sanctioning process against three subsidiaries of Credicorp (BCP Stand-alone, Mibanco and Grupo Pacifico), for failing to disclose to the market, in due course, the political campaign contributions made in connection with the 2016 presidential elections. The SMV notified Credicorp, BCP, Mibanco and Grupo Pacifico with first instance resolutions on these proceedings. Such resolutions imposed pecuniary sanctions (fines) on Credicorp and its three subsidiaries as a consequence of these sanctioning processes, Credicorp, BCP, Mibanco and Grupo Pacifico appealed the resolutions. As the appeals were not resolved within the term provided by law Credicorp and each of the three subsidiaries proceeded to file administrative lawsuits against the SMV's Resolution (due to negative administrative silence). However, Credicorp and its three subsidiaries proceeded to pay the fines imposed by the SMV, in compliance with the provisions of Peruvian law. In the Judiciary, first-instance resolutions have declared unfounded the claims against the SMV resolutions imposing fines on Credicorp, BCP, Mibanco and Grupo Pacífico. Credicorp and its three subsidiaries have appealed, so that the first-instance resolutions are reviewed in second instance. A substantive hearing date is pending to be set.</w:t>
      </w:r>
    </w:p>
    <w:p>
      <w:pPr>
        <w:spacing w:after="0" w:line="321" w:lineRule="exact"/>
        <w:rPr>
          <w:rFonts w:ascii="Arial" w:cs="Arial" w:eastAsia="Arial" w:hAnsi="Arial"/>
          <w:sz w:val="16"/>
          <w:szCs w:val="16"/>
          <w:color w:val="auto"/>
        </w:rPr>
      </w:pPr>
    </w:p>
    <w:p>
      <w:pPr>
        <w:jc w:val="both"/>
        <w:ind w:left="286" w:right="100"/>
        <w:spacing w:after="0" w:line="241" w:lineRule="auto"/>
        <w:rPr>
          <w:rFonts w:ascii="Arial" w:cs="Arial" w:eastAsia="Arial" w:hAnsi="Arial"/>
          <w:sz w:val="16"/>
          <w:szCs w:val="16"/>
          <w:color w:val="auto"/>
        </w:rPr>
      </w:pPr>
      <w:r>
        <w:rPr>
          <w:rFonts w:ascii="Arial" w:cs="Arial" w:eastAsia="Arial" w:hAnsi="Arial"/>
          <w:sz w:val="16"/>
          <w:szCs w:val="16"/>
          <w:color w:val="auto"/>
        </w:rPr>
        <w:t>Credicorp is of the opinion that the contributions made and the sanctioning processes related to the SMV do not represent a significant risk of material liability for the Group. Furthermore, these processes may not have a negative effect on the Group's business or financial situation, given that the fines imposed by the SMV have already been paid.</w:t>
      </w:r>
    </w:p>
    <w:p>
      <w:pPr>
        <w:spacing w:after="0" w:line="157" w:lineRule="exact"/>
        <w:rPr>
          <w:rFonts w:ascii="Arial" w:cs="Arial" w:eastAsia="Arial" w:hAnsi="Arial"/>
          <w:sz w:val="16"/>
          <w:szCs w:val="16"/>
          <w:color w:val="auto"/>
        </w:rPr>
      </w:pPr>
    </w:p>
    <w:p>
      <w:pPr>
        <w:jc w:val="both"/>
        <w:ind w:left="286" w:right="60"/>
        <w:spacing w:after="0" w:line="266" w:lineRule="auto"/>
        <w:rPr>
          <w:rFonts w:ascii="Arial" w:cs="Arial" w:eastAsia="Arial" w:hAnsi="Arial"/>
          <w:sz w:val="16"/>
          <w:szCs w:val="16"/>
          <w:color w:val="auto"/>
        </w:rPr>
      </w:pPr>
      <w:r>
        <w:rPr>
          <w:rFonts w:ascii="Arial" w:cs="Arial" w:eastAsia="Arial" w:hAnsi="Arial"/>
          <w:sz w:val="14"/>
          <w:szCs w:val="14"/>
          <w:color w:val="auto"/>
        </w:rPr>
        <w:t>On November 11, 2021, Credicorp disclosed that its incoming CEO, Mr. Gianfranco Ferrari de las Casas, informed the company that he was notified of a Prosecutor’s Decision issued by the Corporate Supraprovincial Prosecutor’s Office Specialized in Officer Corruption Offenses Special Team - Fourth Court Division (“Fiscalía Supraprovincial Corporativa Especializada en Delitos de Corrupción de Funcionarios Equipo Especial - Cuarto Despacho”, for its name in Spanish). Through such notice, Mr. Ferrari was informed that he has been included in the preparatory investigation carried out against Mr.</w:t>
      </w:r>
    </w:p>
    <w:p>
      <w:pPr>
        <w:ind w:left="286"/>
        <w:spacing w:after="0" w:line="235" w:lineRule="auto"/>
        <w:rPr>
          <w:rFonts w:ascii="Arial" w:cs="Arial" w:eastAsia="Arial" w:hAnsi="Arial"/>
          <w:sz w:val="16"/>
          <w:szCs w:val="16"/>
          <w:color w:val="auto"/>
        </w:rPr>
      </w:pPr>
      <w:r>
        <w:rPr>
          <w:rFonts w:ascii="Arial" w:cs="Arial" w:eastAsia="Arial" w:hAnsi="Arial"/>
          <w:sz w:val="16"/>
          <w:szCs w:val="16"/>
          <w:color w:val="auto"/>
        </w:rPr>
        <w:t>Yehude Simon M. and an additional sixty-five (65) individuals on the grounds of, in his particular case, alleged primary complicity in the alleged crime against the public administration, aggravated collusion, incompatible negotiation or improper use of position and criminal organization detrimental to the Peruvian State, in connection with the financial advisory services provided by BCP Stand - alone to the Olmos Project.</w:t>
      </w:r>
    </w:p>
    <w:p>
      <w:pPr>
        <w:spacing w:after="0" w:line="281" w:lineRule="exact"/>
        <w:rPr>
          <w:sz w:val="20"/>
          <w:szCs w:val="20"/>
          <w:color w:val="auto"/>
        </w:rPr>
      </w:pPr>
    </w:p>
    <w:p>
      <w:pPr>
        <w:ind w:left="4926"/>
        <w:spacing w:after="0"/>
        <w:rPr>
          <w:sz w:val="20"/>
          <w:szCs w:val="20"/>
          <w:color w:val="auto"/>
        </w:rPr>
      </w:pPr>
      <w:r>
        <w:rPr>
          <w:rFonts w:ascii="Arial" w:cs="Arial" w:eastAsia="Arial" w:hAnsi="Arial"/>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36195</wp:posOffset>
            </wp:positionV>
            <wp:extent cx="7150735"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686"/>
          </w:cols>
          <w:pgMar w:left="874" w:top="124" w:right="339" w:bottom="1440" w:gutter="0" w:footer="0" w:header="0"/>
        </w:sectPr>
      </w:pPr>
    </w:p>
    <w:bookmarkStart w:id="172" w:name="page173"/>
    <w:bookmarkEnd w:id="172"/>
    <w:p>
      <w:pPr>
        <w:ind w:left="847"/>
        <w:spacing w:after="0" w:line="236" w:lineRule="auto"/>
        <w:rPr>
          <w:sz w:val="20"/>
          <w:szCs w:val="20"/>
          <w:color w:val="auto"/>
        </w:rPr>
      </w:pPr>
      <w:r>
        <w:rPr>
          <w:rFonts w:ascii="Arial" w:cs="Arial" w:eastAsia="Arial" w:hAnsi="Arial"/>
          <w:sz w:val="16"/>
          <w:szCs w:val="16"/>
          <w:color w:val="auto"/>
        </w:rPr>
        <w:t>On June 21, 2024, Mr. Gianfranco Ferrari was notified of Resolution 6 issued by the Fifth National Preliminary Investigation Court of the National Superior Court of Specialized Criminal Justice in Peru (“Quinto Juzgado de Investigación Preparatoria Nacional de la Corte Superior Nacional de Justicia Penal Especializada”, for its name in Spanish). Through such notice, Mr. Ferrari was informed of the dismissal of the case in regards of the investigation against Mr. Ferrari for the crime of collusion against public administration. Consequently, such Court ordered the final closure of the judicial process (ie, dismissal) against Mr. Ferrari.</w:t>
      </w:r>
    </w:p>
    <w:p>
      <w:pPr>
        <w:spacing w:after="0" w:line="133" w:lineRule="exact"/>
        <w:rPr>
          <w:sz w:val="20"/>
          <w:szCs w:val="20"/>
          <w:color w:val="auto"/>
        </w:rPr>
      </w:pPr>
    </w:p>
    <w:p>
      <w:pPr>
        <w:ind w:left="567" w:hanging="567"/>
        <w:spacing w:after="0"/>
        <w:tabs>
          <w:tab w:leader="none" w:pos="567"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56" w:lineRule="exact"/>
        <w:rPr>
          <w:rFonts w:ascii="Arial" w:cs="Arial" w:eastAsia="Arial" w:hAnsi="Arial"/>
          <w:sz w:val="16"/>
          <w:szCs w:val="16"/>
          <w:b w:val="1"/>
          <w:bCs w:val="1"/>
          <w:color w:val="auto"/>
        </w:rPr>
      </w:pPr>
    </w:p>
    <w:p>
      <w:pPr>
        <w:ind w:left="567"/>
        <w:spacing w:after="0"/>
        <w:rPr>
          <w:rFonts w:ascii="Arial" w:cs="Arial" w:eastAsia="Arial" w:hAnsi="Arial"/>
          <w:sz w:val="16"/>
          <w:szCs w:val="16"/>
          <w:b w:val="1"/>
          <w:bCs w:val="1"/>
          <w:color w:val="auto"/>
        </w:rPr>
      </w:pPr>
      <w:r>
        <w:rPr>
          <w:rFonts w:ascii="Arial" w:cs="Arial" w:eastAsia="Arial" w:hAnsi="Arial"/>
          <w:sz w:val="16"/>
          <w:szCs w:val="16"/>
          <w:color w:val="auto"/>
        </w:rPr>
        <w:t>From December 31, 2024, until the date of this report, no significant event has occurred which affects the consolidated financial statements.</w:t>
      </w:r>
    </w:p>
    <w:p>
      <w:pPr>
        <w:spacing w:after="0" w:line="325" w:lineRule="exact"/>
        <w:rPr>
          <w:sz w:val="20"/>
          <w:szCs w:val="20"/>
          <w:color w:val="auto"/>
        </w:rPr>
      </w:pPr>
    </w:p>
    <w:p>
      <w:pPr>
        <w:jc w:val="center"/>
        <w:ind w:right="-326"/>
        <w:spacing w:after="0"/>
        <w:rPr>
          <w:sz w:val="20"/>
          <w:szCs w:val="20"/>
          <w:color w:val="auto"/>
        </w:rPr>
      </w:pPr>
      <w:r>
        <w:rPr>
          <w:rFonts w:ascii="Arial" w:cs="Arial" w:eastAsia="Arial" w:hAnsi="Arial"/>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50735"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10927"/>
          </w:cols>
          <w:pgMar w:left="313" w:top="124" w:right="659"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1969770</wp:posOffset>
            </wp:positionH>
            <wp:positionV relativeFrom="page">
              <wp:posOffset>88900</wp:posOffset>
            </wp:positionV>
            <wp:extent cx="3616325" cy="513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3616325" cy="513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43180</wp:posOffset>
            </wp:positionV>
            <wp:extent cx="7150735"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b w:val="1"/>
          <w:bCs w:val="1"/>
          <w:color w:val="auto"/>
        </w:rPr>
        <w:t xml:space="preserve">EY </w:t>
      </w:r>
      <w:r>
        <w:rPr>
          <w:rFonts w:ascii="Arial" w:cs="Arial" w:eastAsia="Arial" w:hAnsi="Arial"/>
          <w:sz w:val="14"/>
          <w:szCs w:val="14"/>
          <w:color w:val="auto"/>
        </w:rPr>
        <w:t>| Auditoría | Consultoría | Impuestos | Transacciones y Finanzas Corporativas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Acerca de EY</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EY es la firma líder en servicios de auditoría, consultoría, impuestos, transacciones y finanzas corporativas. La calidad de servicio y conocimientos que aportamos ayudan a brindar confianza en los mercados de capitales y en las economías del mundo. Desarrollamos líderes excepcionales que trabajan en equipo para cumplir nuestro compromiso con nuestros stakeholders. Asi, jugamos un rol fundamental en la construcción de un mundo mejor para nuestra gente, nuestros clientes y nuestras comunidades.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Para más información visite ey.com/pe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©EY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259715</wp:posOffset>
            </wp:positionV>
            <wp:extent cx="7150735"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sectPr>
      <w:pgSz w:w="11900" w:h="16838" w:orient="portrait"/>
      <w:cols w:equalWidth="0" w:num="1">
        <w:col w:w="11180"/>
      </w:cols>
      <w:pgMar w:left="320" w:top="1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1"/>
      <w:numFmt w:val="bullet"/>
      <w:start w:val="1"/>
    </w:lvl>
  </w:abstractNum>
  <w:abstractNum w:abstractNumId="5">
    <w:nsid w:val="7F01579B"/>
    <w:multiLevelType w:val="hybridMultilevel"/>
    <w:lvl w:ilvl="0">
      <w:lvlJc w:val="left"/>
      <w:lvlText w:val="2"/>
      <w:numFmt w:val="bullet"/>
      <w:start w:val="1"/>
    </w:lvl>
  </w:abstractNum>
  <w:abstractNum w:abstractNumId="6">
    <w:nsid w:val="49DA307D"/>
    <w:multiLevelType w:val="hybridMultilevel"/>
    <w:lvl w:ilvl="0">
      <w:lvlJc w:val="left"/>
      <w:lvlText w:val="3"/>
      <w:numFmt w:val="bullet"/>
      <w:start w:val="1"/>
    </w:lvl>
    <w:lvl w:ilvl="1">
      <w:lvlJc w:val="left"/>
      <w:lvlText w:val="%2)"/>
      <w:numFmt w:val="lowerLetter"/>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1)"/>
      <w:numFmt w:val="lowerRoman"/>
      <w:start w:val="1"/>
    </w:lvl>
  </w:abstractNum>
  <w:abstractNum w:abstractNumId="11">
    <w:nsid w:val="5FB8011C"/>
    <w:multiLevelType w:val="hybridMultilevel"/>
    <w:lvl w:ilvl="0">
      <w:lvlJc w:val="left"/>
      <w:lvlText w:val="%1)"/>
      <w:numFmt w:val="lowerLetter"/>
      <w:start w:val="1"/>
    </w:lvl>
  </w:abstractNum>
  <w:abstractNum w:abstractNumId="12">
    <w:nsid w:val="6AA78F7F"/>
    <w:multiLevelType w:val="hybridMultilevel"/>
    <w:lvl w:ilvl="0">
      <w:lvlJc w:val="left"/>
      <w:lvlText w:val="%1"/>
      <w:numFmt w:val="lowerRoman"/>
      <w:start w:val="1"/>
    </w:lvl>
    <w:lvl w:ilvl="1">
      <w:lvlJc w:val="left"/>
      <w:lvlText w:val="%2)"/>
      <w:numFmt w:val="lowerLetter"/>
      <w:start w:val="4"/>
    </w:lvl>
  </w:abstractNum>
  <w:abstractNum w:abstractNumId="13">
    <w:nsid w:val="7672BD23"/>
    <w:multiLevelType w:val="hybridMultilevel"/>
    <w:lvl w:ilvl="0">
      <w:lvlJc w:val="left"/>
      <w:lvlText w:val="(%1)"/>
      <w:numFmt w:val="lowerRoman"/>
      <w:start w:val="2"/>
    </w:lvl>
    <w:lvl w:ilvl="1">
      <w:lvlJc w:val="left"/>
      <w:lvlText w:val="%2"/>
      <w:numFmt w:val="lowerLetter"/>
      <w:start w:val="1"/>
    </w:lvl>
  </w:abstractNum>
  <w:abstractNum w:abstractNumId="14">
    <w:nsid w:val="6FC75AF8"/>
    <w:multiLevelType w:val="hybridMultilevel"/>
    <w:lvl w:ilvl="0">
      <w:lvlJc w:val="left"/>
      <w:lvlText w:val="%1)"/>
      <w:numFmt w:val="lowerLetter"/>
      <w:start w:val="1"/>
    </w:lvl>
  </w:abstractNum>
  <w:abstractNum w:abstractNumId="15">
    <w:nsid w:val="6A5F7029"/>
    <w:multiLevelType w:val="hybridMultilevel"/>
    <w:lvl w:ilvl="0">
      <w:lvlJc w:val="left"/>
      <w:lvlText w:val="%1"/>
      <w:numFmt w:val="lowerRoman"/>
      <w:start w:val="1"/>
    </w:lvl>
    <w:lvl w:ilvl="1">
      <w:lvlJc w:val="left"/>
      <w:lvlText w:val="%2)"/>
      <w:numFmt w:val="lowerLetter"/>
      <w:start w:val="2"/>
    </w:lvl>
  </w:abstractNum>
  <w:abstractNum w:abstractNumId="16">
    <w:nsid w:val="7D5E18F8"/>
    <w:multiLevelType w:val="hybridMultilevel"/>
    <w:lvl w:ilvl="0">
      <w:lvlJc w:val="left"/>
      <w:lvlText w:val="(%1)"/>
      <w:numFmt w:val="lowerRoman"/>
      <w:start w:val="5"/>
    </w:lvl>
    <w:lvl w:ilvl="1">
      <w:lvlJc w:val="left"/>
      <w:lvlText w:val="%2"/>
      <w:numFmt w:val="lowerLetter"/>
      <w:start w:val="1"/>
    </w:lvl>
  </w:abstractNum>
  <w:abstractNum w:abstractNumId="17">
    <w:nsid w:val="5F3534A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8">
    <w:nsid w:val="73A1821B"/>
    <w:multiLevelType w:val="hybridMultilevel"/>
    <w:lvl w:ilvl="0">
      <w:lvlJc w:val="left"/>
      <w:lvlText w:val="%1)"/>
      <w:numFmt w:val="lowerLetter"/>
      <w:start w:val="4"/>
    </w:lvl>
  </w:abstractNum>
  <w:abstractNum w:abstractNumId="19">
    <w:nsid w:val="7DE67713"/>
    <w:multiLevelType w:val="hybridMultilevel"/>
    <w:lvl w:ilvl="0">
      <w:lvlJc w:val="left"/>
      <w:lvlText w:val="%1)"/>
      <w:numFmt w:val="lowerLetter"/>
      <w:start w:val="5"/>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lvl w:ilvl="1">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lvl w:ilvl="1">
      <w:lvlJc w:val="left"/>
      <w:lvlText w:val="-"/>
      <w:numFmt w:val="bullet"/>
      <w:start w:val="1"/>
    </w:lvl>
  </w:abstractNum>
  <w:abstractNum w:abstractNumId="27">
    <w:nsid w:val="1FBFE8E0"/>
    <w:multiLevelType w:val="hybridMultilevel"/>
    <w:lvl w:ilvl="0">
      <w:lvlJc w:val="left"/>
      <w:lvlText w:val="(%1)"/>
      <w:numFmt w:val="lowerLetter"/>
      <w:start w:val="1"/>
    </w:lvl>
  </w:abstractNum>
  <w:abstractNum w:abstractNumId="28">
    <w:nsid w:val="5092CA79"/>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9">
    <w:nsid w:val="1D545C4D"/>
    <w:multiLevelType w:val="hybridMultilevel"/>
    <w:lvl w:ilvl="0">
      <w:lvlJc w:val="left"/>
      <w:lvlText w:val="-"/>
      <w:numFmt w:val="bullet"/>
      <w:start w:val="1"/>
    </w:lvl>
    <w:lvl w:ilvl="1">
      <w:lvlJc w:val="left"/>
      <w:lvlText w:val="•"/>
      <w:numFmt w:val="bullet"/>
      <w:start w:val="1"/>
    </w:lvl>
  </w:abstractNum>
  <w:abstractNum w:abstractNumId="30">
    <w:nsid w:val="59ADEA3D"/>
    <w:multiLevelType w:val="hybridMultilevel"/>
    <w:lvl w:ilvl="0">
      <w:lvlJc w:val="left"/>
      <w:lvlText w:val="(%1)"/>
      <w:numFmt w:val="lowerLetter"/>
      <w:start w:val="1"/>
    </w:lvl>
    <w:lvl w:ilvl="1">
      <w:lvlJc w:val="left"/>
      <w:lvlText w:val="-"/>
      <w:numFmt w:val="bullet"/>
      <w:start w:val="1"/>
    </w:lvl>
  </w:abstractNum>
  <w:abstractNum w:abstractNumId="31">
    <w:nsid w:val="288F1A34"/>
    <w:multiLevelType w:val="hybridMultilevel"/>
    <w:lvl w:ilvl="0">
      <w:lvlJc w:val="left"/>
      <w:lvlText w:val="(%1)"/>
      <w:numFmt w:val="lowerRoman"/>
      <w:start w:val="1"/>
    </w:lvl>
  </w:abstractNum>
  <w:abstractNum w:abstractNumId="32">
    <w:nsid w:val="2A155DBC"/>
    <w:multiLevelType w:val="hybridMultilevel"/>
    <w:lvl w:ilvl="0">
      <w:lvlJc w:val="left"/>
      <w:lvlText w:val="(%1)"/>
      <w:numFmt w:val="lowerLetter"/>
      <w:start w:val="3"/>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
      <w:numFmt w:val="bullet"/>
      <w:start w:val="1"/>
    </w:lvl>
    <w:lvl w:ilvl="1">
      <w:lvlJc w:val="left"/>
      <w:lvlText w:val="-"/>
      <w:numFmt w:val="bullet"/>
      <w:start w:val="1"/>
    </w:lvl>
  </w:abstractNum>
  <w:abstractNum w:abstractNumId="37">
    <w:nsid w:val="53584BCB"/>
    <w:multiLevelType w:val="hybridMultilevel"/>
    <w:lvl w:ilvl="0">
      <w:lvlJc w:val="left"/>
      <w:lvlText w:val="%1)"/>
      <w:numFmt w:val="lowerLetter"/>
      <w:start w:val="6"/>
    </w:lvl>
    <w:lvl w:ilvl="1">
      <w:lvlJc w:val="left"/>
      <w:lvlText w:val="-"/>
      <w:numFmt w:val="bullet"/>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1)"/>
      <w:numFmt w:val="lowerRoman"/>
      <w:start w:val="1"/>
    </w:lvl>
    <w:lvl w:ilvl="1">
      <w:lvlJc w:val="left"/>
      <w:lvlText w:val="-"/>
      <w:numFmt w:val="bullet"/>
      <w:start w:val="1"/>
    </w:lvl>
  </w:abstractNum>
  <w:abstractNum w:abstractNumId="40">
    <w:nsid w:val="23D86AAC"/>
    <w:multiLevelType w:val="hybridMultilevel"/>
    <w:lvl w:ilvl="0">
      <w:lvlJc w:val="left"/>
      <w:lvlText w:val="(%1)"/>
      <w:numFmt w:val="lowerRoman"/>
      <w:start w:val="2"/>
    </w:lvl>
    <w:lvl w:ilvl="1">
      <w:lvlJc w:val="left"/>
      <w:lvlText w:val="-"/>
      <w:numFmt w:val="bullet"/>
      <w:start w:val="1"/>
    </w:lvl>
  </w:abstractNum>
  <w:abstractNum w:abstractNumId="41">
    <w:nsid w:val="45E6D486"/>
    <w:multiLevelType w:val="hybridMultilevel"/>
    <w:lvl w:ilvl="0">
      <w:lvlJc w:val="left"/>
      <w:lvlText w:val="(%1)"/>
      <w:numFmt w:val="lowerRoman"/>
      <w:start w:val="3"/>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1)"/>
      <w:numFmt w:val="lowerRoman"/>
      <w:start w:val="4"/>
    </w:lvl>
    <w:lvl w:ilvl="1">
      <w:lvlJc w:val="left"/>
      <w:lvlText w:val="-"/>
      <w:numFmt w:val="bullet"/>
      <w:start w:val="1"/>
    </w:lvl>
  </w:abstractNum>
  <w:abstractNum w:abstractNumId="44">
    <w:nsid w:val="3C5991AA"/>
    <w:multiLevelType w:val="hybridMultilevel"/>
    <w:lvl w:ilvl="0">
      <w:lvlJc w:val="left"/>
      <w:lvlText w:val="%1)"/>
      <w:numFmt w:val="lowerLetter"/>
      <w:start w:val="7"/>
    </w:lvl>
  </w:abstractNum>
  <w:abstractNum w:abstractNumId="45">
    <w:nsid w:val="4BD8591A"/>
    <w:multiLevelType w:val="hybridMultilevel"/>
    <w:lvl w:ilvl="0">
      <w:lvlJc w:val="left"/>
      <w:lvlText w:val="(%1)"/>
      <w:numFmt w:val="lowerRoman"/>
      <w:start w:val="2"/>
    </w:lvl>
  </w:abstractNum>
  <w:abstractNum w:abstractNumId="46">
    <w:nsid w:val="78DF6A55"/>
    <w:multiLevelType w:val="hybridMultilevel"/>
    <w:lvl w:ilvl="0">
      <w:lvlJc w:val="left"/>
      <w:lvlText w:val="%1)"/>
      <w:numFmt w:val="lowerLetter"/>
      <w:start w:val="8"/>
    </w:lvl>
    <w:lvl w:ilvl="1">
      <w:lvlJc w:val="left"/>
      <w:lvlText w:val="-"/>
      <w:numFmt w:val="bullet"/>
      <w:start w:val="1"/>
    </w:lvl>
  </w:abstractNum>
  <w:abstractNum w:abstractNumId="47">
    <w:nsid w:val="39B7AAA2"/>
    <w:multiLevelType w:val="hybridMultilevel"/>
    <w:lvl w:ilvl="0">
      <w:lvlJc w:val="left"/>
      <w:lvlText w:val="(%1)"/>
      <w:numFmt w:val="lowerRoman"/>
      <w:start w:val="1"/>
    </w:lvl>
  </w:abstractNum>
  <w:abstractNum w:abstractNumId="48">
    <w:nsid w:val="2B0D8DBE"/>
    <w:multiLevelType w:val="hybridMultilevel"/>
    <w:lvl w:ilvl="0">
      <w:lvlJc w:val="left"/>
      <w:lvlText w:val="-"/>
      <w:numFmt w:val="bullet"/>
      <w:start w:val="1"/>
    </w:lvl>
  </w:abstractNum>
  <w:abstractNum w:abstractNumId="49">
    <w:nsid w:val="6C80EC70"/>
    <w:multiLevelType w:val="hybridMultilevel"/>
    <w:lvl w:ilvl="0">
      <w:lvlJc w:val="left"/>
      <w:lvlText w:val="-"/>
      <w:numFmt w:val="bullet"/>
      <w:start w:val="1"/>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
      <w:numFmt w:val="bullet"/>
      <w:start w:val="1"/>
    </w:lvl>
  </w:abstractNum>
  <w:abstractNum w:abstractNumId="52">
    <w:nsid w:val="2C27173B"/>
    <w:multiLevelType w:val="hybridMultilevel"/>
    <w:lvl w:ilvl="0">
      <w:lvlJc w:val="left"/>
      <w:lvlText w:val="%1)"/>
      <w:numFmt w:val="lowerLetter"/>
      <w:start w:val="10"/>
    </w:lvl>
  </w:abstractNum>
  <w:abstractNum w:abstractNumId="53">
    <w:nsid w:val="4C9B0904"/>
    <w:multiLevelType w:val="hybridMultilevel"/>
    <w:lvl w:ilvl="0">
      <w:lvlJc w:val="left"/>
      <w:lvlText w:val="%1)"/>
      <w:numFmt w:val="lowerLetter"/>
      <w:start w:val="11"/>
    </w:lvl>
  </w:abstractNum>
  <w:abstractNum w:abstractNumId="54">
    <w:nsid w:val="6AA7B75C"/>
    <w:multiLevelType w:val="hybridMultilevel"/>
    <w:lvl w:ilvl="0">
      <w:lvlJc w:val="left"/>
      <w:lvlText w:val="%1)"/>
      <w:numFmt w:val="lowerLetter"/>
      <w:start w:val="12"/>
    </w:lvl>
  </w:abstractNum>
  <w:abstractNum w:abstractNumId="55">
    <w:nsid w:val="1DF029D3"/>
    <w:multiLevelType w:val="hybridMultilevel"/>
    <w:lvl w:ilvl="0">
      <w:lvlJc w:val="left"/>
      <w:lvlText w:val="%1)"/>
      <w:numFmt w:val="lowerLetter"/>
      <w:start w:val="14"/>
    </w:lvl>
  </w:abstractNum>
  <w:abstractNum w:abstractNumId="56">
    <w:nsid w:val="5675FF36"/>
    <w:multiLevelType w:val="hybridMultilevel"/>
    <w:lvl w:ilvl="0">
      <w:lvlJc w:val="left"/>
      <w:lvlText w:val="%1)"/>
      <w:numFmt w:val="lowerLetter"/>
      <w:start w:val="19"/>
    </w:lvl>
  </w:abstractNum>
  <w:abstractNum w:abstractNumId="57">
    <w:nsid w:val="3DD15094"/>
    <w:multiLevelType w:val="hybridMultilevel"/>
    <w:lvl w:ilvl="0">
      <w:lvlJc w:val="left"/>
      <w:lvlText w:val="-"/>
      <w:numFmt w:val="bullet"/>
      <w:start w:val="1"/>
    </w:lvl>
  </w:abstractNum>
  <w:abstractNum w:abstractNumId="58">
    <w:nsid w:val="3DB012B3"/>
    <w:multiLevelType w:val="hybridMultilevel"/>
    <w:lvl w:ilvl="0">
      <w:lvlJc w:val="left"/>
      <w:lvlText w:val="-"/>
      <w:numFmt w:val="bullet"/>
      <w:start w:val="1"/>
    </w:lvl>
  </w:abstractNum>
  <w:abstractNum w:abstractNumId="59">
    <w:nsid w:val="2708C9AF"/>
    <w:multiLevelType w:val="hybridMultilevel"/>
    <w:lvl w:ilvl="0">
      <w:lvlJc w:val="left"/>
      <w:lvlText w:val="(%1)"/>
      <w:numFmt w:val="lowerRoman"/>
      <w:start w:val="1"/>
    </w:lvl>
  </w:abstractNum>
  <w:abstractNum w:abstractNumId="60">
    <w:nsid w:val="5B25ACE2"/>
    <w:multiLevelType w:val="hybridMultilevel"/>
    <w:lvl w:ilvl="0">
      <w:lvlJc w:val="left"/>
      <w:lvlText w:val="(%1)"/>
      <w:numFmt w:val="lowerRoman"/>
      <w:start w:val="2"/>
    </w:lvl>
  </w:abstractNum>
  <w:abstractNum w:abstractNumId="61">
    <w:nsid w:val="175DFCF0"/>
    <w:multiLevelType w:val="hybridMultilevel"/>
    <w:lvl w:ilvl="0">
      <w:lvlJc w:val="left"/>
      <w:lvlText w:val="%1)"/>
      <w:numFmt w:val="lowerLetter"/>
      <w:start w:val="21"/>
    </w:lvl>
  </w:abstractNum>
  <w:abstractNum w:abstractNumId="62">
    <w:nsid w:val="4F97E3E4"/>
    <w:multiLevelType w:val="hybridMultilevel"/>
    <w:lvl w:ilvl="0">
      <w:lvlJc w:val="left"/>
      <w:lvlText w:val="-"/>
      <w:numFmt w:val="bullet"/>
      <w:start w:val="1"/>
    </w:lvl>
  </w:abstractNum>
  <w:abstractNum w:abstractNumId="63">
    <w:nsid w:val="53B0A9E"/>
    <w:multiLevelType w:val="hybridMultilevel"/>
    <w:lvl w:ilvl="0">
      <w:lvlJc w:val="left"/>
      <w:lvlText w:val="-"/>
      <w:numFmt w:val="bullet"/>
      <w:start w:val="1"/>
    </w:lvl>
  </w:abstractNum>
  <w:abstractNum w:abstractNumId="64">
    <w:nsid w:val="34FD6B4F"/>
    <w:multiLevelType w:val="hybridMultilevel"/>
    <w:lvl w:ilvl="0">
      <w:lvlJc w:val="left"/>
      <w:lvlText w:val="%1)"/>
      <w:numFmt w:val="lowerRoman"/>
      <w:start w:val="5"/>
    </w:lvl>
  </w:abstractNum>
  <w:abstractNum w:abstractNumId="65">
    <w:nsid w:val="5915FF32"/>
    <w:multiLevelType w:val="hybridMultilevel"/>
    <w:lvl w:ilvl="0">
      <w:lvlJc w:val="left"/>
      <w:lvlText w:val="%1)"/>
      <w:numFmt w:val="lowerLetter"/>
      <w:start w:val="23"/>
    </w:lvl>
  </w:abstractNum>
  <w:abstractNum w:abstractNumId="66">
    <w:nsid w:val="56438D15"/>
    <w:multiLevelType w:val="hybridMultilevel"/>
    <w:lvl w:ilvl="0">
      <w:lvlJc w:val="left"/>
      <w:lvlText w:val="%1)"/>
      <w:numFmt w:val="lowerRoman"/>
      <w:start w:val="10"/>
    </w:lvl>
  </w:abstractNum>
  <w:abstractNum w:abstractNumId="67">
    <w:nsid w:val="519E3149"/>
    <w:multiLevelType w:val="hybridMultilevel"/>
    <w:lvl w:ilvl="0">
      <w:lvlJc w:val="left"/>
      <w:lvlText w:val="%1)"/>
      <w:numFmt w:val="lowerLetter"/>
      <w:start w:val="25"/>
    </w:lvl>
  </w:abstractNum>
  <w:abstractNum w:abstractNumId="68">
    <w:nsid w:val="2C6E4AFD"/>
    <w:multiLevelType w:val="hybridMultilevel"/>
    <w:lvl w:ilvl="0">
      <w:lvlJc w:val="left"/>
      <w:lvlText w:val="%1)"/>
      <w:numFmt w:val="lowerLetter"/>
      <w:start w:val="26"/>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
      <w:numFmt w:val="bullet"/>
      <w:start w:val="1"/>
    </w:lvl>
  </w:abstractNum>
  <w:abstractNum w:abstractNumId="71">
    <w:nsid w:val="5046B5A9"/>
    <w:multiLevelType w:val="hybridMultilevel"/>
    <w:lvl w:ilvl="0">
      <w:lvlJc w:val="left"/>
      <w:lvlText w:val="%1)"/>
      <w:numFmt w:val="lowerLetter"/>
      <w:start w:val="2"/>
    </w:lvl>
  </w:abstractNum>
  <w:abstractNum w:abstractNumId="72">
    <w:nsid w:val="5D888A08"/>
    <w:multiLevelType w:val="hybridMultilevel"/>
    <w:lvl w:ilvl="0">
      <w:lvlJc w:val="left"/>
      <w:lvlText w:val="(%1)"/>
      <w:numFmt w:val="lowerRoman"/>
      <w:start w:val="1"/>
    </w:lvl>
  </w:abstractNum>
  <w:abstractNum w:abstractNumId="73">
    <w:nsid w:val="2A082C70"/>
    <w:multiLevelType w:val="hybridMultilevel"/>
    <w:lvl w:ilvl="0">
      <w:lvlJc w:val="left"/>
      <w:lvlText w:val="%1"/>
      <w:numFmt w:val="lowerLetter"/>
      <w:start w:val="1"/>
    </w:lvl>
    <w:lvl w:ilvl="1">
      <w:lvlJc w:val="left"/>
      <w:lvlText w:val="(%2)"/>
      <w:numFmt w:val="lowerRoman"/>
      <w:start w:val="3"/>
    </w:lvl>
  </w:abstractNum>
  <w:abstractNum w:abstractNumId="74">
    <w:nsid w:val="5EC6AFD4"/>
    <w:multiLevelType w:val="hybridMultilevel"/>
    <w:lvl w:ilvl="0">
      <w:lvlJc w:val="left"/>
      <w:lvlText w:val="%1)"/>
      <w:numFmt w:val="lowerLetter"/>
      <w:start w:val="3"/>
    </w:lvl>
    <w:lvl w:ilvl="1">
      <w:lvlJc w:val="left"/>
      <w:lvlText w:val="%2"/>
      <w:numFmt w:val="lowerRoman"/>
      <w:start w:val="1"/>
    </w:lvl>
  </w:abstractNum>
  <w:abstractNum w:abstractNumId="75">
    <w:nsid w:val="19E21BB2"/>
    <w:multiLevelType w:val="hybridMultilevel"/>
    <w:lvl w:ilvl="0">
      <w:lvlJc w:val="left"/>
      <w:lvlText w:val="5"/>
      <w:numFmt w:val="bullet"/>
      <w:start w:val="1"/>
    </w:lvl>
    <w:lvl w:ilvl="1">
      <w:lvlJc w:val="left"/>
      <w:lvlText w:val="%2)"/>
      <w:numFmt w:val="lowerLetter"/>
      <w:start w:val="1"/>
    </w:lvl>
  </w:abstractNum>
  <w:abstractNum w:abstractNumId="76">
    <w:nsid w:val="75E0858A"/>
    <w:multiLevelType w:val="hybridMultilevel"/>
    <w:lvl w:ilvl="0">
      <w:lvlJc w:val="left"/>
      <w:lvlText w:val="(%1)"/>
      <w:numFmt w:val="lowerRoman"/>
      <w:start w:val="1"/>
    </w:lvl>
  </w:abstractNum>
  <w:abstractNum w:abstractNumId="77">
    <w:nsid w:val="57A61A29"/>
    <w:multiLevelType w:val="hybridMultilevel"/>
    <w:lvl w:ilvl="0">
      <w:lvlJc w:val="left"/>
      <w:lvlText w:val="(%1)"/>
      <w:numFmt w:val="lowerRoman"/>
      <w:start w:val="2"/>
    </w:lvl>
  </w:abstractNum>
  <w:abstractNum w:abstractNumId="78">
    <w:nsid w:val="5399C654"/>
    <w:multiLevelType w:val="hybridMultilevel"/>
    <w:lvl w:ilvl="0">
      <w:lvlJc w:val="left"/>
      <w:lvlText w:val="%1)"/>
      <w:numFmt w:val="lowerLetter"/>
      <w:start w:val="2"/>
    </w:lvl>
  </w:abstractNum>
  <w:abstractNum w:abstractNumId="79">
    <w:nsid w:val="20EE1348"/>
    <w:multiLevelType w:val="hybridMultilevel"/>
    <w:lvl w:ilvl="0">
      <w:lvlJc w:val="left"/>
      <w:lvlText w:val="%1)"/>
      <w:numFmt w:val="lowerLetter"/>
      <w:start w:val="3"/>
    </w:lvl>
  </w:abstractNum>
  <w:abstractNum w:abstractNumId="80">
    <w:nsid w:val="4427069A"/>
    <w:multiLevelType w:val="hybridMultilevel"/>
    <w:lvl w:ilvl="0">
      <w:lvlJc w:val="left"/>
      <w:lvlText w:val="(*)"/>
      <w:numFmt w:val="bullet"/>
      <w:start w:val="1"/>
    </w:lvl>
  </w:abstractNum>
  <w:abstractNum w:abstractNumId="81">
    <w:nsid w:val="B37E80A"/>
    <w:multiLevelType w:val="hybridMultilevel"/>
    <w:lvl w:ilvl="0">
      <w:lvlJc w:val="left"/>
      <w:lvlText w:val="6"/>
      <w:numFmt w:val="bullet"/>
      <w:start w:val="1"/>
    </w:lvl>
    <w:lvl w:ilvl="1">
      <w:lvlJc w:val="left"/>
      <w:lvlText w:val="%2)"/>
      <w:numFmt w:val="lowerLetter"/>
      <w:start w:val="1"/>
    </w:lvl>
  </w:abstractNum>
  <w:abstractNum w:abstractNumId="82">
    <w:nsid w:val="2157F6BC"/>
    <w:multiLevelType w:val="hybridMultilevel"/>
    <w:lvl w:ilvl="0">
      <w:lvlJc w:val="left"/>
      <w:lvlText w:val="(%1)"/>
      <w:numFmt w:val="lowerRoman"/>
      <w:start w:val="2"/>
    </w:lvl>
  </w:abstractNum>
  <w:abstractNum w:abstractNumId="83">
    <w:nsid w:val="704E1DD5"/>
    <w:multiLevelType w:val="hybridMultilevel"/>
    <w:lvl w:ilvl="0">
      <w:lvlJc w:val="left"/>
      <w:lvlText w:val="(%1)"/>
      <w:numFmt w:val="lowerRoman"/>
      <w:start w:val="4"/>
    </w:lvl>
  </w:abstractNum>
  <w:abstractNum w:abstractNumId="84">
    <w:nsid w:val="57D2F10E"/>
    <w:multiLevelType w:val="hybridMultilevel"/>
    <w:lvl w:ilvl="0">
      <w:lvlJc w:val="left"/>
      <w:lvlText w:val="(%1)"/>
      <w:numFmt w:val="lowerRoman"/>
      <w:start w:val="1"/>
    </w:lvl>
  </w:abstractNum>
  <w:abstractNum w:abstractNumId="85">
    <w:nsid w:val="BFFAE18"/>
    <w:multiLevelType w:val="hybridMultilevel"/>
    <w:lvl w:ilvl="0">
      <w:lvlJc w:val="left"/>
      <w:lvlText w:val="(%1)"/>
      <w:numFmt w:val="lowerRoman"/>
      <w:start w:val="3"/>
    </w:lvl>
  </w:abstractNum>
  <w:abstractNum w:abstractNumId="86">
    <w:nsid w:val="E3E47A8"/>
    <w:multiLevelType w:val="hybridMultilevel"/>
    <w:lvl w:ilvl="0">
      <w:lvlJc w:val="left"/>
      <w:lvlText w:val="%1"/>
      <w:numFmt w:val="lowerLetter"/>
      <w:start w:val="1"/>
    </w:lvl>
    <w:lvl w:ilvl="1">
      <w:lvlJc w:val="left"/>
      <w:lvlText w:val="(%2)"/>
      <w:numFmt w:val="lowerRoman"/>
      <w:start w:val="5"/>
    </w:lvl>
  </w:abstractNum>
  <w:abstractNum w:abstractNumId="87">
    <w:nsid w:val="2E48F044"/>
    <w:multiLevelType w:val="hybridMultilevel"/>
    <w:lvl w:ilvl="0">
      <w:lvlJc w:val="left"/>
      <w:lvlText w:val="%1)"/>
      <w:numFmt w:val="lowerLetter"/>
      <w:start w:val="3"/>
    </w:lvl>
    <w:lvl w:ilvl="1">
      <w:lvlJc w:val="left"/>
      <w:lvlText w:val="%2"/>
      <w:numFmt w:val="lowerRoman"/>
      <w:start w:val="1"/>
    </w:lvl>
  </w:abstractNum>
  <w:abstractNum w:abstractNumId="88">
    <w:nsid w:val="49D0FEAC"/>
    <w:multiLevelType w:val="hybridMultilevel"/>
    <w:lvl w:ilvl="0">
      <w:lvlJc w:val="left"/>
      <w:lvlText w:val="(%1)"/>
      <w:numFmt w:val="lowerRoman"/>
      <w:start w:val="1"/>
    </w:lvl>
  </w:abstractNum>
  <w:abstractNum w:abstractNumId="89">
    <w:nsid w:val="4BEE5A5B"/>
    <w:multiLevelType w:val="hybridMultilevel"/>
    <w:lvl w:ilvl="0">
      <w:lvlJc w:val="left"/>
      <w:lvlText w:val="%1)"/>
      <w:numFmt w:val="lowerLetter"/>
      <w:start w:val="3"/>
    </w:lvl>
  </w:abstractNum>
  <w:abstractNum w:abstractNumId="90">
    <w:nsid w:val="5551B9F3"/>
    <w:multiLevelType w:val="hybridMultilevel"/>
    <w:lvl w:ilvl="0">
      <w:lvlJc w:val="left"/>
      <w:lvlText w:val="(*)"/>
      <w:numFmt w:val="bullet"/>
      <w:start w:val="1"/>
    </w:lvl>
    <w:lvl w:ilvl="1">
      <w:lvlJc w:val="left"/>
      <w:lvlText w:val="(%2)"/>
      <w:numFmt w:val="lowerRoman"/>
      <w:start w:val="1"/>
    </w:lvl>
  </w:abstractNum>
  <w:abstractNum w:abstractNumId="91">
    <w:nsid w:val="24F6AB8E"/>
    <w:multiLevelType w:val="hybridMultilevel"/>
    <w:lvl w:ilvl="0">
      <w:lvlJc w:val="left"/>
      <w:lvlText w:val="%1)"/>
      <w:numFmt w:val="lowerLetter"/>
      <w:start w:val="3"/>
    </w:lvl>
    <w:lvl w:ilvl="1">
      <w:lvlJc w:val="left"/>
      <w:lvlText w:val="(**)"/>
      <w:numFmt w:val="bullet"/>
      <w:start w:val="1"/>
    </w:lvl>
  </w:abstractNum>
  <w:abstractNum w:abstractNumId="92">
    <w:nsid w:val="634C574C"/>
    <w:multiLevelType w:val="hybridMultilevel"/>
    <w:lvl w:ilvl="0">
      <w:lvlJc w:val="left"/>
      <w:lvlText w:val="8"/>
      <w:numFmt w:val="bullet"/>
      <w:start w:val="1"/>
    </w:lvl>
    <w:lvl w:ilvl="1">
      <w:lvlJc w:val="left"/>
      <w:lvlText w:val="%2)"/>
      <w:numFmt w:val="lowerLetter"/>
      <w:start w:val="1"/>
    </w:lvl>
  </w:abstractNum>
  <w:abstractNum w:abstractNumId="93">
    <w:nsid w:val="24E99DD7"/>
    <w:multiLevelType w:val="hybridMultilevel"/>
    <w:lvl w:ilvl="0">
      <w:lvlJc w:val="left"/>
      <w:lvlText w:val="(*)"/>
      <w:numFmt w:val="bullet"/>
      <w:start w:val="1"/>
    </w:lvl>
  </w:abstractNum>
  <w:abstractNum w:abstractNumId="94">
    <w:nsid w:val="2A31B62D"/>
    <w:multiLevelType w:val="hybridMultilevel"/>
    <w:lvl w:ilvl="0">
      <w:lvlJc w:val="left"/>
      <w:lvlText w:val="%1)"/>
      <w:numFmt w:val="lowerLetter"/>
      <w:start w:val="2"/>
    </w:lvl>
  </w:abstractNum>
  <w:abstractNum w:abstractNumId="95">
    <w:nsid w:val="1849C29B"/>
    <w:multiLevelType w:val="hybridMultilevel"/>
    <w:lvl w:ilvl="0">
      <w:lvlJc w:val="left"/>
      <w:lvlText w:val="9"/>
      <w:numFmt w:val="bullet"/>
      <w:start w:val="1"/>
    </w:lvl>
  </w:abstractNum>
  <w:abstractNum w:abstractNumId="96">
    <w:nsid w:val="7DFF9D09"/>
    <w:multiLevelType w:val="hybridMultilevel"/>
    <w:lvl w:ilvl="0">
      <w:lvlJc w:val="left"/>
      <w:lvlText w:val="%1)"/>
      <w:numFmt w:val="lowerLetter"/>
      <w:start w:val="1"/>
    </w:lvl>
  </w:abstractNum>
  <w:abstractNum w:abstractNumId="97">
    <w:nsid w:val="754342"/>
    <w:multiLevelType w:val="hybridMultilevel"/>
    <w:lvl w:ilvl="0">
      <w:lvlJc w:val="left"/>
      <w:lvlText w:val="%1"/>
      <w:numFmt w:val="decimal"/>
      <w:start w:val="10"/>
    </w:lvl>
    <w:lvl w:ilvl="1">
      <w:lvlJc w:val="left"/>
      <w:lvlText w:val="%2)"/>
      <w:numFmt w:val="lowerLetter"/>
      <w:start w:val="1"/>
    </w:lvl>
  </w:abstractNum>
  <w:abstractNum w:abstractNumId="98">
    <w:nsid w:val="69E7F3E5"/>
    <w:multiLevelType w:val="hybridMultilevel"/>
    <w:lvl w:ilvl="0">
      <w:lvlJc w:val="left"/>
      <w:lvlText w:val="%1)"/>
      <w:numFmt w:val="lowerLetter"/>
      <w:start w:val="2"/>
    </w:lvl>
  </w:abstractNum>
  <w:abstractNum w:abstractNumId="99">
    <w:nsid w:val="2A6DE806"/>
    <w:multiLevelType w:val="hybridMultilevel"/>
    <w:lvl w:ilvl="0">
      <w:lvlJc w:val="left"/>
      <w:lvlText w:val="(*)"/>
      <w:numFmt w:val="bullet"/>
      <w:start w:val="1"/>
    </w:lvl>
  </w:abstractNum>
  <w:abstractNum w:abstractNumId="100">
    <w:nsid w:val="1816F8C4"/>
    <w:multiLevelType w:val="hybridMultilevel"/>
    <w:lvl w:ilvl="0">
      <w:lvlJc w:val="left"/>
      <w:lvlText w:val="%1"/>
      <w:numFmt w:val="decimal"/>
      <w:start w:val="11"/>
    </w:lvl>
    <w:lvl w:ilvl="1">
      <w:lvlJc w:val="left"/>
      <w:lvlText w:val="%2)"/>
      <w:numFmt w:val="lowerLetter"/>
      <w:start w:val="1"/>
    </w:lvl>
  </w:abstractNum>
  <w:abstractNum w:abstractNumId="101">
    <w:nsid w:val="37DF2233"/>
    <w:multiLevelType w:val="hybridMultilevel"/>
    <w:lvl w:ilvl="0">
      <w:lvlJc w:val="left"/>
      <w:lvlText w:val="%1)"/>
      <w:numFmt w:val="lowerLetter"/>
      <w:start w:val="2"/>
    </w:lvl>
  </w:abstractNum>
  <w:abstractNum w:abstractNumId="102">
    <w:nsid w:val="7AB49DAF"/>
    <w:multiLevelType w:val="hybridMultilevel"/>
    <w:lvl w:ilvl="0">
      <w:lvlJc w:val="left"/>
      <w:lvlText w:val="%1)"/>
      <w:numFmt w:val="lowerLetter"/>
      <w:start w:val="2"/>
    </w:lvl>
  </w:abstractNum>
  <w:abstractNum w:abstractNumId="103">
    <w:nsid w:val="759F82CD"/>
    <w:multiLevelType w:val="hybridMultilevel"/>
    <w:lvl w:ilvl="0">
      <w:lvlJc w:val="left"/>
      <w:lvlText w:val="%1)"/>
      <w:numFmt w:val="lowerLetter"/>
      <w:start w:val="3"/>
    </w:lvl>
  </w:abstractNum>
  <w:abstractNum w:abstractNumId="104">
    <w:nsid w:val="61E74EA3"/>
    <w:multiLevelType w:val="hybridMultilevel"/>
    <w:lvl w:ilvl="0">
      <w:lvlJc w:val="left"/>
      <w:lvlText w:val="(*)"/>
      <w:numFmt w:val="bullet"/>
      <w:start w:val="1"/>
    </w:lvl>
  </w:abstractNum>
  <w:abstractNum w:abstractNumId="105">
    <w:nsid w:val="597B4D84"/>
    <w:multiLevelType w:val="hybridMultilevel"/>
    <w:lvl w:ilvl="0">
      <w:lvlJc w:val="left"/>
      <w:lvlText w:val="(**)"/>
      <w:numFmt w:val="bullet"/>
      <w:start w:val="1"/>
    </w:lvl>
    <w:lvl w:ilvl="1">
      <w:lvlJc w:val="left"/>
      <w:lvlText w:val="-"/>
      <w:numFmt w:val="bullet"/>
      <w:start w:val="1"/>
    </w:lvl>
  </w:abstractNum>
  <w:abstractNum w:abstractNumId="106">
    <w:nsid w:val="F819E7F"/>
    <w:multiLevelType w:val="hybridMultilevel"/>
    <w:lvl w:ilvl="0">
      <w:lvlJc w:val="left"/>
      <w:lvlText w:val="(%1)"/>
      <w:numFmt w:val="lowerRoman"/>
      <w:start w:val="1"/>
    </w:lvl>
  </w:abstractNum>
  <w:abstractNum w:abstractNumId="107">
    <w:nsid w:val="57C7D42D"/>
    <w:multiLevelType w:val="hybridMultilevel"/>
    <w:lvl w:ilvl="0">
      <w:lvlJc w:val="left"/>
      <w:lvlText w:val="(%1)"/>
      <w:numFmt w:val="lowerRoman"/>
      <w:start w:val="2"/>
    </w:lvl>
  </w:abstractNum>
  <w:abstractNum w:abstractNumId="108">
    <w:nsid w:val="312167AD"/>
    <w:multiLevelType w:val="hybridMultilevel"/>
    <w:lvl w:ilvl="0">
      <w:lvlJc w:val="left"/>
      <w:lvlText w:val="%1)"/>
      <w:numFmt w:val="lowerLetter"/>
      <w:start w:val="4"/>
    </w:lvl>
  </w:abstractNum>
  <w:abstractNum w:abstractNumId="109">
    <w:nsid w:val="631B64D4"/>
    <w:multiLevelType w:val="hybridMultilevel"/>
    <w:lvl w:ilvl="0">
      <w:lvlJc w:val="left"/>
      <w:lvlText w:val="(%1)"/>
      <w:numFmt w:val="lowerRoman"/>
      <w:start w:val="1"/>
    </w:lvl>
  </w:abstractNum>
  <w:abstractNum w:abstractNumId="110">
    <w:nsid w:val="78B5E776"/>
    <w:multiLevelType w:val="hybridMultilevel"/>
    <w:lvl w:ilvl="0">
      <w:lvlJc w:val="left"/>
      <w:lvlText w:val="%1)"/>
      <w:numFmt w:val="lowerLetter"/>
      <w:start w:val="9"/>
    </w:lvl>
  </w:abstractNum>
  <w:abstractNum w:abstractNumId="111">
    <w:nsid w:val="75486E47"/>
    <w:multiLevelType w:val="hybridMultilevel"/>
    <w:lvl w:ilvl="0">
      <w:lvlJc w:val="left"/>
      <w:lvlText w:val="%1"/>
      <w:numFmt w:val="decimal"/>
      <w:start w:val="13"/>
    </w:lvl>
    <w:lvl w:ilvl="1">
      <w:lvlJc w:val="left"/>
      <w:lvlText w:val="%2)"/>
      <w:numFmt w:val="lowerLetter"/>
      <w:start w:val="1"/>
    </w:lvl>
  </w:abstractNum>
  <w:abstractNum w:abstractNumId="112">
    <w:nsid w:val="6E534CDE"/>
    <w:multiLevelType w:val="hybridMultilevel"/>
    <w:lvl w:ilvl="0">
      <w:lvlJc w:val="left"/>
      <w:lvlText w:val="%1)"/>
      <w:numFmt w:val="lowerLetter"/>
      <w:start w:val="3"/>
    </w:lvl>
  </w:abstractNum>
  <w:abstractNum w:abstractNumId="113">
    <w:nsid w:val="1A0DDE32"/>
    <w:multiLevelType w:val="hybridMultilevel"/>
    <w:lvl w:ilvl="0">
      <w:lvlJc w:val="left"/>
      <w:lvlText w:val="%1"/>
      <w:numFmt w:val="decimal"/>
      <w:start w:val="14"/>
    </w:lvl>
    <w:lvl w:ilvl="1">
      <w:lvlJc w:val="left"/>
      <w:lvlText w:val="%2)"/>
      <w:numFmt w:val="lowerLetter"/>
      <w:start w:val="1"/>
    </w:lvl>
  </w:abstractNum>
  <w:abstractNum w:abstractNumId="114">
    <w:nsid w:val="65968C1C"/>
    <w:multiLevelType w:val="hybridMultilevel"/>
    <w:lvl w:ilvl="0">
      <w:lvlJc w:val="left"/>
      <w:lvlText w:val="(%1)"/>
      <w:numFmt w:val="lowerRoman"/>
      <w:start w:val="1"/>
    </w:lvl>
  </w:abstractNum>
  <w:abstractNum w:abstractNumId="115">
    <w:nsid w:val="46263DEC"/>
    <w:multiLevelType w:val="hybridMultilevel"/>
    <w:lvl w:ilvl="0">
      <w:lvlJc w:val="left"/>
      <w:lvlText w:val="%1"/>
      <w:numFmt w:val="lowerLetter"/>
      <w:start w:val="1"/>
    </w:lvl>
    <w:lvl w:ilvl="1">
      <w:lvlJc w:val="left"/>
      <w:lvlText w:val="(%2)"/>
      <w:numFmt w:val="lowerRoman"/>
      <w:start w:val="2"/>
    </w:lvl>
  </w:abstractNum>
  <w:abstractNum w:abstractNumId="116">
    <w:nsid w:val="260D8C4A"/>
    <w:multiLevelType w:val="hybridMultilevel"/>
    <w:lvl w:ilvl="0">
      <w:lvlJc w:val="left"/>
      <w:lvlText w:val="%1)"/>
      <w:numFmt w:val="lowerLetter"/>
      <w:start w:val="3"/>
    </w:lvl>
    <w:lvl w:ilvl="1">
      <w:lvlJc w:val="left"/>
      <w:lvlText w:val="%2"/>
      <w:numFmt w:val="lowerRoman"/>
      <w:start w:val="1"/>
    </w:lvl>
  </w:abstractNum>
  <w:abstractNum w:abstractNumId="117">
    <w:nsid w:val="73D4D3C4"/>
    <w:multiLevelType w:val="hybridMultilevel"/>
    <w:lvl w:ilvl="0">
      <w:lvlJc w:val="left"/>
      <w:lvlText w:val="%1)"/>
      <w:numFmt w:val="lowerLetter"/>
      <w:start w:val="5"/>
    </w:lvl>
  </w:abstractNum>
  <w:abstractNum w:abstractNumId="118">
    <w:nsid w:val="746F2E30"/>
    <w:multiLevelType w:val="hybridMultilevel"/>
    <w:lvl w:ilvl="0">
      <w:lvlJc w:val="left"/>
      <w:lvlText w:val="%1"/>
      <w:numFmt w:val="decimal"/>
      <w:start w:val="15"/>
    </w:lvl>
    <w:lvl w:ilvl="1">
      <w:lvlJc w:val="left"/>
      <w:lvlText w:val="%2)"/>
      <w:numFmt w:val="lowerLetter"/>
      <w:start w:val="1"/>
    </w:lvl>
  </w:abstractNum>
  <w:abstractNum w:abstractNumId="119">
    <w:nsid w:val="6FDE8AF6"/>
    <w:multiLevelType w:val="hybridMultilevel"/>
    <w:lvl w:ilvl="0">
      <w:lvlJc w:val="left"/>
      <w:lvlText w:val="(%1)"/>
      <w:numFmt w:val="lowerRoman"/>
      <w:start w:val="1"/>
    </w:lvl>
  </w:abstractNum>
  <w:abstractNum w:abstractNumId="120">
    <w:nsid w:val="3FC32E20"/>
    <w:multiLevelType w:val="hybridMultilevel"/>
    <w:lvl w:ilvl="0">
      <w:lvlJc w:val="left"/>
      <w:lvlText w:val="(%1)"/>
      <w:numFmt w:val="lowerRoman"/>
      <w:start w:val="6"/>
    </w:lvl>
  </w:abstractNum>
  <w:abstractNum w:abstractNumId="121">
    <w:nsid w:val="49C0E823"/>
    <w:multiLevelType w:val="hybridMultilevel"/>
    <w:lvl w:ilvl="0">
      <w:lvlJc w:val="left"/>
      <w:lvlText w:val="%1"/>
      <w:numFmt w:val="decimal"/>
      <w:start w:val="16"/>
    </w:lvl>
    <w:lvl w:ilvl="1">
      <w:lvlJc w:val="left"/>
      <w:lvlText w:val="%2)"/>
      <w:numFmt w:val="lowerLetter"/>
      <w:start w:val="1"/>
    </w:lvl>
  </w:abstractNum>
  <w:abstractNum w:abstractNumId="122">
    <w:nsid w:val="14D53685"/>
    <w:multiLevelType w:val="hybridMultilevel"/>
    <w:lvl w:ilvl="0">
      <w:lvlJc w:val="left"/>
      <w:lvlText w:val="(*)"/>
      <w:numFmt w:val="bullet"/>
      <w:start w:val="1"/>
    </w:lvl>
  </w:abstractNum>
  <w:abstractNum w:abstractNumId="123">
    <w:nsid w:val="230F856C"/>
    <w:multiLevelType w:val="hybridMultilevel"/>
    <w:lvl w:ilvl="0">
      <w:lvlJc w:val="left"/>
      <w:lvlText w:val="%1)"/>
      <w:numFmt w:val="lowerLetter"/>
      <w:start w:val="3"/>
    </w:lvl>
  </w:abstractNum>
  <w:abstractNum w:abstractNumId="124">
    <w:nsid w:val="6EAA85FB"/>
    <w:multiLevelType w:val="hybridMultilevel"/>
    <w:lvl w:ilvl="0">
      <w:lvlJc w:val="left"/>
      <w:lvlText w:val="%1)"/>
      <w:numFmt w:val="lowerLetter"/>
      <w:start w:val="6"/>
    </w:lvl>
  </w:abstractNum>
  <w:abstractNum w:abstractNumId="125">
    <w:nsid w:val="3F06ECB2"/>
    <w:multiLevelType w:val="hybridMultilevel"/>
    <w:lvl w:ilvl="0">
      <w:lvlJc w:val="left"/>
      <w:lvlText w:val="%1"/>
      <w:numFmt w:val="decimal"/>
      <w:start w:val="17"/>
    </w:lvl>
    <w:lvl w:ilvl="1">
      <w:lvlJc w:val="left"/>
      <w:lvlText w:val="%2)"/>
      <w:numFmt w:val="lowerLetter"/>
      <w:start w:val="1"/>
    </w:lvl>
  </w:abstractNum>
  <w:abstractNum w:abstractNumId="126">
    <w:nsid w:val="3B594807"/>
    <w:multiLevelType w:val="hybridMultilevel"/>
    <w:lvl w:ilvl="0">
      <w:lvlJc w:val="left"/>
      <w:lvlText w:val="%1)"/>
      <w:numFmt w:val="lowerLetter"/>
      <w:start w:val="4"/>
    </w:lvl>
  </w:abstractNum>
  <w:abstractNum w:abstractNumId="127">
    <w:nsid w:val="6CAA2304"/>
    <w:multiLevelType w:val="hybridMultilevel"/>
    <w:lvl w:ilvl="0">
      <w:lvlJc w:val="left"/>
      <w:lvlText w:val="%1)"/>
      <w:numFmt w:val="lowerLetter"/>
      <w:start w:val="5"/>
    </w:lvl>
    <w:lvl w:ilvl="1">
      <w:lvlJc w:val="left"/>
      <w:lvlText w:val="(%2)"/>
      <w:numFmt w:val="lowerRoman"/>
      <w:start w:val="1"/>
    </w:lvl>
  </w:abstractNum>
  <w:abstractNum w:abstractNumId="128">
    <w:nsid w:val="3F7C2FF4"/>
    <w:multiLevelType w:val="hybridMultilevel"/>
    <w:lvl w:ilvl="0">
      <w:lvlJc w:val="left"/>
      <w:lvlText w:val="%1)"/>
      <w:numFmt w:val="lowerLetter"/>
      <w:start w:val="6"/>
    </w:lvl>
  </w:abstractNum>
  <w:abstractNum w:abstractNumId="129">
    <w:nsid w:val="25413BEC"/>
    <w:multiLevelType w:val="hybridMultilevel"/>
    <w:lvl w:ilvl="0">
      <w:lvlJc w:val="left"/>
      <w:lvlText w:val="%1)"/>
      <w:numFmt w:val="lowerLetter"/>
      <w:start w:val="2"/>
    </w:lvl>
  </w:abstractNum>
  <w:abstractNum w:abstractNumId="130">
    <w:nsid w:val="17180B0B"/>
    <w:multiLevelType w:val="hybridMultilevel"/>
    <w:lvl w:ilvl="0">
      <w:lvlJc w:val="left"/>
      <w:lvlText w:val="%1)"/>
      <w:numFmt w:val="lowerLetter"/>
      <w:start w:val="3"/>
    </w:lvl>
  </w:abstractNum>
  <w:abstractNum w:abstractNumId="131">
    <w:nsid w:val="579328B9"/>
    <w:multiLevelType w:val="hybridMultilevel"/>
    <w:lvl w:ilvl="0">
      <w:lvlJc w:val="left"/>
      <w:lvlText w:val="%1"/>
      <w:numFmt w:val="decimal"/>
      <w:start w:val="19"/>
    </w:lvl>
  </w:abstractNum>
  <w:abstractNum w:abstractNumId="132">
    <w:nsid w:val="5D205E20"/>
    <w:multiLevelType w:val="hybridMultilevel"/>
    <w:lvl w:ilvl="0">
      <w:lvlJc w:val="left"/>
      <w:lvlText w:val="%1"/>
      <w:numFmt w:val="decimal"/>
      <w:start w:val="20"/>
    </w:lvl>
  </w:abstractNum>
  <w:abstractNum w:abstractNumId="133">
    <w:nsid w:val="11CCA8BA"/>
    <w:multiLevelType w:val="hybridMultilevel"/>
    <w:lvl w:ilvl="0">
      <w:lvlJc w:val="left"/>
      <w:lvlText w:val="%1)"/>
      <w:numFmt w:val="lowerLetter"/>
      <w:start w:val="6"/>
    </w:lvl>
  </w:abstractNum>
  <w:abstractNum w:abstractNumId="134">
    <w:nsid w:val="4D32AB86"/>
    <w:multiLevelType w:val="hybridMultilevel"/>
    <w:lvl w:ilvl="0">
      <w:lvlJc w:val="left"/>
      <w:lvlText w:val="%1"/>
      <w:numFmt w:val="decimal"/>
      <w:start w:val="23"/>
    </w:lvl>
  </w:abstractNum>
  <w:abstractNum w:abstractNumId="135">
    <w:nsid w:val="3F07ACC3"/>
    <w:multiLevelType w:val="hybridMultilevel"/>
    <w:lvl w:ilvl="0">
      <w:lvlJc w:val="left"/>
      <w:lvlText w:val="%1"/>
      <w:numFmt w:val="decimal"/>
      <w:start w:val="26"/>
    </w:lvl>
  </w:abstractNum>
  <w:abstractNum w:abstractNumId="136">
    <w:nsid w:val="6B47F63E"/>
    <w:multiLevelType w:val="hybridMultilevel"/>
    <w:lvl w:ilvl="0">
      <w:lvlJc w:val="left"/>
      <w:lvlText w:val="%1"/>
      <w:numFmt w:val="decimal"/>
      <w:start w:val="27"/>
    </w:lvl>
    <w:lvl w:ilvl="1">
      <w:lvlJc w:val="left"/>
      <w:lvlText w:val="%2)"/>
      <w:numFmt w:val="lowerLetter"/>
      <w:start w:val="1"/>
    </w:lvl>
    <w:lvl w:ilvl="2">
      <w:lvlJc w:val="left"/>
      <w:lvlText w:val="-"/>
      <w:numFmt w:val="bullet"/>
      <w:start w:val="1"/>
    </w:lvl>
  </w:abstractNum>
  <w:abstractNum w:abstractNumId="137">
    <w:nsid w:val="5CB44A05"/>
    <w:multiLevelType w:val="hybridMultilevel"/>
    <w:lvl w:ilvl="0">
      <w:lvlJc w:val="left"/>
      <w:lvlText w:val="(%1)"/>
      <w:numFmt w:val="lowerRoman"/>
      <w:start w:val="1"/>
    </w:lvl>
  </w:abstractNum>
  <w:abstractNum w:abstractNumId="138">
    <w:nsid w:val="16CF80F1"/>
    <w:multiLevelType w:val="hybridMultilevel"/>
    <w:lvl w:ilvl="0">
      <w:lvlJc w:val="left"/>
      <w:lvlText w:val="(*)"/>
      <w:numFmt w:val="bullet"/>
      <w:start w:val="1"/>
    </w:lvl>
  </w:abstractNum>
  <w:abstractNum w:abstractNumId="139">
    <w:nsid w:val="1C695DEC"/>
    <w:multiLevelType w:val="hybridMultilevel"/>
    <w:lvl w:ilvl="0">
      <w:lvlJc w:val="left"/>
      <w:lvlText w:val="(**)"/>
      <w:numFmt w:val="bullet"/>
      <w:start w:val="1"/>
    </w:lvl>
  </w:abstractNum>
  <w:abstractNum w:abstractNumId="140">
    <w:nsid w:val="3FCFAED9"/>
    <w:multiLevelType w:val="hybridMultilevel"/>
    <w:lvl w:ilvl="0">
      <w:lvlJc w:val="left"/>
      <w:lvlText w:val="(*)"/>
      <w:numFmt w:val="bullet"/>
      <w:start w:val="1"/>
    </w:lvl>
  </w:abstractNum>
  <w:abstractNum w:abstractNumId="141">
    <w:nsid w:val="F856867"/>
    <w:multiLevelType w:val="hybridMultilevel"/>
    <w:lvl w:ilvl="0">
      <w:lvlJc w:val="left"/>
      <w:lvlText w:val="(**)"/>
      <w:numFmt w:val="bullet"/>
      <w:start w:val="1"/>
    </w:lvl>
  </w:abstractNum>
  <w:abstractNum w:abstractNumId="142">
    <w:nsid w:val="11B1CC33"/>
    <w:multiLevelType w:val="hybridMultilevel"/>
    <w:lvl w:ilvl="0">
      <w:lvlJc w:val="left"/>
      <w:lvlText w:val="(*)"/>
      <w:numFmt w:val="bullet"/>
      <w:start w:val="1"/>
    </w:lvl>
  </w:abstractNum>
  <w:abstractNum w:abstractNumId="143">
    <w:nsid w:val="2E22FBB7"/>
    <w:multiLevelType w:val="hybridMultilevel"/>
    <w:lvl w:ilvl="0">
      <w:lvlJc w:val="left"/>
      <w:lvlText w:val="(**)"/>
      <w:numFmt w:val="bullet"/>
      <w:start w:val="1"/>
    </w:lvl>
  </w:abstractNum>
  <w:abstractNum w:abstractNumId="144">
    <w:nsid w:val="29934699"/>
    <w:multiLevelType w:val="hybridMultilevel"/>
    <w:lvl w:ilvl="0">
      <w:lvlJc w:val="left"/>
      <w:lvlText w:val="(%1)"/>
      <w:numFmt w:val="lowerRoman"/>
      <w:start w:val="2"/>
    </w:lvl>
  </w:abstractNum>
  <w:abstractNum w:abstractNumId="145">
    <w:nsid w:val="77485850"/>
    <w:multiLevelType w:val="hybridMultilevel"/>
    <w:lvl w:ilvl="0">
      <w:lvlJc w:val="left"/>
      <w:lvlText w:val="(*)"/>
      <w:numFmt w:val="bullet"/>
      <w:start w:val="1"/>
    </w:lvl>
  </w:abstractNum>
  <w:abstractNum w:abstractNumId="146">
    <w:nsid w:val="744939A3"/>
    <w:multiLevelType w:val="hybridMultilevel"/>
    <w:lvl w:ilvl="0">
      <w:lvlJc w:val="left"/>
      <w:lvlText w:val="(**)"/>
      <w:numFmt w:val="bullet"/>
      <w:start w:val="1"/>
    </w:lvl>
  </w:abstractNum>
  <w:abstractNum w:abstractNumId="147">
    <w:nsid w:val="4FA0D2E3"/>
    <w:multiLevelType w:val="hybridMultilevel"/>
    <w:lvl w:ilvl="0">
      <w:lvlJc w:val="left"/>
      <w:lvlText w:val="%1"/>
      <w:numFmt w:val="decimal"/>
      <w:start w:val="28"/>
    </w:lvl>
    <w:lvl w:ilvl="1">
      <w:lvlJc w:val="left"/>
      <w:lvlText w:val="%2)"/>
      <w:numFmt w:val="lowerLetter"/>
      <w:start w:val="1"/>
    </w:lvl>
  </w:abstractNum>
  <w:abstractNum w:abstractNumId="148">
    <w:nsid w:val="6B1D2C14"/>
    <w:multiLevelType w:val="hybridMultilevel"/>
    <w:lvl w:ilvl="0">
      <w:lvlJc w:val="left"/>
      <w:lvlText w:val="(%1)"/>
      <w:numFmt w:val="lowerRoman"/>
      <w:start w:val="1"/>
    </w:lvl>
  </w:abstractNum>
  <w:abstractNum w:abstractNumId="149">
    <w:nsid w:val="68B867D3"/>
    <w:multiLevelType w:val="hybridMultilevel"/>
    <w:lvl w:ilvl="0">
      <w:lvlJc w:val="left"/>
      <w:lvlText w:val="%1)"/>
      <w:numFmt w:val="lowerLetter"/>
      <w:start w:val="3"/>
    </w:lvl>
  </w:abstractNum>
  <w:abstractNum w:abstractNumId="150">
    <w:nsid w:val="3F7F5DD9"/>
    <w:multiLevelType w:val="hybridMultilevel"/>
    <w:lvl w:ilvl="0">
      <w:lvlJc w:val="left"/>
      <w:lvlText w:val="%1)"/>
      <w:numFmt w:val="lowerLetter"/>
      <w:start w:val="6"/>
    </w:lvl>
  </w:abstractNum>
  <w:abstractNum w:abstractNumId="151">
    <w:nsid w:val="2AE05A34"/>
    <w:multiLevelType w:val="hybridMultilevel"/>
    <w:lvl w:ilvl="0">
      <w:lvlJc w:val="left"/>
      <w:lvlText w:val="%1"/>
      <w:numFmt w:val="decimal"/>
      <w:start w:val="30"/>
    </w:lvl>
    <w:lvl w:ilvl="1">
      <w:lvlJc w:val="left"/>
      <w:lvlText w:val="%2)"/>
      <w:numFmt w:val="lowerLetter"/>
      <w:start w:val="1"/>
    </w:lvl>
  </w:abstractNum>
  <w:abstractNum w:abstractNumId="152">
    <w:nsid w:val="32794FF7"/>
    <w:multiLevelType w:val="hybridMultilevel"/>
    <w:lvl w:ilvl="0">
      <w:lvlJc w:val="left"/>
      <w:lvlText w:val="(%1)"/>
      <w:numFmt w:val="lowerRoman"/>
      <w:start w:val="1"/>
    </w:lvl>
  </w:abstractNum>
  <w:abstractNum w:abstractNumId="153">
    <w:nsid w:val="5454945E"/>
    <w:multiLevelType w:val="hybridMultilevel"/>
    <w:lvl w:ilvl="0">
      <w:lvlJc w:val="left"/>
      <w:lvlText w:val="-"/>
      <w:numFmt w:val="bullet"/>
      <w:start w:val="1"/>
    </w:lvl>
  </w:abstractNum>
  <w:abstractNum w:abstractNumId="154">
    <w:nsid w:val="4DEFDFA0"/>
    <w:multiLevelType w:val="hybridMultilevel"/>
    <w:lvl w:ilvl="0">
      <w:lvlJc w:val="left"/>
      <w:lvlText w:val="%1)"/>
      <w:numFmt w:val="lowerLetter"/>
      <w:start w:val="1"/>
    </w:lvl>
  </w:abstractNum>
  <w:abstractNum w:abstractNumId="155">
    <w:nsid w:val="2123D5F2"/>
    <w:multiLevelType w:val="hybridMultilevel"/>
    <w:lvl w:ilvl="0">
      <w:lvlJc w:val="left"/>
      <w:lvlText w:val="(%1)"/>
      <w:numFmt w:val="lowerRoman"/>
      <w:start w:val="1"/>
    </w:lvl>
  </w:abstractNum>
  <w:abstractNum w:abstractNumId="156">
    <w:nsid w:val="135B8110"/>
    <w:multiLevelType w:val="hybridMultilevel"/>
    <w:lvl w:ilvl="0">
      <w:lvlJc w:val="left"/>
      <w:lvlText w:val="-"/>
      <w:numFmt w:val="bullet"/>
      <w:start w:val="1"/>
    </w:lvl>
  </w:abstractNum>
  <w:abstractNum w:abstractNumId="157">
    <w:nsid w:val="94927A8"/>
    <w:multiLevelType w:val="hybridMultilevel"/>
    <w:lvl w:ilvl="0">
      <w:lvlJc w:val="left"/>
      <w:lvlText w:val="%1)"/>
      <w:numFmt w:val="lowerLetter"/>
      <w:start w:val="2"/>
    </w:lvl>
  </w:abstractNum>
  <w:abstractNum w:abstractNumId="158">
    <w:nsid w:val="DCDF8F6"/>
    <w:multiLevelType w:val="hybridMultilevel"/>
    <w:lvl w:ilvl="0">
      <w:lvlJc w:val="left"/>
      <w:lvlText w:val="-"/>
      <w:numFmt w:val="bullet"/>
      <w:start w:val="1"/>
    </w:lvl>
    <w:lvl w:ilvl="1">
      <w:lvlJc w:val="left"/>
      <w:lvlText w:val="-"/>
      <w:numFmt w:val="bullet"/>
      <w:start w:val="1"/>
    </w:lvl>
  </w:abstractNum>
  <w:abstractNum w:abstractNumId="159">
    <w:nsid w:val="52D7B105"/>
    <w:multiLevelType w:val="hybridMultilevel"/>
    <w:lvl w:ilvl="0">
      <w:lvlJc w:val="left"/>
      <w:lvlText w:val="-"/>
      <w:numFmt w:val="bullet"/>
      <w:start w:val="1"/>
    </w:lvl>
  </w:abstractNum>
  <w:abstractNum w:abstractNumId="160">
    <w:nsid w:val="2E8A6394"/>
    <w:multiLevelType w:val="hybridMultilevel"/>
    <w:lvl w:ilvl="0">
      <w:lvlJc w:val="left"/>
      <w:lvlText w:val="-"/>
      <w:numFmt w:val="bullet"/>
      <w:start w:val="1"/>
    </w:lvl>
    <w:lvl w:ilvl="1">
      <w:lvlJc w:val="left"/>
      <w:lvlText w:val="-"/>
      <w:numFmt w:val="bullet"/>
      <w:start w:val="1"/>
    </w:lvl>
  </w:abstractNum>
  <w:abstractNum w:abstractNumId="161">
    <w:nsid w:val="24E60401"/>
    <w:multiLevelType w:val="hybridMultilevel"/>
    <w:lvl w:ilvl="0">
      <w:lvlJc w:val="left"/>
      <w:lvlText w:val="-"/>
      <w:numFmt w:val="bullet"/>
      <w:start w:val="1"/>
    </w:lvl>
  </w:abstractNum>
  <w:abstractNum w:abstractNumId="162">
    <w:nsid w:val="2A6AD9BE"/>
    <w:multiLevelType w:val="hybridMultilevel"/>
    <w:lvl w:ilvl="0">
      <w:lvlJc w:val="left"/>
      <w:lvlText w:val="-"/>
      <w:numFmt w:val="bullet"/>
      <w:start w:val="1"/>
    </w:lvl>
  </w:abstractNum>
  <w:abstractNum w:abstractNumId="163">
    <w:nsid w:val="BAAC1B4"/>
    <w:multiLevelType w:val="hybridMultilevel"/>
    <w:lvl w:ilvl="0">
      <w:lvlJc w:val="left"/>
      <w:lvlText w:val="(%1)"/>
      <w:numFmt w:val="lowerRoman"/>
      <w:start w:val="1"/>
    </w:lvl>
  </w:abstractNum>
  <w:abstractNum w:abstractNumId="164">
    <w:nsid w:val="36B2ACBC"/>
    <w:multiLevelType w:val="hybridMultilevel"/>
    <w:lvl w:ilvl="0">
      <w:lvlJc w:val="left"/>
      <w:lvlText w:val="-"/>
      <w:numFmt w:val="bullet"/>
      <w:start w:val="1"/>
    </w:lvl>
  </w:abstractNum>
  <w:abstractNum w:abstractNumId="165">
    <w:nsid w:val="779D8544"/>
    <w:multiLevelType w:val="hybridMultilevel"/>
    <w:lvl w:ilvl="0">
      <w:lvlJc w:val="left"/>
      <w:lvlText w:val="(%1)"/>
      <w:numFmt w:val="lowerRoman"/>
      <w:start w:val="1"/>
    </w:lvl>
  </w:abstractNum>
  <w:abstractNum w:abstractNumId="166">
    <w:nsid w:val="4AB26E78"/>
    <w:multiLevelType w:val="hybridMultilevel"/>
    <w:lvl w:ilvl="0">
      <w:lvlJc w:val="left"/>
      <w:lvlText w:val="(%1)"/>
      <w:numFmt w:val="lowerRoman"/>
      <w:start w:val="1"/>
    </w:lvl>
  </w:abstractNum>
  <w:abstractNum w:abstractNumId="167">
    <w:nsid w:val="21FAA2FA"/>
    <w:multiLevelType w:val="hybridMultilevel"/>
    <w:lvl w:ilvl="0">
      <w:lvlJc w:val="left"/>
      <w:lvlText w:val="-"/>
      <w:numFmt w:val="bullet"/>
      <w:start w:val="1"/>
    </w:lvl>
  </w:abstractNum>
  <w:abstractNum w:abstractNumId="168">
    <w:nsid w:val="5451CF49"/>
    <w:multiLevelType w:val="hybridMultilevel"/>
    <w:lvl w:ilvl="0">
      <w:lvlJc w:val="left"/>
      <w:lvlText w:val="%1)"/>
      <w:numFmt w:val="lowerRoman"/>
      <w:start w:val="1"/>
    </w:lvl>
  </w:abstractNum>
  <w:abstractNum w:abstractNumId="169">
    <w:nsid w:val="6181EF69"/>
    <w:multiLevelType w:val="hybridMultilevel"/>
    <w:lvl w:ilvl="0">
      <w:lvlJc w:val="left"/>
      <w:lvlText w:val="%1)"/>
      <w:numFmt w:val="lowerLetter"/>
      <w:start w:val="6"/>
    </w:lvl>
  </w:abstractNum>
  <w:abstractNum w:abstractNumId="170">
    <w:nsid w:val="3E6400E6"/>
    <w:multiLevelType w:val="hybridMultilevel"/>
    <w:lvl w:ilvl="0">
      <w:lvlJc w:val="left"/>
      <w:lvlText w:val="(*)"/>
      <w:numFmt w:val="bullet"/>
      <w:start w:val="1"/>
    </w:lvl>
  </w:abstractNum>
  <w:abstractNum w:abstractNumId="171">
    <w:nsid w:val="14217E23"/>
    <w:multiLevelType w:val="hybridMultilevel"/>
    <w:lvl w:ilvl="0">
      <w:lvlJc w:val="left"/>
      <w:lvlText w:val="(*)"/>
      <w:numFmt w:val="bullet"/>
      <w:start w:val="1"/>
    </w:lvl>
  </w:abstractNum>
  <w:abstractNum w:abstractNumId="172">
    <w:nsid w:val="710757D0"/>
    <w:multiLevelType w:val="hybridMultilevel"/>
    <w:lvl w:ilvl="0">
      <w:lvlJc w:val="left"/>
      <w:lvlText w:val="%1)"/>
      <w:numFmt w:val="lowerLetter"/>
      <w:start w:val="7"/>
    </w:lvl>
    <w:lvl w:ilvl="1">
      <w:lvlJc w:val="left"/>
      <w:lvlText w:val="-"/>
      <w:numFmt w:val="bullet"/>
      <w:start w:val="1"/>
    </w:lvl>
  </w:abstractNum>
  <w:abstractNum w:abstractNumId="173">
    <w:nsid w:val="5015CD1A"/>
    <w:multiLevelType w:val="hybridMultilevel"/>
    <w:lvl w:ilvl="0">
      <w:lvlJc w:val="left"/>
      <w:lvlText w:val="-"/>
      <w:numFmt w:val="bullet"/>
      <w:start w:val="1"/>
    </w:lvl>
  </w:abstractNum>
  <w:abstractNum w:abstractNumId="174">
    <w:nsid w:val="424479DA"/>
    <w:multiLevelType w:val="hybridMultilevel"/>
    <w:lvl w:ilvl="0">
      <w:lvlJc w:val="left"/>
      <w:lvlText w:val="-"/>
      <w:numFmt w:val="bullet"/>
      <w:start w:val="1"/>
    </w:lvl>
  </w:abstractNum>
  <w:abstractNum w:abstractNumId="175">
    <w:nsid w:val="1A9A9E69"/>
    <w:multiLevelType w:val="hybridMultilevel"/>
    <w:lvl w:ilvl="0">
      <w:lvlJc w:val="left"/>
      <w:lvlText w:val="%1)"/>
      <w:numFmt w:val="lowerLetter"/>
      <w:start w:val="2"/>
    </w:lvl>
    <w:lvl w:ilvl="1">
      <w:lvlJc w:val="left"/>
      <w:lvlText w:val="(%2)"/>
      <w:numFmt w:val="lowerRoman"/>
      <w:start w:val="1"/>
    </w:lvl>
  </w:abstractNum>
  <w:abstractNum w:abstractNumId="176">
    <w:nsid w:val="475E256A"/>
    <w:multiLevelType w:val="hybridMultilevel"/>
    <w:lvl w:ilvl="0">
      <w:lvlJc w:val="left"/>
      <w:lvlText w:val="(*)"/>
      <w:numFmt w:val="bullet"/>
      <w:start w:val="1"/>
    </w:lvl>
  </w:abstractNum>
  <w:abstractNum w:abstractNumId="177">
    <w:nsid w:val="368DB37E"/>
    <w:multiLevelType w:val="hybridMultilevel"/>
    <w:lvl w:ilvl="0">
      <w:lvlJc w:val="left"/>
      <w:lvlText w:val="(*)"/>
      <w:numFmt w:val="bullet"/>
      <w:start w:val="1"/>
    </w:lvl>
  </w:abstractNum>
  <w:abstractNum w:abstractNumId="178">
    <w:nsid w:val="6A3B714C"/>
    <w:multiLevelType w:val="hybridMultilevel"/>
    <w:lvl w:ilvl="0">
      <w:lvlJc w:val="left"/>
      <w:lvlText w:val="-"/>
      <w:numFmt w:val="bullet"/>
      <w:start w:val="1"/>
    </w:lvl>
  </w:abstractNum>
  <w:abstractNum w:abstractNumId="179">
    <w:nsid w:val="327B517E"/>
    <w:multiLevelType w:val="hybridMultilevel"/>
    <w:lvl w:ilvl="0">
      <w:lvlJc w:val="left"/>
      <w:lvlText w:val="(**)"/>
      <w:numFmt w:val="bullet"/>
      <w:start w:val="1"/>
    </w:lvl>
  </w:abstractNum>
  <w:abstractNum w:abstractNumId="180">
    <w:nsid w:val="1F461B51"/>
    <w:multiLevelType w:val="hybridMultilevel"/>
    <w:lvl w:ilvl="0">
      <w:lvlJc w:val="left"/>
      <w:lvlText w:val="(%1)"/>
      <w:numFmt w:val="lowerRoman"/>
      <w:start w:val="1"/>
    </w:lvl>
  </w:abstractNum>
  <w:abstractNum w:abstractNumId="181">
    <w:nsid w:val="29BACF25"/>
    <w:multiLevelType w:val="hybridMultilevel"/>
    <w:lvl w:ilvl="0">
      <w:lvlJc w:val="left"/>
      <w:lvlText w:val="%1"/>
      <w:numFmt w:val="decimal"/>
      <w:start w:val="31"/>
    </w:lvl>
    <w:lvl w:ilvl="1">
      <w:lvlJc w:val="left"/>
      <w:lvlText w:val="%2)"/>
      <w:numFmt w:val="lowerRoman"/>
      <w:start w:val="1"/>
    </w:lvl>
  </w:abstractNum>
  <w:abstractNum w:abstractNumId="182">
    <w:nsid w:val="5D5BABB3"/>
    <w:multiLevelType w:val="hybridMultilevel"/>
    <w:lvl w:ilvl="0">
      <w:lvlJc w:val="left"/>
      <w:lvlText w:val="%1)"/>
      <w:numFmt w:val="lowerRoman"/>
      <w:start w:val="2"/>
    </w:lvl>
  </w:abstractNum>
  <w:abstractNum w:abstractNumId="183">
    <w:nsid w:val="51BF6B48"/>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2025-03-04T15:27:56Z</dcterms:created>
  <dcterms:modified xsi:type="dcterms:W3CDTF">2025-03-04T15:27:56Z</dcterms:modified>
</cp:coreProperties>
</file>