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For the month of March 2015</w:t>
      </w:r>
    </w:p>
    <w:p>
      <w:pPr>
        <w:spacing w:after="0" w:line="229"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48"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Form 20-F x Form 40-F</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-337185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79"/>
          </w:cols>
          <w:pgMar w:left="78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5363210</wp:posOffset>
            </wp:positionH>
            <wp:positionV relativeFrom="page">
              <wp:posOffset>586105</wp:posOffset>
            </wp:positionV>
            <wp:extent cx="2040890"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40890"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the Annual General Meeting of Shareholders held on March 31, 2015 the following items were approved with the required quorum being represented:</w:t>
      </w:r>
    </w:p>
    <w:p>
      <w:pPr>
        <w:spacing w:after="0" w:line="237" w:lineRule="exact"/>
        <w:rPr>
          <w:sz w:val="20"/>
          <w:szCs w:val="20"/>
          <w:color w:val="auto"/>
        </w:rPr>
      </w:pPr>
    </w:p>
    <w:p>
      <w:pPr>
        <w:ind w:left="240" w:right="20" w:hanging="110"/>
        <w:spacing w:after="0" w:line="308" w:lineRule="auto"/>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audited consolidated financial statements of the Company and its subsidiaries for the financial year ended December 31, 2014, including the report of the independent external auditors of the Company thereon Medina, Zaldivar, Burga y Asociados, a member firm of Ernst &amp; Young Global;</w:t>
      </w:r>
    </w:p>
    <w:p>
      <w:pPr>
        <w:spacing w:after="0" w:line="146" w:lineRule="exact"/>
        <w:rPr>
          <w:rFonts w:ascii="Arial" w:cs="Arial" w:eastAsia="Arial" w:hAnsi="Arial"/>
          <w:sz w:val="17"/>
          <w:szCs w:val="17"/>
          <w:color w:val="auto"/>
        </w:rPr>
      </w:pPr>
    </w:p>
    <w:p>
      <w:pPr>
        <w:ind w:left="240" w:hanging="110"/>
        <w:spacing w:after="0" w:line="277" w:lineRule="auto"/>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designation of Gaveglio Aparicio y Asociados LLP, a member firm of PricewaterhouseCoopers, as the independent external auditors of the Company to hold office for the financial year 2015, and the delegation to the Board of Directors to approve the auditor’s annual fees.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7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 March 31, 2015</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60"/>
      </w:cols>
      <w:pgMar w:left="240" w:top="90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2019-12-06T14:06:31Z</dcterms:created>
  <dcterms:modified xsi:type="dcterms:W3CDTF">2019-12-06T14:06:31Z</dcterms:modified>
</cp:coreProperties>
</file>