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-286385</wp:posOffset>
            </wp:positionH>
            <wp:positionV relativeFrom="paragraph">
              <wp:posOffset>228600</wp:posOffset>
            </wp:positionV>
            <wp:extent cx="7263765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3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Report of Foreign Private Issuer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13a-16 or 15d-16 of the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Securities Exchange Act of 1934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of March 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-286385</wp:posOffset>
            </wp:positionH>
            <wp:positionV relativeFrom="paragraph">
              <wp:posOffset>243205</wp:posOffset>
            </wp:positionV>
            <wp:extent cx="726376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3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CREDICORP LTD.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(Exact name of registrant as specified in its charter)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Clarendon House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Church Street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Hamilton HM 11 Bermuda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 of principal executive office)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Form 20-F x Form 40-F o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Yes o No 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-288290</wp:posOffset>
            </wp:positionH>
            <wp:positionV relativeFrom="paragraph">
              <wp:posOffset>238125</wp:posOffset>
            </wp:positionV>
            <wp:extent cx="7250430" cy="21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600"/>
          </w:cols>
          <w:pgMar w:left="700" w:top="468" w:right="599" w:bottom="1440" w:gutter="0" w:footer="0" w:header="0"/>
        </w:sectPr>
      </w:pPr>
    </w:p>
    <w:bookmarkStart w:id="1" w:name="page2"/>
    <w:bookmarkEnd w:id="1"/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firstLine="486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March 30, 2010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CREDICORP LTD.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 /s/ Giuliana Cuzquen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3855720</wp:posOffset>
            </wp:positionH>
            <wp:positionV relativeFrom="paragraph">
              <wp:posOffset>43180</wp:posOffset>
            </wp:positionV>
            <wp:extent cx="252984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84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Giuliana Cuzquen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Authorized Representative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363855</wp:posOffset>
            </wp:positionV>
            <wp:extent cx="7250430" cy="21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780"/>
          </w:cols>
          <w:pgMar w:left="240" w:top="360" w:right="879" w:bottom="1440" w:gutter="0" w:footer="0" w:header="0"/>
        </w:sectPr>
      </w:pPr>
    </w:p>
    <w:bookmarkStart w:id="2" w:name="page3"/>
    <w:bookmarkEnd w:id="2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5903595</wp:posOffset>
            </wp:positionH>
            <wp:positionV relativeFrom="page">
              <wp:posOffset>243205</wp:posOffset>
            </wp:positionV>
            <wp:extent cx="1500505" cy="4286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0505" cy="42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March 30, 2010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COMISIÓN NACIONAL SUPERVISORA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DE EMPRESAS Y VALORES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CONASEV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Re.: MATERIAL EVENT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Dear Sirs: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 accordance with CONASEV Resolution for Material Events and Reserved Information and Other Communications number 107-2002-EF/94.10, Credicorp Ltd. complies with notifying you of the following Material Event: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 the Annual Shareholder’s Meeting, held on March 26, 2010 the following items were approved with the required quorum being represented: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Annual Report of the Company for the financial year ended December 31, 2009;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ind w:left="340" w:hanging="332"/>
        <w:spacing w:after="0" w:line="250" w:lineRule="auto"/>
        <w:tabs>
          <w:tab w:leader="none" w:pos="3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audited consolidated financial statements of the Company and its subsidiaries for the financial year ended December 31, 2009 including the report of the independent auditors of the Company thereon; and</w:t>
      </w:r>
    </w:p>
    <w:p>
      <w:pPr>
        <w:ind w:left="340" w:hanging="332"/>
        <w:spacing w:after="0" w:line="261" w:lineRule="auto"/>
        <w:tabs>
          <w:tab w:leader="none" w:pos="3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designation of Medina, Zaldívar, Paredes y Asociados, a member firm of Ernst &amp; Young, as the external auditors of the Company to hold office for the financial year 2010.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Sincerely,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/s/</w:t>
            </w: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Mario Ferrari</w:t>
            </w:r>
          </w:p>
        </w:tc>
      </w:tr>
      <w:tr>
        <w:trPr>
          <w:trHeight w:val="237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Credicorp Ltd.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420"/>
      </w:cols>
      <w:pgMar w:left="240" w:top="1440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·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2019-12-14T05:56:25Z</dcterms:created>
  <dcterms:modified xsi:type="dcterms:W3CDTF">2019-12-14T05:56:25Z</dcterms:modified>
</cp:coreProperties>
</file>