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February 2015</w:t>
      </w:r>
    </w:p>
    <w:p>
      <w:pPr>
        <w:spacing w:after="0" w:line="22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article 28 of the Capital Markets Law, approved by DS N° 093-2002-EF, and SMV Resolution for Material Events, Reserved Information and Other Communications N° 005-2014-SMV/01, Credicorp Ltd. complies with notifying you of the following Material Event.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Credicorp’s Board of Directors, in its session held on February 25, 2015, agreed unanimously on the following matters that will submit for consideration and approval at the Company’s Annual General Meeting of Shareholders, which will be held on March 31, 2015, at 3:00pm:</w:t>
      </w:r>
    </w:p>
    <w:p>
      <w:pPr>
        <w:spacing w:after="0" w:line="170"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2014 that the Chairman will present at the Annual General Meeting of Shareholders; and the Annual Information Document (DIA – Documento de Información Anual) of Credicorp and its subsidiaries for the year 2014.</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financial year ended December 31, 2014, including the report of the independent external auditors Paredes, Zaldívar, Burga &amp; Asociados S.C.R.L., members of Ernst &amp; Young Global in Perú, to be submitted for evaluation and approval of the Annual General Meeting of Shareholders on March 31, 2015.</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the designation of PricewaterhouseCoopers in Peru, as the external auditors of the Company for the financial year 2015, and the authorization to approve the auditor’s fees, in accordance with the proposal and recommendation of the Audit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PEN 638,968,286.09 for a total of 94,382,317 outstanding shares, which is equivalent to PEN 6.770 per share, which will be paid in US Dollars using the weighted exchange rate of PEN/US$ 3.0952 registered by the Superintendency of Banks, Insurance and Pension Funds for the transactions at the close of business on February 25, 2015. As a result, the cash dividend per share to be paid amounts to US$ 2.1873. The Board of Directors approved the distribution of dividend according to the Bye-Laws of the Company and considering a total net income attained in the financial year 2014 of PEN 2,387,850,959.44.</w:t>
      </w:r>
    </w:p>
    <w:p>
      <w:pPr>
        <w:spacing w:after="0" w:line="18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transfer: (i) PEN 1,250,000,000.00 to restricted especial reserves, and (ii) PEN 570,482,788.99, which includes PEN 71,600,115.64 from retained earnings of previous years, to especial reserves. As a result, restricted especial reserves will amount to PEN 9,320,962,766.47, which cannot be used without the authorization of the Superintendence of Banking, Insurance and Pension Fund Managers of Perú.</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Board also agreed that the dividends will be paid on May 15, 2015 to shareholders of record as of April 21, 2015.</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Finally, in accordance with CONASEV Resolution N° 107-2002-EF/94.10.0 we enclose the Annual Report of Credicorp and its audited consolidated financial statements of the Company and its subsidiaries for the financial year ended December 31, 2014, including the report of the independent external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-130810</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25, 2015</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2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Mario Ferrari</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2019-12-06T13:48:51Z</dcterms:created>
  <dcterms:modified xsi:type="dcterms:W3CDTF">2019-12-06T13:48:51Z</dcterms:modified>
</cp:coreProperties>
</file>