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October 2020</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auto"/>
        </w:rPr>
        <w:t>CREDICORP LTD.</w:t>
      </w:r>
    </w:p>
    <w:p>
      <w:pPr>
        <w:spacing w:after="0" w:line="3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79"/>
          </w:cols>
          <w:pgMar w:left="380" w:top="671" w:right="1440" w:bottom="1440" w:gutter="0" w:footer="0" w:header="0"/>
        </w:sectPr>
      </w:pPr>
    </w:p>
    <w:bookmarkStart w:id="1" w:name="page2"/>
    <w:bookmarkEnd w:id="1"/>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448945</wp:posOffset>
            </wp:positionV>
            <wp:extent cx="2057400"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October 16,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the Special General Meeting of Shareholders of Credicorp Ltd. (“Credicorp”), in its session held on October 16, 2020, agreed to appoint Mr. Leslie Pierce Diez Canseco as the ninth member of the Board of Directors of the company, for the 2020-2023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consequence, added to the directors elected at the Annual General Meeting of Shareholders held on June 5, 2020, as well as the decisions made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in its session of June 9, 2020, the Board of Directors of Credicorp is composed of the following individuals:</w:t>
      </w:r>
    </w:p>
    <w:p>
      <w:pPr>
        <w:spacing w:after="0" w:line="207"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Luis Romero Belismelis (Chairman)</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Raimundo Morales Dasso (Vice-Chairman)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Antonio Abruña Puyol</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Maite Aranzábal Harreguy</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Fernando Fort Marie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Alexandre Gouvêa</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Patricia Lizárraga Guthertz</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Leslie Pierce Diez Canseco</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Irzio Pinasco Menchelli</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October 16,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203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2020-10-19T05:06:48Z</dcterms:created>
  <dcterms:modified xsi:type="dcterms:W3CDTF">2020-10-19T05:06:48Z</dcterms:modified>
</cp:coreProperties>
</file>