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Perez-Reyes Alejandro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CALLE CENTENARIO 156</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MOLINA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LIMA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R5</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CREDICORP LTD</w:t>
              </w:r>
            </w:hyperlink>
            <w:r>
              <w:rPr/>
              <w:t xml:space="preserve"> [ </w:t>
            </w:r>
            <w:r>
              <w:rPr>
                <w:rFonts w:ascii="Times;serif" w:hAnsi="Times;serif"/>
                <w:color w:val="0000FF"/>
                <w:sz w:val="24"/>
                <w:shd w:fill="FFFFFF" w:val="clear"/>
              </w:rPr>
              <w:t>BAP</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04/01/2026</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original Form 3 filed on April 1, 2026 incorrectly reported the amount of securities directly owned by the reporting person as of April 1, 2026. The correct number of shares directly owned by the reporting person as of April 1, 2026, was 2,818.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Alejandro Perez-Reyes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6550" TargetMode="External"/><Relationship Id="rId3" Type="http://schemas.openxmlformats.org/officeDocument/2006/relationships/hyperlink" Target="http://www.sec.gov/cgi-bin/browse-edgar?action=getcompany&amp;CIK=000100129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429</Words>
  <Characters>2362</Characters>
  <CharactersWithSpaces>2749</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