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4561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22,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Walter Bayly</w:t>
      </w:r>
    </w:p>
    <w:p>
      <w:pPr>
        <w:spacing w:after="0" w:line="238" w:lineRule="auto"/>
        <w:rPr>
          <w:sz w:val="20"/>
          <w:szCs w:val="20"/>
          <w:color w:val="auto"/>
        </w:rPr>
      </w:pPr>
      <w:r>
        <w:rPr>
          <w:rFonts w:ascii="Courier New" w:cs="Courier New" w:eastAsia="Courier New" w:hAnsi="Courier New"/>
          <w:sz w:val="18"/>
          <w:szCs w:val="18"/>
          <w:color w:val="auto"/>
        </w:rPr>
        <w:t>Chief Financial and Accounting Officer</w:t>
      </w:r>
    </w:p>
    <w:p>
      <w:pPr>
        <w:spacing w:after="0"/>
        <w:rPr>
          <w:sz w:val="20"/>
          <w:szCs w:val="20"/>
          <w:color w:val="auto"/>
        </w:rPr>
      </w:pPr>
      <w:r>
        <w:rPr>
          <w:rFonts w:ascii="Courier New" w:cs="Courier New" w:eastAsia="Courier New" w:hAnsi="Courier New"/>
          <w:sz w:val="18"/>
          <w:szCs w:val="18"/>
          <w:color w:val="auto"/>
        </w:rPr>
        <w:t>Credicorp Ltd.</w:t>
      </w:r>
    </w:p>
    <w:p>
      <w:pPr>
        <w:spacing w:after="0" w:line="237" w:lineRule="auto"/>
        <w:rPr>
          <w:sz w:val="20"/>
          <w:szCs w:val="20"/>
          <w:color w:val="auto"/>
        </w:rPr>
      </w:pPr>
      <w:r>
        <w:rPr>
          <w:rFonts w:ascii="Courier New" w:cs="Courier New" w:eastAsia="Courier New" w:hAnsi="Courier New"/>
          <w:sz w:val="18"/>
          <w:szCs w:val="18"/>
          <w:color w:val="auto"/>
        </w:rPr>
        <w:t>Calle Centenario 156</w:t>
      </w:r>
    </w:p>
    <w:p>
      <w:pPr>
        <w:spacing w:after="0" w:line="238" w:lineRule="auto"/>
        <w:rPr>
          <w:sz w:val="20"/>
          <w:szCs w:val="20"/>
          <w:color w:val="auto"/>
        </w:rPr>
      </w:pPr>
      <w:r>
        <w:rPr>
          <w:rFonts w:ascii="Courier New" w:cs="Courier New" w:eastAsia="Courier New" w:hAnsi="Courier New"/>
          <w:sz w:val="18"/>
          <w:szCs w:val="18"/>
          <w:color w:val="auto"/>
        </w:rPr>
        <w:t>La Molina</w:t>
      </w:r>
    </w:p>
    <w:p>
      <w:pPr>
        <w:spacing w:after="0"/>
        <w:rPr>
          <w:sz w:val="20"/>
          <w:szCs w:val="20"/>
          <w:color w:val="auto"/>
        </w:rPr>
      </w:pPr>
      <w:r>
        <w:rPr>
          <w:rFonts w:ascii="Courier New" w:cs="Courier New" w:eastAsia="Courier New" w:hAnsi="Courier New"/>
          <w:sz w:val="18"/>
          <w:szCs w:val="18"/>
          <w:color w:val="auto"/>
        </w:rPr>
        <w:t>Lima 12, Peru</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Credicorp Ltd.</w:t>
      </w:r>
    </w:p>
    <w:p>
      <w:pPr>
        <w:spacing w:after="0" w:line="238" w:lineRule="auto"/>
        <w:rPr>
          <w:sz w:val="20"/>
          <w:szCs w:val="20"/>
          <w:color w:val="auto"/>
        </w:rPr>
      </w:pPr>
      <w:r>
        <w:rPr>
          <w:rFonts w:ascii="Courier New" w:cs="Courier New" w:eastAsia="Courier New" w:hAnsi="Courier New"/>
          <w:sz w:val="18"/>
          <w:szCs w:val="18"/>
          <w:color w:val="auto"/>
        </w:rPr>
        <w:t>Form 20-F for Fiscal Year Ended December 31, 2004</w:t>
      </w:r>
    </w:p>
    <w:p>
      <w:pPr>
        <w:spacing w:after="0"/>
        <w:rPr>
          <w:sz w:val="20"/>
          <w:szCs w:val="20"/>
          <w:color w:val="auto"/>
        </w:rPr>
      </w:pPr>
      <w:r>
        <w:rPr>
          <w:rFonts w:ascii="Courier New" w:cs="Courier New" w:eastAsia="Courier New" w:hAnsi="Courier New"/>
          <w:sz w:val="18"/>
          <w:szCs w:val="18"/>
          <w:color w:val="auto"/>
        </w:rPr>
        <w:t>Filed June 30, 2005</w:t>
      </w:r>
    </w:p>
    <w:p>
      <w:pPr>
        <w:spacing w:after="0" w:line="237" w:lineRule="auto"/>
        <w:rPr>
          <w:sz w:val="20"/>
          <w:szCs w:val="20"/>
          <w:color w:val="auto"/>
        </w:rPr>
      </w:pPr>
      <w:r>
        <w:rPr>
          <w:rFonts w:ascii="Courier New" w:cs="Courier New" w:eastAsia="Courier New" w:hAnsi="Courier New"/>
          <w:sz w:val="18"/>
          <w:szCs w:val="18"/>
          <w:color w:val="auto"/>
        </w:rPr>
        <w:t>File No. 1-14014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Bayly,</w:t>
      </w:r>
    </w:p>
    <w:p>
      <w:pPr>
        <w:spacing w:after="0" w:line="207" w:lineRule="exact"/>
        <w:rPr>
          <w:sz w:val="24"/>
          <w:szCs w:val="24"/>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We have reviewed the above referenced filing and have the following comments. Where indicated, we think you should revise your</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document in response to these comments. If you disagree, we will consider your explanation as to why our comment is inapplicable or a</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explanation. In some of our comments, we may ask you to provide us</w:t>
      </w:r>
    </w:p>
    <w:p>
      <w:pPr>
        <w:spacing w:after="0"/>
        <w:rPr>
          <w:sz w:val="20"/>
          <w:szCs w:val="20"/>
          <w:color w:val="auto"/>
        </w:rPr>
      </w:pPr>
      <w:r>
        <w:rPr>
          <w:rFonts w:ascii="Courier New" w:cs="Courier New" w:eastAsia="Courier New" w:hAnsi="Courier New"/>
          <w:sz w:val="18"/>
          <w:szCs w:val="18"/>
          <w:color w:val="auto"/>
        </w:rPr>
        <w:t>with information so we may better understand your disclosure.</w:t>
      </w:r>
    </w:p>
    <w:p>
      <w:pPr>
        <w:spacing w:after="0" w:line="238" w:lineRule="auto"/>
        <w:rPr>
          <w:sz w:val="20"/>
          <w:szCs w:val="20"/>
          <w:color w:val="auto"/>
        </w:rPr>
      </w:pPr>
      <w:r>
        <w:rPr>
          <w:rFonts w:ascii="Courier New" w:cs="Courier New" w:eastAsia="Courier New" w:hAnsi="Courier New"/>
          <w:sz w:val="18"/>
          <w:szCs w:val="18"/>
          <w:color w:val="auto"/>
        </w:rPr>
        <w:t>After</w:t>
      </w:r>
    </w:p>
    <w:p>
      <w:pPr>
        <w:spacing w:after="0"/>
        <w:rPr>
          <w:sz w:val="20"/>
          <w:szCs w:val="20"/>
          <w:color w:val="auto"/>
        </w:rPr>
      </w:pPr>
      <w:r>
        <w:rPr>
          <w:rFonts w:ascii="Courier New" w:cs="Courier New" w:eastAsia="Courier New" w:hAnsi="Courier New"/>
          <w:sz w:val="18"/>
          <w:szCs w:val="18"/>
          <w:color w:val="auto"/>
        </w:rPr>
        <w:t>reviewing this information, we may raise additional comments.</w:t>
      </w:r>
    </w:p>
    <w:p>
      <w:pPr>
        <w:spacing w:after="0" w:line="200"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Selected Financial Data, page 5</w:t>
      </w:r>
    </w:p>
    <w:p>
      <w:pPr>
        <w:spacing w:after="0" w:line="207" w:lineRule="exact"/>
        <w:rPr>
          <w:sz w:val="24"/>
          <w:szCs w:val="24"/>
          <w:color w:val="auto"/>
        </w:rPr>
      </w:pPr>
    </w:p>
    <w:p>
      <w:pPr>
        <w:ind w:right="38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to us that the disclosed pro-forma diluted net income</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 share is a non-GAAP financial measure. Please revise to include non-GAAP disclosures required by Item 10(e) of Regulation 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 or advise us.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Loan Portfolio, page 65</w:t>
      </w:r>
    </w:p>
    <w:p>
      <w:pPr>
        <w:spacing w:after="0" w:line="207" w:lineRule="exact"/>
        <w:rPr>
          <w:sz w:val="24"/>
          <w:szCs w:val="24"/>
          <w:color w:val="auto"/>
        </w:rPr>
      </w:pPr>
    </w:p>
    <w:p>
      <w:pPr>
        <w:ind w:right="34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present the allocation of loan loss reserves table on page 75 using the four categories specified by SBS Resolution No. 808-2003 listed in the last paragraph on page 69. Using the same four categories, please revise to present for the past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five years:</w:t>
      </w:r>
    </w:p>
    <w:p>
      <w:pPr>
        <w:spacing w:after="0" w:line="202"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breakdown of your loan portfolio; and</w:t>
      </w:r>
    </w:p>
    <w:p>
      <w:pPr>
        <w:spacing w:after="0" w:line="206" w:lineRule="exact"/>
        <w:rPr>
          <w:rFonts w:ascii="Courier New" w:cs="Courier New" w:eastAsia="Courier New" w:hAnsi="Courier New"/>
          <w:sz w:val="18"/>
          <w:szCs w:val="18"/>
          <w:color w:val="auto"/>
        </w:rPr>
      </w:pPr>
    </w:p>
    <w:p>
      <w:pPr>
        <w:ind w:right="399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write-offs and recoveries of write-offs in your loan loss reserve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table on page 74.</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Refer to Instruction 3 to Item IV.A of Industry Guide 3.</w:t>
      </w:r>
    </w:p>
    <w:p>
      <w:pPr>
        <w:spacing w:after="0" w:line="207" w:lineRule="exact"/>
        <w:rPr>
          <w:sz w:val="24"/>
          <w:szCs w:val="24"/>
          <w:color w:val="auto"/>
        </w:rPr>
      </w:pPr>
    </w:p>
    <w:p>
      <w:pPr>
        <w:ind w:right="32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discussion of changes in provision for loan losses on page 86 to incorporate the enhanced disclosures provided in</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response to our preceding comment so as to provide a clear understanding of the reasons for the changes in the allowance for loan losses for each of the periods presented.</w:t>
      </w:r>
    </w:p>
    <w:p>
      <w:pPr>
        <w:sectPr>
          <w:pgSz w:w="11900" w:h="16853" w:orient="portrait"/>
          <w:cols w:equalWidth="0" w:num="1">
            <w:col w:w="10219"/>
          </w:cols>
          <w:pgMar w:left="240" w:top="1055" w:right="1440" w:bottom="0" w:gutter="0" w:footer="0" w:header="0"/>
        </w:sectPr>
      </w:pPr>
    </w:p>
    <w:bookmarkStart w:id="1" w:name="page2"/>
    <w:bookmarkEnd w:id="1"/>
    <w:p>
      <w:pPr>
        <w:ind w:right="37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to disclose whether any past due loans still accrue</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and the amount of interest income recognized on these loans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past 5 years.  Refer to Item III.C of Industry Guide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page 98</w:t>
      </w:r>
    </w:p>
    <w:p>
      <w:pPr>
        <w:spacing w:after="0" w:line="207" w:lineRule="exact"/>
        <w:rPr>
          <w:sz w:val="20"/>
          <w:szCs w:val="20"/>
          <w:color w:val="auto"/>
        </w:rPr>
      </w:pPr>
    </w:p>
    <w:p>
      <w:pPr>
        <w:ind w:right="3579" w:firstLine="8"/>
        <w:spacing w:after="0" w:line="29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to include all disclosures of your contractual obligations required by Item 5(F) Part I of Form 20-F.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Auditors, page F-3</w:t>
      </w:r>
    </w:p>
    <w:p>
      <w:pPr>
        <w:spacing w:after="0" w:line="207" w:lineRule="exact"/>
        <w:rPr>
          <w:sz w:val="20"/>
          <w:szCs w:val="20"/>
          <w:color w:val="auto"/>
        </w:rPr>
      </w:pPr>
    </w:p>
    <w:p>
      <w:pPr>
        <w:jc w:val="both"/>
        <w:ind w:right="3359" w:firstLine="8"/>
        <w:spacing w:after="0" w:line="237"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to include an updated audit report replacing the first word in the third sentence of the second paragraph to "Our" from "An". The language in the current opinion appears to imply that</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audit cannot include a consideration of internal control over financial reporting for the purpose of issuing an opinion on the effectiveness of the Company`s internal control over financial reporting. We recognize that your auditors are currently not required</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 attestation report on management`s assessment of the issuer`s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 page F-11</w:t>
      </w:r>
    </w:p>
    <w:p>
      <w:pPr>
        <w:spacing w:after="0" w:line="207" w:lineRule="exact"/>
        <w:rPr>
          <w:sz w:val="20"/>
          <w:szCs w:val="20"/>
          <w:color w:val="auto"/>
        </w:rPr>
      </w:pPr>
    </w:p>
    <w:p>
      <w:pPr>
        <w:ind w:right="335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refer the reader to notes 2(c) and (d) for the amounts attributable to acquisition of subsidiaries net of cash received. Please provide us with a reconciliation of the amounts presented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to those presented in the statements of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Business developments, page F-13</w:t>
      </w:r>
    </w:p>
    <w:p>
      <w:pPr>
        <w:spacing w:after="0" w:line="207" w:lineRule="exact"/>
        <w:rPr>
          <w:sz w:val="20"/>
          <w:szCs w:val="20"/>
          <w:color w:val="auto"/>
        </w:rPr>
      </w:pPr>
    </w:p>
    <w:p>
      <w:pPr>
        <w:ind w:right="3259" w:firstLine="8"/>
        <w:spacing w:after="0" w:line="23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in October 2004 you entered into a definitive agreement to sell your 100% interest in Banco Tequendama S.A. but maintained control of its operations on December 31, 2004. Please tell us how you considered the guidance in IAS 35, Discontinuing Operations, as superceded by IFRS 5, Non-current Assets Held for Sale</w:t>
      </w:r>
    </w:p>
    <w:p>
      <w:pPr>
        <w:spacing w:after="0" w:line="7"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Discontinued Operations, in accounting for this asset held for sale. Also tell us how you determined that disclosure of a reconciling item in Note 26 was not required considering the guidance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SFAS No. 144.</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Note 3(r). Significant accounting policies - Workers` profit sharing</w:t>
      </w:r>
    </w:p>
    <w:p>
      <w:pPr>
        <w:spacing w:after="0"/>
        <w:rPr>
          <w:sz w:val="20"/>
          <w:szCs w:val="20"/>
          <w:color w:val="auto"/>
        </w:rPr>
      </w:pPr>
      <w:r>
        <w:rPr>
          <w:rFonts w:ascii="Courier New" w:cs="Courier New" w:eastAsia="Courier New" w:hAnsi="Courier New"/>
          <w:sz w:val="18"/>
          <w:szCs w:val="18"/>
          <w:color w:val="auto"/>
        </w:rPr>
        <w:t>and income tax, page F-23</w:t>
      </w:r>
    </w:p>
    <w:p>
      <w:pPr>
        <w:spacing w:after="0" w:line="207" w:lineRule="exact"/>
        <w:rPr>
          <w:sz w:val="20"/>
          <w:szCs w:val="20"/>
          <w:color w:val="auto"/>
        </w:rPr>
      </w:pPr>
    </w:p>
    <w:p>
      <w:pPr>
        <w:ind w:right="3259" w:firstLine="8"/>
        <w:spacing w:after="0" w:line="23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to clearly state whether your accounting policies for income tax and workers` profit sharing are in accordance with International Financial Reporting Standards.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Stock appreciation rights, page F-48</w:t>
      </w:r>
    </w:p>
    <w:p>
      <w:pPr>
        <w:spacing w:after="0" w:line="207" w:lineRule="exact"/>
        <w:rPr>
          <w:sz w:val="20"/>
          <w:szCs w:val="20"/>
          <w:color w:val="auto"/>
        </w:rPr>
      </w:pPr>
    </w:p>
    <w:p>
      <w:pPr>
        <w:jc w:val="both"/>
        <w:ind w:right="389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how you determined that the granted stock appreciation rights did not have any dilutive impact on your earnings</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calculations considering the guidance in IAS 33 and SFAS No. 128.</w:t>
      </w:r>
    </w:p>
    <w:p>
      <w:pPr>
        <w:spacing w:after="0" w:line="208" w:lineRule="exact"/>
        <w:rPr>
          <w:sz w:val="20"/>
          <w:szCs w:val="20"/>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As appropriate, please amend your filing and respond to these comments within 10 business days or tell us when you will provide us</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with a response. You may wish to provide us with marked copies of the amendment to expedite our review. Please furnish a cover letter</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with your amendment that keys your responses to our comments and provides any requested information. Detailed cover letters greatly</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facilitate our review. Please file your letter on EDGAR. Please understand that we may have additional comments after reviewing your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w:t>
      </w:r>
    </w:p>
    <w:p>
      <w:pPr>
        <w:sectPr>
          <w:pgSz w:w="11900" w:h="16838" w:orient="portrait"/>
          <w:cols w:equalWidth="0" w:num="1">
            <w:col w:w="10219"/>
          </w:cols>
          <w:pgMar w:left="240" w:top="344" w:right="1440" w:bottom="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8"/>
          <w:szCs w:val="18"/>
          <w:color w:val="auto"/>
        </w:rPr>
        <w:t>Exchange Act of 1934 and that they have provided all information investors require for an informed decision. Since the company and its management are in possession of all facts relating to a company`s</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disclosure, 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 they have made.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You may contact Michael Volley, Staff Accountant, at (202)</w:t>
      </w:r>
    </w:p>
    <w:p>
      <w:pPr>
        <w:spacing w:after="0" w:line="238" w:lineRule="auto"/>
        <w:rPr>
          <w:sz w:val="20"/>
          <w:szCs w:val="20"/>
          <w:color w:val="auto"/>
        </w:rPr>
      </w:pPr>
      <w:r>
        <w:rPr>
          <w:rFonts w:ascii="Courier New" w:cs="Courier New" w:eastAsia="Courier New" w:hAnsi="Courier New"/>
          <w:sz w:val="18"/>
          <w:szCs w:val="18"/>
          <w:color w:val="auto"/>
        </w:rPr>
        <w:t>551-</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3437 or me at (202) 551-3423 if you have questions regarding our comments.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Amit Pande</w:t>
      </w:r>
    </w:p>
    <w:p>
      <w:pPr>
        <w:spacing w:after="0" w:line="238" w:lineRule="auto"/>
        <w:rPr>
          <w:sz w:val="20"/>
          <w:szCs w:val="20"/>
          <w:color w:val="auto"/>
        </w:rPr>
      </w:pPr>
      <w:r>
        <w:rPr>
          <w:rFonts w:ascii="Courier New" w:cs="Courier New" w:eastAsia="Courier New" w:hAnsi="Courier New"/>
          <w:sz w:val="18"/>
          <w:szCs w:val="18"/>
          <w:color w:val="auto"/>
        </w:rPr>
        <w:t>Assistant Chief Accountant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Bayly</w:t>
      </w:r>
    </w:p>
    <w:p>
      <w:pPr>
        <w:spacing w:after="0" w:line="238" w:lineRule="auto"/>
        <w:rPr>
          <w:sz w:val="20"/>
          <w:szCs w:val="20"/>
          <w:color w:val="auto"/>
        </w:rPr>
      </w:pPr>
      <w:r>
        <w:rPr>
          <w:rFonts w:ascii="Courier New" w:cs="Courier New" w:eastAsia="Courier New" w:hAnsi="Courier New"/>
          <w:sz w:val="18"/>
          <w:szCs w:val="18"/>
          <w:color w:val="auto"/>
        </w:rPr>
        <w:t>Credicorp Ltd.</w:t>
      </w:r>
    </w:p>
    <w:p>
      <w:pPr>
        <w:spacing w:after="0"/>
        <w:rPr>
          <w:sz w:val="20"/>
          <w:szCs w:val="20"/>
          <w:color w:val="auto"/>
        </w:rPr>
      </w:pPr>
      <w:r>
        <w:rPr>
          <w:rFonts w:ascii="Courier New" w:cs="Courier New" w:eastAsia="Courier New" w:hAnsi="Courier New"/>
          <w:sz w:val="18"/>
          <w:szCs w:val="18"/>
          <w:color w:val="auto"/>
        </w:rPr>
        <w:t>September 22, 2005</w:t>
      </w:r>
    </w:p>
    <w:p>
      <w:pPr>
        <w:spacing w:after="0" w:line="237" w:lineRule="auto"/>
        <w:rPr>
          <w:sz w:val="20"/>
          <w:szCs w:val="20"/>
          <w:color w:val="auto"/>
        </w:rPr>
      </w:pPr>
      <w:r>
        <w:rPr>
          <w:rFonts w:ascii="Courier New" w:cs="Courier New" w:eastAsia="Courier New" w:hAnsi="Courier New"/>
          <w:sz w:val="18"/>
          <w:szCs w:val="18"/>
          <w:color w:val="auto"/>
        </w:rPr>
        <w:t>Page 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2019-12-12T11:34:27Z</dcterms:created>
  <dcterms:modified xsi:type="dcterms:W3CDTF">2019-12-12T11:34:27Z</dcterms:modified>
</cp:coreProperties>
</file>