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November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0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 8</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163766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7665" cy="7572375"/>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169545</wp:posOffset>
            </wp:positionV>
            <wp:extent cx="14065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240" w:right="20"/>
        <w:spacing w:after="0" w:line="211" w:lineRule="auto"/>
        <w:rPr>
          <w:sz w:val="20"/>
          <w:szCs w:val="20"/>
          <w:color w:val="auto"/>
        </w:rPr>
      </w:pPr>
      <w:r>
        <w:rPr>
          <w:rFonts w:ascii="Arial" w:cs="Arial" w:eastAsia="Arial" w:hAnsi="Arial"/>
          <w:sz w:val="18"/>
          <w:szCs w:val="18"/>
          <w:b w:val="1"/>
          <w:bCs w:val="1"/>
          <w:color w:val="auto"/>
        </w:rPr>
        <w:t>Lima, Peru, November 07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2018 </w:t>
      </w:r>
      <w:r>
        <w:rPr>
          <w:rFonts w:ascii="Arial" w:cs="Arial" w:eastAsia="Arial" w:hAnsi="Arial"/>
          <w:sz w:val="18"/>
          <w:szCs w:val="18"/>
          <w:color w:val="auto"/>
        </w:rPr>
        <w:t>– Credicorp (NYSE: BAP) announced its unaudited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These results are consolidated according to IFRS in Soles.</w:t>
      </w:r>
    </w:p>
    <w:p>
      <w:pPr>
        <w:spacing w:after="0" w:line="200"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Third Quarter Results 2018</w:t>
      </w:r>
    </w:p>
    <w:p>
      <w:pPr>
        <w:spacing w:after="0" w:line="229" w:lineRule="exact"/>
        <w:rPr>
          <w:sz w:val="20"/>
          <w:szCs w:val="20"/>
          <w:color w:val="auto"/>
        </w:rPr>
      </w:pPr>
    </w:p>
    <w:p>
      <w:pPr>
        <w:jc w:val="both"/>
        <w:ind w:left="2240"/>
        <w:spacing w:after="0" w:line="255" w:lineRule="auto"/>
        <w:rPr>
          <w:sz w:val="20"/>
          <w:szCs w:val="20"/>
          <w:color w:val="auto"/>
        </w:rPr>
      </w:pPr>
      <w:r>
        <w:rPr>
          <w:rFonts w:ascii="Arial" w:cs="Arial" w:eastAsia="Arial" w:hAnsi="Arial"/>
          <w:sz w:val="18"/>
          <w:szCs w:val="18"/>
          <w:color w:val="auto"/>
        </w:rPr>
        <w:t>In 3Q18, Credicorp reported net income of S/ 1,011.3 million, which translated into an ROAE and ROAA of 18.0% and 2.4% respectively. This result represented an increase of 3.4% QoQ that was, nevertheless, 17.0% lower than the figure reported in 3Q17. The YoY contraction was due to the fact that in 3Q17, S/281 million were reported for the sale of BCI shares from the proprietary investment portfolio. Year-to-date (YTD), net income at Credicorp totaled S/ 3,026.9 million, which was close to the figure reported for the same period of last year. This translated into an ROAE and ROAA of 18.0% and 2.4% (vs. 19.4% and 2.5% for the same period in 2017).</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results in 3Q18 show:</w:t>
      </w:r>
    </w:p>
    <w:p>
      <w:pPr>
        <w:spacing w:after="0" w:line="225" w:lineRule="exact"/>
        <w:rPr>
          <w:sz w:val="20"/>
          <w:szCs w:val="20"/>
          <w:color w:val="auto"/>
        </w:rPr>
      </w:pPr>
    </w:p>
    <w:p>
      <w:pPr>
        <w:jc w:val="both"/>
        <w:ind w:left="2240" w:hanging="8"/>
        <w:spacing w:after="0" w:line="255" w:lineRule="auto"/>
        <w:tabs>
          <w:tab w:leader="none" w:pos="235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mix of Interest-earning assets (IEAs) posted a decrease, for the second consecutive quarter, in both Cash &amp; available funds and total investments while loans continued to expand. Growth in loans, the most profitable asset, continued to improve, translating into expansion of +2.2% QoQ and +10.4% YoY in the quarter-end loan balances, and growth of +1.5% QoQ and +9.8% YoY in average daily loan balances. This expansion was led by Retail Banking, in particular Mortgage and SME-Pyme, followed by Middle-Market Banking and BCP Bolivia.</w:t>
      </w:r>
    </w:p>
    <w:p>
      <w:pPr>
        <w:spacing w:after="0" w:line="193" w:lineRule="exact"/>
        <w:rPr>
          <w:rFonts w:ascii="Arial" w:cs="Arial" w:eastAsia="Arial" w:hAnsi="Arial"/>
          <w:sz w:val="18"/>
          <w:szCs w:val="18"/>
          <w:color w:val="auto"/>
        </w:rPr>
      </w:pPr>
    </w:p>
    <w:p>
      <w:pPr>
        <w:jc w:val="both"/>
        <w:ind w:left="2240" w:hanging="8"/>
        <w:spacing w:after="0" w:line="259" w:lineRule="auto"/>
        <w:tabs>
          <w:tab w:leader="none" w:pos="237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is important to note that the loan mix by segment and by currency was favorable this quarter. In YTD terms, the quarter-end loan balance at the end of 3Q18 increased +4.5% versus the level posted at the end of December 2017. The average daily loan balances in the first nine months of this year grew +7.7% with regard to the average daily loan balances posted for the full-year 2017.</w:t>
      </w:r>
    </w:p>
    <w:p>
      <w:pPr>
        <w:spacing w:after="0" w:line="186" w:lineRule="exact"/>
        <w:rPr>
          <w:rFonts w:ascii="Arial" w:cs="Arial" w:eastAsia="Arial" w:hAnsi="Arial"/>
          <w:sz w:val="18"/>
          <w:szCs w:val="18"/>
          <w:color w:val="auto"/>
        </w:rPr>
      </w:pPr>
    </w:p>
    <w:p>
      <w:pPr>
        <w:jc w:val="both"/>
        <w:ind w:left="2240" w:hanging="8"/>
        <w:spacing w:after="0" w:line="255" w:lineRule="auto"/>
        <w:tabs>
          <w:tab w:leader="none" w:pos="2391"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the end of 3Q18 total funding fell QoQ, which was associated with a drop in Due to banks and correspondents and in Total deposits. The latter contracted mainly due to the reduction in deposits at ASB, which in turn reflects the transfer of these funds to investment products at ASB as AuMs. In the YoY analysis, there was a noteworthy re-composition of the funding structure as deposits increased their share in total funding and represented the main source of substitution for BCR Instruments. All of the aforementioned has helped keep Credicorp’s funding cost at a level relatively stable since 2016 despite a scenario of rising international rates.</w:t>
      </w:r>
    </w:p>
    <w:p>
      <w:pPr>
        <w:spacing w:after="0" w:line="189" w:lineRule="exact"/>
        <w:rPr>
          <w:rFonts w:ascii="Arial" w:cs="Arial" w:eastAsia="Arial" w:hAnsi="Arial"/>
          <w:sz w:val="18"/>
          <w:szCs w:val="18"/>
          <w:color w:val="auto"/>
        </w:rPr>
      </w:pPr>
    </w:p>
    <w:p>
      <w:pPr>
        <w:jc w:val="both"/>
        <w:ind w:left="2240" w:hanging="8"/>
        <w:spacing w:after="0" w:line="272" w:lineRule="auto"/>
        <w:tabs>
          <w:tab w:leader="none" w:pos="2351" w:val="left"/>
        </w:tabs>
        <w:numPr>
          <w:ilvl w:val="0"/>
          <w:numId w:val="1"/>
        </w:numPr>
        <w:rPr>
          <w:rFonts w:ascii="Arial" w:cs="Arial" w:eastAsia="Arial" w:hAnsi="Arial"/>
          <w:sz w:val="17"/>
          <w:szCs w:val="17"/>
          <w:color w:val="auto"/>
        </w:rPr>
      </w:pPr>
      <w:r>
        <w:rPr>
          <w:rFonts w:ascii="Arial" w:cs="Arial" w:eastAsia="Arial" w:hAnsi="Arial"/>
          <w:sz w:val="17"/>
          <w:szCs w:val="17"/>
          <w:color w:val="auto"/>
        </w:rPr>
        <w:t>All of the aforementioned translated into expansion of +4.1% QoQ +6.0% YoY in Net interest income (NII), which represented an improvement over the figure posted in 2Q18 (+0.9% QoQ and +4.8% YoY). The evolution of NII was due primarily to: (i) an increase in interest income, mainly due to growth in average daily loan balances and to a more favorable loan mix both by segment and currency; and (ii) the drop-in interest expenses due to a decrease in interest on deposits and loans; the latter was due to a decrease in the average volume of BCRP instruments. All of the aforementioned translated into an increase of +26 bps QoQ and +22 bps YoY in NIM. In YTD terms, NIM remained relatively stable.</w:t>
      </w:r>
    </w:p>
    <w:p>
      <w:pPr>
        <w:spacing w:after="0" w:line="177" w:lineRule="exact"/>
        <w:rPr>
          <w:rFonts w:ascii="Arial" w:cs="Arial" w:eastAsia="Arial" w:hAnsi="Arial"/>
          <w:sz w:val="17"/>
          <w:szCs w:val="17"/>
          <w:color w:val="auto"/>
        </w:rPr>
      </w:pPr>
    </w:p>
    <w:p>
      <w:pPr>
        <w:jc w:val="both"/>
        <w:ind w:left="2240" w:hanging="8"/>
        <w:spacing w:after="0" w:line="255" w:lineRule="auto"/>
        <w:tabs>
          <w:tab w:leader="none" w:pos="2363" w:val="left"/>
        </w:tabs>
        <w:numPr>
          <w:ilvl w:val="0"/>
          <w:numId w:val="1"/>
        </w:numPr>
        <w:rPr>
          <w:rFonts w:ascii="Arial" w:cs="Arial" w:eastAsia="Arial" w:hAnsi="Arial"/>
          <w:sz w:val="18"/>
          <w:szCs w:val="18"/>
          <w:color w:val="auto"/>
        </w:rPr>
      </w:pPr>
      <w:r>
        <w:rPr>
          <w:rFonts w:ascii="Arial" w:cs="Arial" w:eastAsia="Arial" w:hAnsi="Arial"/>
          <w:sz w:val="18"/>
          <w:szCs w:val="18"/>
          <w:color w:val="auto"/>
        </w:rPr>
        <w:t>Unlike the scenario seen over the last six months, the total cost of risk (CofR) increased QoQ and YoY to situate at 1.67%. Nevertheless, the cost of risk of the underlying portfolio was situated at 1.43%, which was within the range registered in 1H18. The increase in the CofR was mainly attributable to the execution of a performance bond and consequent refinancing of debt held by a client in the construction sector not related to the Lava Jato case. YTD, the cost of risk was situated at 1.43%, 46 bps below the level reported for the same period in 2017.</w:t>
      </w:r>
    </w:p>
    <w:p>
      <w:pPr>
        <w:spacing w:after="0" w:line="193" w:lineRule="exact"/>
        <w:rPr>
          <w:rFonts w:ascii="Arial" w:cs="Arial" w:eastAsia="Arial" w:hAnsi="Arial"/>
          <w:sz w:val="18"/>
          <w:szCs w:val="18"/>
          <w:color w:val="auto"/>
        </w:rPr>
      </w:pPr>
    </w:p>
    <w:p>
      <w:pPr>
        <w:ind w:left="2240" w:hanging="8"/>
        <w:spacing w:after="0" w:line="277" w:lineRule="auto"/>
        <w:tabs>
          <w:tab w:leader="none" w:pos="2389"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Risk-adjusted NIM was situated at 4.41%, which represented a drop of-7 bps QoQ and +9 bps YoY; consequently, in YTD terms, this indicator reported an improvement of +21 bps.</w:t>
      </w:r>
    </w:p>
    <w:p>
      <w:pPr>
        <w:spacing w:after="0" w:line="170" w:lineRule="exact"/>
        <w:rPr>
          <w:rFonts w:ascii="Arial" w:cs="Arial" w:eastAsia="Arial" w:hAnsi="Arial"/>
          <w:sz w:val="18"/>
          <w:szCs w:val="18"/>
          <w:color w:val="auto"/>
        </w:rPr>
      </w:pPr>
    </w:p>
    <w:p>
      <w:pPr>
        <w:jc w:val="both"/>
        <w:ind w:left="2240" w:hanging="8"/>
        <w:spacing w:after="0" w:line="302" w:lineRule="auto"/>
        <w:tabs>
          <w:tab w:leader="none" w:pos="2365"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non-financial income increased QoQ due to gains on sales of securities; an increase in the exchange rate difference; and higher fee income. The YoY analysis reflects a drop in Sales of securities due to the sale of BCI shares in 3Q17; this was, nevertheless, slightly offset by growth in Fee income (+7.5% YoY) and in Gains of foreign exchange transactions (+21.2% YoY), which represent the main sources of non-financial income.</w:t>
      </w:r>
    </w:p>
    <w:p>
      <w:pPr>
        <w:spacing w:after="0" w:line="154" w:lineRule="exact"/>
        <w:rPr>
          <w:rFonts w:ascii="Arial" w:cs="Arial" w:eastAsia="Arial" w:hAnsi="Arial"/>
          <w:sz w:val="16"/>
          <w:szCs w:val="16"/>
          <w:color w:val="auto"/>
        </w:rPr>
      </w:pPr>
    </w:p>
    <w:p>
      <w:pPr>
        <w:jc w:val="both"/>
        <w:ind w:left="2240" w:hanging="8"/>
        <w:spacing w:after="0" w:line="257" w:lineRule="auto"/>
        <w:tabs>
          <w:tab w:leader="none" w:pos="2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posted a drop of -4.0% QoQ; this was attributable to an increase in the net loss ratio posted by property and casualty insurance and life insurance, which was mitigated by an increase in the net earned premium in life insurance. In YoY terms, the underwriting result fell -12.1% due to an increase in the net loss ratio and in commissions in both business; this result was mitigated by growth in the net earned premium.</w:t>
      </w:r>
    </w:p>
    <w:p>
      <w:pPr>
        <w:spacing w:after="0" w:line="188" w:lineRule="exact"/>
        <w:rPr>
          <w:rFonts w:ascii="Arial" w:cs="Arial" w:eastAsia="Arial" w:hAnsi="Arial"/>
          <w:sz w:val="18"/>
          <w:szCs w:val="18"/>
          <w:color w:val="auto"/>
        </w:rPr>
      </w:pPr>
    </w:p>
    <w:p>
      <w:pPr>
        <w:jc w:val="both"/>
        <w:ind w:left="2240" w:hanging="8"/>
        <w:spacing w:after="0" w:line="286" w:lineRule="auto"/>
        <w:tabs>
          <w:tab w:leader="none" w:pos="2348"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efficiency ratio improved 20 pbs YoY but it deteriorated 30 bps YTD. The YTD deterioration was due to growth in operating expenses, which was attributable to (i) an increase in salaries and administrative &amp; general expenses, mostly at BCP; and (ii) growth in acquisition cost from the insurance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388620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459"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gridSpan w:val="2"/>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(NYSE: BAP): Third Quarter Results 2018</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Financial Overview</w:t>
            </w:r>
          </w:p>
        </w:tc>
        <w:tc>
          <w:tcPr>
            <w:tcW w:w="33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 (IEA)</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1.1.</w:t>
            </w:r>
          </w:p>
        </w:tc>
        <w:tc>
          <w:tcPr>
            <w:tcW w:w="7600" w:type="dxa"/>
            <w:vAlign w:val="bottom"/>
          </w:tcPr>
          <w:p>
            <w:pPr>
              <w:ind w:left="20"/>
              <w:spacing w:after="0"/>
              <w:rPr>
                <w:sz w:val="20"/>
                <w:szCs w:val="20"/>
                <w:color w:val="auto"/>
              </w:rPr>
            </w:pPr>
            <w:r>
              <w:rPr>
                <w:rFonts w:ascii="Arial" w:cs="Arial" w:eastAsia="Arial" w:hAnsi="Arial"/>
                <w:sz w:val="18"/>
                <w:szCs w:val="18"/>
                <w:color w:val="auto"/>
              </w:rPr>
              <w:t>Evolution of IEA</w:t>
            </w:r>
          </w:p>
        </w:tc>
        <w:tc>
          <w:tcPr>
            <w:tcW w:w="33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1.2.</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Credicorp Loans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1.2.1. Loan evolution by business segment</w:t>
            </w:r>
          </w:p>
        </w:tc>
        <w:tc>
          <w:tcPr>
            <w:tcW w:w="33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1.2.2. Evolution of the level of dollarization by segment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1.2.3. BCRP de-dollarization plan at BCP Stand-alone</w:t>
            </w:r>
          </w:p>
        </w:tc>
        <w:tc>
          <w:tcPr>
            <w:tcW w:w="33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1.2.4. Market share in loans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w:t>
            </w:r>
          </w:p>
        </w:tc>
        <w:tc>
          <w:tcPr>
            <w:tcW w:w="7600" w:type="dxa"/>
            <w:vAlign w:val="bottom"/>
          </w:tcPr>
          <w:p>
            <w:pPr>
              <w:spacing w:after="0"/>
              <w:rPr>
                <w:sz w:val="20"/>
                <w:szCs w:val="20"/>
                <w:color w:val="auto"/>
              </w:rPr>
            </w:pPr>
            <w:r>
              <w:rPr>
                <w:rFonts w:ascii="Arial" w:cs="Arial" w:eastAsia="Arial" w:hAnsi="Arial"/>
                <w:sz w:val="18"/>
                <w:szCs w:val="18"/>
                <w:color w:val="auto"/>
              </w:rPr>
              <w:t>Funding Sources</w:t>
            </w:r>
          </w:p>
        </w:tc>
        <w:tc>
          <w:tcPr>
            <w:tcW w:w="33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Structure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2.2.</w:t>
            </w:r>
          </w:p>
        </w:tc>
        <w:tc>
          <w:tcPr>
            <w:tcW w:w="7600" w:type="dxa"/>
            <w:vAlign w:val="bottom"/>
          </w:tcPr>
          <w:p>
            <w:pPr>
              <w:ind w:left="20"/>
              <w:spacing w:after="0"/>
              <w:rPr>
                <w:sz w:val="20"/>
                <w:szCs w:val="20"/>
                <w:color w:val="auto"/>
              </w:rPr>
            </w:pPr>
            <w:r>
              <w:rPr>
                <w:rFonts w:ascii="Arial" w:cs="Arial" w:eastAsia="Arial" w:hAnsi="Arial"/>
                <w:sz w:val="18"/>
                <w:szCs w:val="18"/>
                <w:color w:val="auto"/>
              </w:rPr>
              <w:t>Deposits</w:t>
            </w:r>
          </w:p>
        </w:tc>
        <w:tc>
          <w:tcPr>
            <w:tcW w:w="33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2.2.1. Deposits: dollarization level</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2.2.2. Market share in Deposits</w:t>
            </w:r>
          </w:p>
        </w:tc>
        <w:tc>
          <w:tcPr>
            <w:tcW w:w="33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funding sources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2.4.</w:t>
            </w:r>
          </w:p>
        </w:tc>
        <w:tc>
          <w:tcPr>
            <w:tcW w:w="7600" w:type="dxa"/>
            <w:vAlign w:val="bottom"/>
          </w:tcPr>
          <w:p>
            <w:pPr>
              <w:ind w:left="20"/>
              <w:spacing w:after="0"/>
              <w:rPr>
                <w:sz w:val="20"/>
                <w:szCs w:val="20"/>
                <w:color w:val="auto"/>
              </w:rPr>
            </w:pPr>
            <w:r>
              <w:rPr>
                <w:rFonts w:ascii="Arial" w:cs="Arial" w:eastAsia="Arial" w:hAnsi="Arial"/>
                <w:sz w:val="18"/>
                <w:szCs w:val="18"/>
                <w:color w:val="auto"/>
              </w:rPr>
              <w:t>Loan / Deposit (L/D)</w:t>
            </w:r>
          </w:p>
        </w:tc>
        <w:tc>
          <w:tcPr>
            <w:tcW w:w="33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2.5.</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w:t>
            </w:r>
          </w:p>
        </w:tc>
        <w:tc>
          <w:tcPr>
            <w:tcW w:w="7600" w:type="dxa"/>
            <w:vAlign w:val="bottom"/>
          </w:tcPr>
          <w:p>
            <w:pPr>
              <w:spacing w:after="0"/>
              <w:rPr>
                <w:sz w:val="20"/>
                <w:szCs w:val="20"/>
                <w:color w:val="auto"/>
              </w:rPr>
            </w:pPr>
            <w:r>
              <w:rPr>
                <w:rFonts w:ascii="Arial" w:cs="Arial" w:eastAsia="Arial" w:hAnsi="Arial"/>
                <w:sz w:val="18"/>
                <w:szCs w:val="18"/>
                <w:color w:val="auto"/>
              </w:rPr>
              <w:t>Portfolio quality and Provisions for loan losses</w:t>
            </w:r>
          </w:p>
        </w:tc>
        <w:tc>
          <w:tcPr>
            <w:tcW w:w="33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loan losses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3.2.</w:t>
            </w:r>
          </w:p>
        </w:tc>
        <w:tc>
          <w:tcPr>
            <w:tcW w:w="7600" w:type="dxa"/>
            <w:vAlign w:val="bottom"/>
          </w:tcPr>
          <w:p>
            <w:pPr>
              <w:ind w:left="20"/>
              <w:spacing w:after="0"/>
              <w:rPr>
                <w:sz w:val="20"/>
                <w:szCs w:val="20"/>
                <w:color w:val="auto"/>
              </w:rPr>
            </w:pPr>
            <w:r>
              <w:rPr>
                <w:rFonts w:ascii="Arial" w:cs="Arial" w:eastAsia="Arial" w:hAnsi="Arial"/>
                <w:sz w:val="18"/>
                <w:szCs w:val="18"/>
                <w:color w:val="auto"/>
              </w:rPr>
              <w:t>Portfolio Quality</w:t>
            </w:r>
          </w:p>
        </w:tc>
        <w:tc>
          <w:tcPr>
            <w:tcW w:w="33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3.2.1. Delinquency indicators by business line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4.</w:t>
            </w:r>
          </w:p>
        </w:tc>
        <w:tc>
          <w:tcPr>
            <w:tcW w:w="7600" w:type="dxa"/>
            <w:vAlign w:val="bottom"/>
          </w:tcPr>
          <w:p>
            <w:pPr>
              <w:spacing w:after="0"/>
              <w:rPr>
                <w:sz w:val="20"/>
                <w:szCs w:val="20"/>
                <w:color w:val="auto"/>
              </w:rPr>
            </w:pPr>
            <w:r>
              <w:rPr>
                <w:rFonts w:ascii="Arial" w:cs="Arial" w:eastAsia="Arial" w:hAnsi="Arial"/>
                <w:sz w:val="18"/>
                <w:szCs w:val="18"/>
                <w:color w:val="auto"/>
              </w:rPr>
              <w:t>Net Interest Income (NII)</w:t>
            </w:r>
          </w:p>
        </w:tc>
        <w:tc>
          <w:tcPr>
            <w:tcW w:w="33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4.2.</w:t>
            </w:r>
          </w:p>
        </w:tc>
        <w:tc>
          <w:tcPr>
            <w:tcW w:w="7600" w:type="dxa"/>
            <w:vAlign w:val="bottom"/>
          </w:tcPr>
          <w:p>
            <w:pPr>
              <w:ind w:left="20"/>
              <w:spacing w:after="0"/>
              <w:rPr>
                <w:sz w:val="20"/>
                <w:szCs w:val="20"/>
                <w:color w:val="auto"/>
              </w:rPr>
            </w:pPr>
            <w:r>
              <w:rPr>
                <w:rFonts w:ascii="Arial" w:cs="Arial" w:eastAsia="Arial" w:hAnsi="Arial"/>
                <w:sz w:val="18"/>
                <w:szCs w:val="18"/>
                <w:color w:val="auto"/>
              </w:rPr>
              <w:t>Interest Expenses</w:t>
            </w:r>
          </w:p>
        </w:tc>
        <w:tc>
          <w:tcPr>
            <w:tcW w:w="33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5.</w:t>
            </w:r>
          </w:p>
        </w:tc>
        <w:tc>
          <w:tcPr>
            <w:tcW w:w="7600" w:type="dxa"/>
            <w:vAlign w:val="bottom"/>
          </w:tcPr>
          <w:p>
            <w:pPr>
              <w:spacing w:after="0"/>
              <w:rPr>
                <w:sz w:val="20"/>
                <w:szCs w:val="20"/>
                <w:color w:val="auto"/>
              </w:rPr>
            </w:pPr>
            <w:r>
              <w:rPr>
                <w:rFonts w:ascii="Arial" w:cs="Arial" w:eastAsia="Arial" w:hAnsi="Arial"/>
                <w:sz w:val="18"/>
                <w:szCs w:val="18"/>
                <w:color w:val="auto"/>
              </w:rPr>
              <w:t>Non-Financial Income</w:t>
            </w:r>
          </w:p>
        </w:tc>
        <w:tc>
          <w:tcPr>
            <w:tcW w:w="33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5.1.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5.1.1. By subsidiary</w:t>
            </w:r>
          </w:p>
        </w:tc>
        <w:tc>
          <w:tcPr>
            <w:tcW w:w="3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5.1.2. Banking Business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6.</w:t>
            </w:r>
          </w:p>
        </w:tc>
        <w:tc>
          <w:tcPr>
            <w:tcW w:w="7600" w:type="dxa"/>
            <w:vAlign w:val="bottom"/>
          </w:tcPr>
          <w:p>
            <w:pPr>
              <w:spacing w:after="0"/>
              <w:rPr>
                <w:sz w:val="20"/>
                <w:szCs w:val="20"/>
                <w:color w:val="auto"/>
              </w:rPr>
            </w:pPr>
            <w:r>
              <w:rPr>
                <w:rFonts w:ascii="Arial" w:cs="Arial" w:eastAsia="Arial" w:hAnsi="Arial"/>
                <w:sz w:val="18"/>
                <w:szCs w:val="18"/>
                <w:color w:val="auto"/>
              </w:rPr>
              <w:t>Insurance Underwriting Result</w:t>
            </w:r>
          </w:p>
        </w:tc>
        <w:tc>
          <w:tcPr>
            <w:tcW w:w="33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6.2.</w:t>
            </w:r>
          </w:p>
        </w:tc>
        <w:tc>
          <w:tcPr>
            <w:tcW w:w="7600" w:type="dxa"/>
            <w:vAlign w:val="bottom"/>
          </w:tcPr>
          <w:p>
            <w:pPr>
              <w:ind w:left="20"/>
              <w:spacing w:after="0"/>
              <w:rPr>
                <w:sz w:val="20"/>
                <w:szCs w:val="20"/>
                <w:color w:val="auto"/>
              </w:rPr>
            </w:pPr>
            <w:r>
              <w:rPr>
                <w:rFonts w:ascii="Arial" w:cs="Arial" w:eastAsia="Arial" w:hAnsi="Arial"/>
                <w:sz w:val="18"/>
                <w:szCs w:val="18"/>
                <w:color w:val="auto"/>
              </w:rPr>
              <w:t>Net claims</w:t>
            </w:r>
          </w:p>
        </w:tc>
        <w:tc>
          <w:tcPr>
            <w:tcW w:w="33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7.</w:t>
            </w:r>
          </w:p>
        </w:tc>
        <w:tc>
          <w:tcPr>
            <w:tcW w:w="7600" w:type="dxa"/>
            <w:vAlign w:val="bottom"/>
          </w:tcPr>
          <w:p>
            <w:pPr>
              <w:spacing w:after="0"/>
              <w:rPr>
                <w:sz w:val="20"/>
                <w:szCs w:val="20"/>
                <w:color w:val="auto"/>
              </w:rPr>
            </w:pPr>
            <w:r>
              <w:rPr>
                <w:rFonts w:ascii="Arial" w:cs="Arial" w:eastAsia="Arial" w:hAnsi="Arial"/>
                <w:sz w:val="18"/>
                <w:szCs w:val="18"/>
                <w:color w:val="auto"/>
              </w:rPr>
              <w:t>Operating Expenses and Efficiency</w:t>
            </w:r>
          </w:p>
        </w:tc>
        <w:tc>
          <w:tcPr>
            <w:tcW w:w="33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7.1.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7.2.</w:t>
            </w:r>
          </w:p>
        </w:tc>
        <w:tc>
          <w:tcPr>
            <w:tcW w:w="7600" w:type="dxa"/>
            <w:vAlign w:val="bottom"/>
          </w:tcPr>
          <w:p>
            <w:pPr>
              <w:ind w:left="20"/>
              <w:spacing w:after="0"/>
              <w:rPr>
                <w:sz w:val="20"/>
                <w:szCs w:val="20"/>
                <w:color w:val="auto"/>
              </w:rPr>
            </w:pPr>
            <w:r>
              <w:rPr>
                <w:rFonts w:ascii="Arial" w:cs="Arial" w:eastAsia="Arial" w:hAnsi="Arial"/>
                <w:sz w:val="18"/>
                <w:szCs w:val="18"/>
                <w:color w:val="auto"/>
              </w:rPr>
              <w:t>Operating Expenses / Total Average Assets Ratio</w:t>
            </w:r>
          </w:p>
        </w:tc>
        <w:tc>
          <w:tcPr>
            <w:tcW w:w="33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7.3.</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8.</w:t>
            </w:r>
          </w:p>
        </w:tc>
        <w:tc>
          <w:tcPr>
            <w:tcW w:w="7600" w:type="dxa"/>
            <w:vAlign w:val="bottom"/>
          </w:tcPr>
          <w:p>
            <w:pPr>
              <w:spacing w:after="0"/>
              <w:rPr>
                <w:sz w:val="20"/>
                <w:szCs w:val="20"/>
                <w:color w:val="auto"/>
              </w:rPr>
            </w:pPr>
            <w:r>
              <w:rPr>
                <w:rFonts w:ascii="Arial" w:cs="Arial" w:eastAsia="Arial" w:hAnsi="Arial"/>
                <w:sz w:val="18"/>
                <w:szCs w:val="18"/>
                <w:color w:val="auto"/>
              </w:rPr>
              <w:t>Regulatory Capital</w:t>
            </w:r>
          </w:p>
        </w:tc>
        <w:tc>
          <w:tcPr>
            <w:tcW w:w="33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8.1.</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BAP</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8.2.</w:t>
            </w:r>
          </w:p>
        </w:tc>
        <w:tc>
          <w:tcPr>
            <w:tcW w:w="7600" w:type="dxa"/>
            <w:vAlign w:val="bottom"/>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Distribution channels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9.1 Points of contact – BCP Stand-alone</w:t>
            </w:r>
          </w:p>
        </w:tc>
        <w:tc>
          <w:tcPr>
            <w:tcW w:w="33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9.1.1 Points of contact by location – BCP Stand-alone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9.1.2 Transactions per channel – BCP Stand-alone</w:t>
            </w:r>
          </w:p>
        </w:tc>
        <w:tc>
          <w:tcPr>
            <w:tcW w:w="33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9.2 Points of contact – Mibanco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9.3 Points of contact – BCP Bolivia</w:t>
            </w:r>
          </w:p>
        </w:tc>
        <w:tc>
          <w:tcPr>
            <w:tcW w:w="33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Economic Perspectives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10.1. Peru Economic Forecasts</w:t>
            </w:r>
          </w:p>
        </w:tc>
        <w:tc>
          <w:tcPr>
            <w:tcW w:w="33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 Main Economic Variables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11.</w:t>
            </w:r>
          </w:p>
        </w:tc>
        <w:tc>
          <w:tcPr>
            <w:tcW w:w="7600" w:type="dxa"/>
            <w:vAlign w:val="bottom"/>
          </w:tcPr>
          <w:p>
            <w:pPr>
              <w:spacing w:after="0"/>
              <w:rPr>
                <w:sz w:val="20"/>
                <w:szCs w:val="20"/>
                <w:color w:val="auto"/>
              </w:rPr>
            </w:pPr>
            <w:r>
              <w:rPr>
                <w:rFonts w:ascii="Arial" w:cs="Arial" w:eastAsia="Arial" w:hAnsi="Arial"/>
                <w:sz w:val="18"/>
                <w:szCs w:val="18"/>
                <w:color w:val="auto"/>
              </w:rPr>
              <w:t>Appendix</w:t>
            </w:r>
          </w:p>
        </w:tc>
        <w:tc>
          <w:tcPr>
            <w:tcW w:w="33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11.1. Credicorp</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11.2. BCP Consolidated</w:t>
            </w:r>
          </w:p>
        </w:tc>
        <w:tc>
          <w:tcPr>
            <w:tcW w:w="33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 Mibanco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11.4. BCP Bolivia</w:t>
            </w:r>
          </w:p>
        </w:tc>
        <w:tc>
          <w:tcPr>
            <w:tcW w:w="33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 Credicorp Capital</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11.6. Atlantic Security Bank</w:t>
            </w:r>
          </w:p>
        </w:tc>
        <w:tc>
          <w:tcPr>
            <w:tcW w:w="33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11.7. Grupo Pacifico</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11.8. Prima AFP</w:t>
            </w:r>
          </w:p>
        </w:tc>
        <w:tc>
          <w:tcPr>
            <w:tcW w:w="33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11.9. Table of calculations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11.10. Disclosure about the impact of IFRS 9</w:t>
            </w:r>
          </w:p>
        </w:tc>
        <w:tc>
          <w:tcPr>
            <w:tcW w:w="33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Third Quarter Results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980"/>
              <w:spacing w:after="0"/>
              <w:rPr>
                <w:sz w:val="20"/>
                <w:szCs w:val="20"/>
                <w:color w:val="auto"/>
              </w:rPr>
            </w:pPr>
            <w:r>
              <w:rPr>
                <w:rFonts w:ascii="Arial" w:cs="Arial" w:eastAsia="Arial" w:hAnsi="Arial"/>
                <w:sz w:val="14"/>
                <w:szCs w:val="14"/>
                <w:b w:val="1"/>
                <w:bCs w:val="1"/>
                <w:color w:val="auto"/>
              </w:rPr>
              <w:t>YTD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3Q17</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2Q18</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3Q18</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8"/>
              </w:rPr>
              <w:t>QoQ</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5"/>
              </w:rPr>
              <w:t>YoY</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17</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18</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0"/>
              </w:rPr>
              <w:t>Sep 18 / Sep 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2,024,516</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2,062,818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2,146,461</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4.1%</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6.0%</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6,005,514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6,252,966</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Provision for loan losses, net of</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recoveries</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(378,202)</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(313,172)</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(439,558)</w:t>
            </w:r>
          </w:p>
        </w:tc>
        <w:tc>
          <w:tcPr>
            <w:tcW w:w="7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40.4%</w:t>
            </w:r>
          </w:p>
        </w:tc>
        <w:tc>
          <w:tcPr>
            <w:tcW w:w="7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16.2%</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(1,347,915)</w:t>
            </w: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(1,123,754)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Net interest income after provisions</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1,646,314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1,749,646</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1,706,903</w:t>
            </w: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4,657,599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5,129,212</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Non-financial income *</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1,290,384</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1,048,050</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1,085,839</w:t>
            </w:r>
          </w:p>
        </w:tc>
        <w:tc>
          <w:tcPr>
            <w:tcW w:w="7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7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-15.9%</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3,392,670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3,235,105</w:t>
            </w:r>
          </w:p>
        </w:tc>
        <w:tc>
          <w:tcPr>
            <w:tcW w:w="1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Insurance services underwriting result</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122,959</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112,559</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108,051</w:t>
            </w: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-12.1%</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371,683</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336,519</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(1,445,137)</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(1,523,840)</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(1,506,544)</w:t>
            </w:r>
          </w:p>
        </w:tc>
        <w:tc>
          <w:tcPr>
            <w:tcW w:w="7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(4,305,434)</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(4,470,128)</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1,614,520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1,386,415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1,394,249</w:t>
            </w: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-13.6%</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4,116,518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4,230,708</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(371,563)</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(388,011)</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(363,154)</w:t>
            </w:r>
          </w:p>
        </w:tc>
        <w:tc>
          <w:tcPr>
            <w:tcW w:w="7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7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(1,022,002)</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(1,136,557)</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1,242,957</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998,404</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1,031,095</w:t>
            </w: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-17.0%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3,094,516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3,094,151</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24,656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20,566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19,809</w:t>
            </w:r>
          </w:p>
        </w:tc>
        <w:tc>
          <w:tcPr>
            <w:tcW w:w="7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7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-19.7%</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66,420</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67,219</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Net income attributed to Credicorp</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1,218,301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977,838</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1,011,286</w:t>
            </w: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-17.0%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3,028,096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3,026,932</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Net income / share (S/)</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15.27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12.26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12.68</w:t>
            </w:r>
          </w:p>
        </w:tc>
        <w:tc>
          <w:tcPr>
            <w:tcW w:w="7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7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-17.0%</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37.96</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37.95</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95,142,268</w:t>
            </w:r>
          </w:p>
        </w:tc>
        <w:tc>
          <w:tcPr>
            <w:tcW w:w="12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102,766,633</w:t>
            </w:r>
          </w:p>
        </w:tc>
        <w:tc>
          <w:tcPr>
            <w:tcW w:w="12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105,028,343</w:t>
            </w:r>
          </w:p>
        </w:tc>
        <w:tc>
          <w:tcPr>
            <w:tcW w:w="1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2.2%</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10.4%</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95,142,268</w:t>
            </w:r>
          </w:p>
        </w:tc>
        <w:tc>
          <w:tcPr>
            <w:tcW w:w="1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105,028,343</w:t>
            </w:r>
          </w:p>
        </w:tc>
        <w:tc>
          <w:tcPr>
            <w:tcW w:w="120" w:type="dxa"/>
            <w:vAlign w:val="bottom"/>
            <w:vMerge w:val="continue"/>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92,893,915</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97,544,235</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97,375,411</w:t>
            </w:r>
          </w:p>
        </w:tc>
        <w:tc>
          <w:tcPr>
            <w:tcW w:w="72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70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92,893,915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97,375,411</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21,964,556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21,889,218</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23,006,133</w:t>
            </w:r>
          </w:p>
        </w:tc>
        <w:tc>
          <w:tcPr>
            <w:tcW w:w="7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w:t>
            </w:r>
          </w:p>
        </w:tc>
        <w:tc>
          <w:tcPr>
            <w:tcW w:w="7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21,964,556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23,006,133</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 bps</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 bps</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18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-4 bps</w:t>
            </w: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Risk adjusted Net interest margin *</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4.41%</w:t>
            </w:r>
          </w:p>
        </w:tc>
        <w:tc>
          <w:tcPr>
            <w:tcW w:w="11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 bps</w:t>
            </w:r>
          </w:p>
        </w:tc>
        <w:tc>
          <w:tcPr>
            <w:tcW w:w="11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9 bps</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4.35%</w:t>
            </w:r>
          </w:p>
        </w:tc>
        <w:tc>
          <w:tcPr>
            <w:tcW w:w="11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21 bps</w:t>
            </w:r>
          </w:p>
        </w:tc>
      </w:tr>
      <w:tr>
        <w:trPr>
          <w:trHeight w:val="189"/>
        </w:trPr>
        <w:tc>
          <w:tcPr>
            <w:tcW w:w="2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Funding cost * </w:t>
            </w:r>
            <w:r>
              <w:rPr>
                <w:rFonts w:ascii="Arial" w:cs="Arial" w:eastAsia="Arial" w:hAnsi="Arial"/>
                <w:sz w:val="21"/>
                <w:szCs w:val="21"/>
                <w:color w:val="auto"/>
                <w:vertAlign w:val="superscript"/>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-12 bps</w:t>
            </w: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11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 bps</w:t>
            </w:r>
          </w:p>
        </w:tc>
        <w:tc>
          <w:tcPr>
            <w:tcW w:w="11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-480 bps</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118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-140 bps</w:t>
            </w:r>
          </w:p>
        </w:tc>
      </w:tr>
      <w:tr>
        <w:trPr>
          <w:trHeight w:val="162"/>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ROAA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-60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-10 bps</w:t>
            </w: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Delinquency ratio over 90 days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 bps</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 bps</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18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0 bps</w:t>
            </w: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2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2 bps</w:t>
            </w:r>
          </w:p>
        </w:tc>
      </w:tr>
      <w:tr>
        <w:trPr>
          <w:trHeight w:val="189"/>
        </w:trPr>
        <w:tc>
          <w:tcPr>
            <w:tcW w:w="2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12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12 bps</w:t>
            </w: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45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8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1.89%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-46 bps</w:t>
            </w: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-50 bps</w:t>
            </w:r>
          </w:p>
        </w:tc>
        <w:tc>
          <w:tcPr>
            <w:tcW w:w="11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50 bps</w:t>
            </w:r>
          </w:p>
        </w:tc>
        <w:tc>
          <w:tcPr>
            <w:tcW w:w="1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118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50 bps</w:t>
            </w: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Coverage of NPLs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114.8%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112.8%</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-200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-240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115.2%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112.8%</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-240 bps</w:t>
            </w: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3"/>
                <w:szCs w:val="13"/>
                <w:color w:val="auto"/>
              </w:rPr>
              <w:t xml:space="preserve">Efficiency ratio * </w:t>
            </w:r>
            <w:r>
              <w:rPr>
                <w:rFonts w:ascii="Arial" w:cs="Arial" w:eastAsia="Arial" w:hAnsi="Arial"/>
                <w:sz w:val="21"/>
                <w:szCs w:val="21"/>
                <w:color w:val="auto"/>
                <w:vertAlign w:val="superscript"/>
              </w:rPr>
              <w:t>(5)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43.5%</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-40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-20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43.1%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43.4%</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30 bps</w:t>
            </w: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Operating expenses / Total average</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1"/>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15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0 bps</w:t>
            </w: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2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-520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190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510 bps</w:t>
            </w: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57.8%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58.7%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59.1%</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40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130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58.9%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58.5%</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-40 bps</w:t>
            </w:r>
          </w:p>
        </w:tc>
      </w:tr>
      <w:tr>
        <w:trPr>
          <w:trHeight w:val="140"/>
        </w:trPr>
        <w:tc>
          <w:tcPr>
            <w:tcW w:w="22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Underwriting result / net earned</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11"/>
        </w:trPr>
        <w:tc>
          <w:tcPr>
            <w:tcW w:w="2240" w:type="dxa"/>
            <w:vAlign w:val="bottom"/>
            <w:shd w:val="clear" w:color="auto" w:fill="CCEEFF"/>
          </w:tcPr>
          <w:p>
            <w:pPr>
              <w:spacing w:after="0" w:line="211" w:lineRule="exact"/>
              <w:rPr>
                <w:sz w:val="20"/>
                <w:szCs w:val="20"/>
                <w:color w:val="auto"/>
              </w:rPr>
            </w:pPr>
            <w:r>
              <w:rPr>
                <w:rFonts w:ascii="Arial" w:cs="Arial" w:eastAsia="Arial" w:hAnsi="Arial"/>
                <w:sz w:val="14"/>
                <w:szCs w:val="14"/>
                <w:color w:val="auto"/>
              </w:rPr>
              <w:t xml:space="preserve">premiums </w:t>
            </w:r>
            <w:r>
              <w:rPr>
                <w:rFonts w:ascii="Arial" w:cs="Arial" w:eastAsia="Arial" w:hAnsi="Arial"/>
                <w:sz w:val="23"/>
                <w:szCs w:val="23"/>
                <w:color w:val="auto"/>
                <w:vertAlign w:val="superscript"/>
              </w:rPr>
              <w:t>(7)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210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-150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-230 bps</w:t>
            </w:r>
          </w:p>
        </w:tc>
      </w:tr>
      <w:tr>
        <w:trPr>
          <w:trHeight w:val="116"/>
        </w:trPr>
        <w:tc>
          <w:tcPr>
            <w:tcW w:w="2240" w:type="dxa"/>
            <w:vAlign w:val="bottom"/>
          </w:tcPr>
          <w:p>
            <w:pPr>
              <w:spacing w:after="0" w:line="116" w:lineRule="exact"/>
              <w:rPr>
                <w:sz w:val="20"/>
                <w:szCs w:val="20"/>
                <w:color w:val="auto"/>
              </w:rPr>
            </w:pPr>
            <w:r>
              <w:rPr>
                <w:rFonts w:ascii="Arial" w:cs="Arial" w:eastAsia="Arial" w:hAnsi="Arial"/>
                <w:sz w:val="13"/>
                <w:szCs w:val="13"/>
                <w:b w:val="1"/>
                <w:bCs w:val="1"/>
                <w:color w:val="auto"/>
              </w:rPr>
              <w:t>Capital adequacy - BCP Stand-</w:t>
            </w: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02"/>
        </w:trPr>
        <w:tc>
          <w:tcPr>
            <w:tcW w:w="2240" w:type="dxa"/>
            <w:vAlign w:val="bottom"/>
          </w:tcPr>
          <w:p>
            <w:pPr>
              <w:spacing w:after="0" w:line="202" w:lineRule="exact"/>
              <w:rPr>
                <w:sz w:val="20"/>
                <w:szCs w:val="20"/>
                <w:color w:val="auto"/>
              </w:rPr>
            </w:pPr>
            <w:r>
              <w:rPr>
                <w:rFonts w:ascii="Arial" w:cs="Arial" w:eastAsia="Arial" w:hAnsi="Arial"/>
                <w:sz w:val="14"/>
                <w:szCs w:val="14"/>
                <w:b w:val="1"/>
                <w:bCs w:val="1"/>
                <w:color w:val="auto"/>
              </w:rPr>
              <w:t xml:space="preserve">alone </w:t>
            </w:r>
            <w:r>
              <w:rPr>
                <w:rFonts w:ascii="Arial" w:cs="Arial" w:eastAsia="Arial" w:hAnsi="Arial"/>
                <w:sz w:val="23"/>
                <w:szCs w:val="23"/>
                <w:b w:val="1"/>
                <w:bCs w:val="1"/>
                <w:color w:val="auto"/>
                <w:vertAlign w:val="superscript"/>
              </w:rPr>
              <w:t>(8)</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22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-13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-141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-141 bps</w:t>
            </w: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(10)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11.47%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11.09%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10.96%</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-13 bps</w:t>
            </w: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-51 bps</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11.47%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10.96%</w:t>
            </w:r>
          </w:p>
        </w:tc>
        <w:tc>
          <w:tcPr>
            <w:tcW w:w="1180" w:type="dxa"/>
            <w:vAlign w:val="bottom"/>
            <w:gridSpan w:val="2"/>
          </w:tcPr>
          <w:p>
            <w:pPr>
              <w:jc w:val="right"/>
              <w:ind w:right="78"/>
              <w:spacing w:after="0"/>
              <w:rPr>
                <w:sz w:val="20"/>
                <w:szCs w:val="20"/>
                <w:color w:val="auto"/>
              </w:rPr>
            </w:pPr>
            <w:r>
              <w:rPr>
                <w:rFonts w:ascii="Arial" w:cs="Arial" w:eastAsia="Arial" w:hAnsi="Arial"/>
                <w:sz w:val="14"/>
                <w:szCs w:val="14"/>
                <w:color w:val="auto"/>
              </w:rPr>
              <w:t>-51 bps</w:t>
            </w:r>
          </w:p>
        </w:tc>
      </w:tr>
      <w:tr>
        <w:trPr>
          <w:trHeight w:val="203"/>
        </w:trPr>
        <w:tc>
          <w:tcPr>
            <w:tcW w:w="2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50 bps</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-32 bps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-32 bps</w:t>
            </w:r>
          </w:p>
        </w:tc>
      </w:tr>
      <w:tr>
        <w:trPr>
          <w:trHeight w:val="142"/>
        </w:trPr>
        <w:tc>
          <w:tcPr>
            <w:tcW w:w="2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33,467</w:t>
            </w:r>
          </w:p>
        </w:tc>
        <w:tc>
          <w:tcPr>
            <w:tcW w:w="1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33,447</w:t>
            </w:r>
          </w:p>
        </w:tc>
        <w:tc>
          <w:tcPr>
            <w:tcW w:w="1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33,528</w:t>
            </w:r>
          </w:p>
        </w:tc>
        <w:tc>
          <w:tcPr>
            <w:tcW w:w="1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33,467</w:t>
            </w: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33,528</w:t>
            </w:r>
          </w:p>
        </w:tc>
        <w:tc>
          <w:tcPr>
            <w:tcW w:w="12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Outstanding Shares</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94,382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94,382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94,382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94,382</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94,382</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r>
      <w:tr>
        <w:trPr>
          <w:trHeight w:val="189"/>
        </w:trPr>
        <w:tc>
          <w:tcPr>
            <w:tcW w:w="224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14,621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2240" w:type="dxa"/>
            <w:vAlign w:val="bottom"/>
          </w:tcPr>
          <w:p>
            <w:pPr>
              <w:ind w:left="180"/>
              <w:spacing w:after="0"/>
              <w:rPr>
                <w:sz w:val="20"/>
                <w:szCs w:val="20"/>
                <w:color w:val="auto"/>
              </w:rPr>
            </w:pPr>
            <w:r>
              <w:rPr>
                <w:rFonts w:ascii="Arial" w:cs="Arial" w:eastAsia="Arial" w:hAnsi="Arial"/>
                <w:sz w:val="14"/>
                <w:szCs w:val="14"/>
                <w:color w:val="auto"/>
              </w:rPr>
              <w:t>Floating Shares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79,761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79,761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79,761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79,761</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79,761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2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show the net gain in derivatives and the result by difference in exchange"</w:t>
      </w:r>
    </w:p>
    <w:p>
      <w:pPr>
        <w:spacing w:after="0" w:line="9" w:lineRule="exact"/>
        <w:rPr>
          <w:rFonts w:ascii="Arial" w:cs="Arial" w:eastAsia="Arial" w:hAnsi="Arial"/>
          <w:sz w:val="18"/>
          <w:szCs w:val="18"/>
          <w:color w:val="auto"/>
        </w:rPr>
      </w:pPr>
    </w:p>
    <w:p>
      <w:pPr>
        <w:ind w:right="20"/>
        <w:spacing w:after="0" w:line="281" w:lineRule="auto"/>
        <w:rPr>
          <w:rFonts w:ascii="Arial" w:cs="Arial" w:eastAsia="Arial" w:hAnsi="Arial"/>
          <w:sz w:val="18"/>
          <w:szCs w:val="18"/>
          <w:color w:val="auto"/>
        </w:rPr>
      </w:pPr>
      <w:r>
        <w:rPr>
          <w:rFonts w:ascii="Arial" w:cs="Arial" w:eastAsia="Arial" w:hAnsi="Arial"/>
          <w:sz w:val="16"/>
          <w:szCs w:val="16"/>
          <w:color w:val="auto"/>
        </w:rPr>
        <w:t>(1) 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(2)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(3)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Cost of risk: Annualized provision for loan losses, net of recoveries / Total loans.</w:t>
      </w:r>
    </w:p>
    <w:p>
      <w:pPr>
        <w:spacing w:after="0" w:line="9" w:lineRule="exact"/>
        <w:rPr>
          <w:rFonts w:ascii="Arial" w:cs="Arial" w:eastAsia="Arial" w:hAnsi="Arial"/>
          <w:sz w:val="18"/>
          <w:szCs w:val="18"/>
          <w:color w:val="auto"/>
        </w:rPr>
      </w:pP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(5) Efficiency ratio = [Total Expenses + Acquisition Cost - Other expenses] / [Net Interest Income + Fee Income + Net Gain on Foreign Exchange Transactions + Net Gain from Subsidiaries + Net Premiums Earned].</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(6) Combined ratio= (Net claims / Net earned premiums) + [(Acquisition cost + Operating expenses) / Net earned premiums]. Does not include Life insurance business.</w:t>
      </w:r>
    </w:p>
    <w:p>
      <w:pPr>
        <w:spacing w:after="0"/>
        <w:rPr>
          <w:rFonts w:ascii="Arial" w:cs="Arial" w:eastAsia="Arial" w:hAnsi="Arial"/>
          <w:sz w:val="18"/>
          <w:szCs w:val="18"/>
          <w:color w:val="auto"/>
        </w:rPr>
      </w:pPr>
      <w:r>
        <w:rPr>
          <w:rFonts w:ascii="Arial" w:cs="Arial" w:eastAsia="Arial" w:hAnsi="Arial"/>
          <w:sz w:val="18"/>
          <w:szCs w:val="18"/>
          <w:color w:val="auto"/>
        </w:rPr>
        <w:t>(7)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 All Capital ratios are for BCP Stand-alone and based on Peru GAAP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Regulatory Capital / Risk-weighted assets (legal minimum = 10% since July 2011)</w:t>
      </w:r>
    </w:p>
    <w:p>
      <w:pPr>
        <w:spacing w:after="0" w:line="9" w:lineRule="exact"/>
        <w:rPr>
          <w:rFonts w:ascii="Arial" w:cs="Arial" w:eastAsia="Arial" w:hAnsi="Arial"/>
          <w:sz w:val="18"/>
          <w:szCs w:val="18"/>
          <w:color w:val="auto"/>
        </w:rPr>
      </w:pPr>
    </w:p>
    <w:p>
      <w:pPr>
        <w:jc w:val="both"/>
        <w:spacing w:after="0" w:line="265" w:lineRule="auto"/>
        <w:rPr>
          <w:rFonts w:ascii="Arial" w:cs="Arial" w:eastAsia="Arial" w:hAnsi="Arial"/>
          <w:sz w:val="18"/>
          <w:szCs w:val="18"/>
          <w:color w:val="auto"/>
        </w:rPr>
      </w:pPr>
      <w:r>
        <w:rPr>
          <w:rFonts w:ascii="Arial" w:cs="Arial" w:eastAsia="Arial" w:hAnsi="Arial"/>
          <w:sz w:val="17"/>
          <w:szCs w:val="17"/>
          <w:color w:val="auto"/>
        </w:rPr>
        <w:t>(10) 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(11) Common Equity Tier I = Capital + Reserves – 100% of applicable deductions (investment in subsidiaries, goodwill, intangibles and net deferred taxes that rely on future profitability) + retained earnings + unrealized gains. 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 These shares are held by Atlantic Security Holding Corporation (ASHC).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62"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w w:val="96"/>
              </w:rPr>
              <w:t>Credicorp and subsidiaries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ind w:left="62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2Q18</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3Q18</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Sep 18</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18 / Sep 17</w:t>
            </w:r>
          </w:p>
        </w:tc>
        <w:tc>
          <w:tcPr>
            <w:tcW w:w="180" w:type="dxa"/>
            <w:vAlign w:val="bottom"/>
            <w:tcBorders>
              <w:bottom w:val="single" w:sz="8" w:color="CCEEFF"/>
            </w:tcBorders>
          </w:tcPr>
          <w:p>
            <w:pPr>
              <w:spacing w:after="0"/>
              <w:rPr>
                <w:sz w:val="20"/>
                <w:szCs w:val="20"/>
                <w:color w:val="auto"/>
              </w:rPr>
            </w:pPr>
          </w:p>
        </w:tc>
      </w:tr>
      <w:tr>
        <w:trPr>
          <w:trHeight w:val="250"/>
        </w:trPr>
        <w:tc>
          <w:tcPr>
            <w:tcW w:w="21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789,854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827,596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810,966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2,203,589</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2,498,803</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57"/>
        </w:trPr>
        <w:tc>
          <w:tcPr>
            <w:tcW w:w="22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110,489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122,151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102,428</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257,734</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345,390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55,384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57"/>
        </w:trPr>
        <w:tc>
          <w:tcPr>
            <w:tcW w:w="22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82,591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69,075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97,268</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240,572</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243,638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29,401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109,657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109,115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14,288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17,771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55,288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49,973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35,089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94,894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70"/>
        </w:trPr>
        <w:tc>
          <w:tcPr>
            <w:tcW w:w="22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249,018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(12,993)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(6,644)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-102.7%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235,913</w:t>
            </w:r>
          </w:p>
        </w:tc>
        <w:tc>
          <w:tcPr>
            <w:tcW w:w="1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(24,875)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r>
      <w:tr>
        <w:trPr>
          <w:trHeight w:val="178"/>
        </w:trPr>
        <w:tc>
          <w:tcPr>
            <w:tcW w:w="22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attributed to</w:t>
            </w: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48"/>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1,218,301</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977,838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1,011,286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3,028,096</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7"/>
              </w:rPr>
              <w:t>3,026,932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58"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Banco de Credito BCP includes BCP Stand-alone and subsidiaries such as Mibanco.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figure is lower than the net income of Mibanco because Credicorp owns 97.73% of Mibanco (directly and indirectly).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The contribution is higher than Grupo Pacifico’s net income because Credicorp owns 65.20% directly, and 33.59% through Grupo Credito.</w:t>
      </w:r>
    </w:p>
    <w:p>
      <w:pPr>
        <w:spacing w:after="0" w:line="9"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(4) 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8"/>
              </w:rPr>
              <w:t>Quarter</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b w:val="1"/>
                <w:bCs w:val="1"/>
                <w:color w:val="auto"/>
              </w:rPr>
              <w:t>YTD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2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3Q17</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3Q18</w:t>
            </w:r>
          </w:p>
        </w:tc>
        <w:tc>
          <w:tcPr>
            <w:tcW w:w="26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Sep 17</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Sep 18</w:t>
            </w:r>
          </w:p>
        </w:tc>
        <w:tc>
          <w:tcPr>
            <w:tcW w:w="180" w:type="dxa"/>
            <w:vAlign w:val="bottom"/>
            <w:tcBorders>
              <w:bottom w:val="single" w:sz="8" w:color="CCEEFF"/>
            </w:tcBorders>
          </w:tcPr>
          <w:p>
            <w:pPr>
              <w:spacing w:after="0"/>
              <w:rPr>
                <w:sz w:val="20"/>
                <w:szCs w:val="20"/>
                <w:color w:val="auto"/>
              </w:rPr>
            </w:pPr>
          </w:p>
        </w:tc>
      </w:tr>
      <w:tr>
        <w:trPr>
          <w:trHeight w:val="250"/>
        </w:trPr>
        <w:tc>
          <w:tcPr>
            <w:tcW w:w="42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43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30.4%</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27.9%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22.0%</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4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13.1%</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Banco de Credito BCP includes BCP Stand-alone and subsidiaries such as Mibanco.</w:t>
      </w:r>
    </w:p>
    <w:p>
      <w:pPr>
        <w:spacing w:after="0" w:line="23" w:lineRule="exact"/>
        <w:rPr>
          <w:rFonts w:ascii="Arial" w:cs="Arial" w:eastAsia="Arial" w:hAnsi="Arial"/>
          <w:sz w:val="18"/>
          <w:szCs w:val="18"/>
          <w:color w:val="auto"/>
        </w:rPr>
      </w:pPr>
    </w:p>
    <w:p>
      <w:pPr>
        <w:ind w:firstLine="8"/>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21.6% in 2Q17, 26.5% in 1Q18 and 25.8% in 2Q18. As of YTD, was 17.3% for June 2017 and 25.8% for June 2018.</w:t>
      </w:r>
    </w:p>
    <w:p>
      <w:pPr>
        <w:ind w:firstLine="8"/>
        <w:spacing w:after="0" w:line="323" w:lineRule="auto"/>
        <w:tabs>
          <w:tab w:leader="none" w:pos="267" w:val="left"/>
        </w:tabs>
        <w:numPr>
          <w:ilvl w:val="0"/>
          <w:numId w:val="4"/>
        </w:numPr>
        <w:rPr>
          <w:rFonts w:ascii="Arial" w:cs="Arial" w:eastAsia="Arial" w:hAnsi="Arial"/>
          <w:sz w:val="16"/>
          <w:szCs w:val="16"/>
          <w:color w:val="auto"/>
        </w:rPr>
      </w:pPr>
      <w:r>
        <w:rPr>
          <w:rFonts w:ascii="Arial" w:cs="Arial" w:eastAsia="Arial" w:hAnsi="Arial"/>
          <w:sz w:val="16"/>
          <w:szCs w:val="16"/>
          <w:color w:val="auto"/>
        </w:rPr>
        <w:t>Figures include unrealized gains or losses that are considered in Pacifico’s Net Equity from the investment portfolio of Pacifico Vida. ROAE excluding such unrealized gains was 17.4% in 2Q17, 15.1% in 1Q18 and 14.5% in 2Q18. As of YTD, was 16.8% for June 2017 and 14.8% for June 2018."</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Interest-earning assets (IEA)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The mix of IEA posted a decrease, for the second consecutive quarter, in both Cash and due from banks and Total investments while Total loans continued to post growth. In YTD terms, quarter-end balances at the end of 3Q18 grew by +4.5% when compared to the level posted in December 2017. Average daily loan balances of the first nine months of 2018 grew 7.7% when compared with the average daily loan balances for the full year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6"/>
          </w:tcPr>
          <w:p>
            <w:pPr>
              <w:ind w:left="5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Sep 17</w:t>
            </w:r>
          </w:p>
        </w:tc>
        <w:tc>
          <w:tcPr>
            <w:tcW w:w="18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Sep 18</w:t>
            </w:r>
          </w:p>
        </w:tc>
        <w:tc>
          <w:tcPr>
            <w:tcW w:w="18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gridSpan w:val="2"/>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22,763,956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19,385,506</w:t>
            </w:r>
          </w:p>
        </w:tc>
        <w:tc>
          <w:tcPr>
            <w:tcW w:w="1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17,625,814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59,038</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172,607</w:t>
            </w:r>
          </w:p>
        </w:tc>
        <w:tc>
          <w:tcPr>
            <w:tcW w:w="1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357,910</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506.2%</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35,658,661</w:t>
            </w:r>
          </w:p>
        </w:tc>
        <w:tc>
          <w:tcPr>
            <w:tcW w:w="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32,434,819</w:t>
            </w:r>
          </w:p>
        </w:tc>
        <w:tc>
          <w:tcPr>
            <w:tcW w:w="14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32,183,795</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47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95,142,268</w:t>
            </w:r>
          </w:p>
        </w:tc>
        <w:tc>
          <w:tcPr>
            <w:tcW w:w="4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102,766,633</w:t>
            </w:r>
          </w:p>
        </w:tc>
        <w:tc>
          <w:tcPr>
            <w:tcW w:w="1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105,028,343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153,623,923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154,759,565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155,195,862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0.3</w:t>
            </w:r>
          </w:p>
        </w:tc>
        <w:tc>
          <w:tcPr>
            <w:tcW w:w="3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color w:val="auto"/>
              </w:rPr>
              <w:t>(1) Quarter-end balance.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30"/>
                <w:szCs w:val="30"/>
                <w:b w:val="1"/>
                <w:bCs w:val="1"/>
                <w:color w:val="auto"/>
                <w:vertAlign w:val="superscript"/>
              </w:rPr>
              <w:t>(2)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50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Sep 17</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18</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18</w:t>
            </w:r>
          </w:p>
        </w:tc>
        <w:tc>
          <w:tcPr>
            <w:tcW w:w="8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5,010,358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4,986,068</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4,559,897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w w:val="97"/>
              </w:rPr>
              <w:t>Fair value through other comprehensive income investments</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26,380,715</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23,291,981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23,516,932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4,267,588</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4,156,770</w:t>
            </w:r>
          </w:p>
        </w:tc>
        <w:tc>
          <w:tcPr>
            <w:tcW w:w="140" w:type="dxa"/>
            <w:vAlign w:val="bottom"/>
            <w:tcBorders>
              <w:right w:val="single" w:sz="8" w:color="CCEEFF"/>
            </w:tcBorders>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4,106,966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35,658,661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32,434,819</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32,183,795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names mandated by the IFRS9 norm are used in this chart. The former names, in the order presented in this chart, are: Trading securities, Investments available for sale and Investments held to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measured in quarter-end balances, maintained the pace of growth posted last quarter (+2.2%). In this scenario and given that total investments have decreased for the second consecutive quarter, loans continue to register an increase in their share of IEA, situating at 67.7% in 3Q18 vs. 66.4% in 2Q18 and 61.9% in 3Q17.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increase in quarter-end balances at Credicorp was attributable to:</w:t>
      </w:r>
    </w:p>
    <w:p>
      <w:pPr>
        <w:spacing w:after="0" w:line="225"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in Retail Banking, particularly in the Mortgage and Credit Card segments;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Wholesale Banking, which was led by Middle-Market Banking;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loans at BCP Bolivia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YoY evolution reflected an acceleration with regard to last quarter’s growth, increasing 10.4%. It is important to note that loans grew across all business segments and subsidiaries with the exception of ASB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the end of 2017, although IEAs fell -2.5%, loans registered a +4.5% increase in quarter-end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QoQ drop in Total Investments primarily reflects the sale of CDs from BCRP at BCP Stand-alone from the fair value through profit or loss investment portfolio (formerly trading securities) and from the fair value through other comprehensive income investments portfolio (formerly securities available for sale). The aforementioned was generated in a context where Mark-to-Market of investment dropped significantly due to increases in global interest rates.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due from banks fell -9.1% QoQ and -22.6% YoY due to a decrease in the balances held in banks and other companies in foreign financial systems, which were used to cover loan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shows loan composition by subsidiary and business segment measured in average daily balances, which provide a clearer picture of interest income generation relative to loans, Credicorp’s primary source of income. These balances reflect trends or variations to a different degree than quarter-end balances, which may include pre-payments or loans made at the end of the quarter, which affect average daily balances less than quarter-end balances.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general, average daily loan balances posted slightly lower QoQ growth with regard to last quarter’s figure. Nevertheless, YoY growth posted an increase for the third consecutive quarter after Wholesale Banking loans registered a recovery and loans at Retail Banking, Mibanco and BCP Bolivia reported growth.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00" w:type="dxa"/>
            <w:vAlign w:val="bottom"/>
          </w:tcPr>
          <w:p>
            <w:pPr>
              <w:spacing w:after="0"/>
              <w:rPr>
                <w:sz w:val="19"/>
                <w:szCs w:val="19"/>
                <w:color w:val="auto"/>
              </w:rPr>
            </w:pPr>
          </w:p>
        </w:tc>
        <w:tc>
          <w:tcPr>
            <w:tcW w:w="21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9"/>
              </w:rPr>
              <w:t>TOTAL LOANS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vMerge w:val="restart"/>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32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w w:val="92"/>
              </w:rPr>
              <w:t>% Part. in total loans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0" w:type="dxa"/>
            <w:vAlign w:val="bottom"/>
          </w:tcPr>
          <w:p>
            <w:pPr>
              <w:spacing w:after="0"/>
              <w:rPr>
                <w:sz w:val="19"/>
                <w:szCs w:val="19"/>
                <w:color w:val="auto"/>
              </w:rPr>
            </w:pPr>
          </w:p>
        </w:tc>
        <w:tc>
          <w:tcPr>
            <w:tcW w:w="2980" w:type="dxa"/>
            <w:vAlign w:val="bottom"/>
            <w:gridSpan w:val="7"/>
          </w:tcPr>
          <w:p>
            <w:pPr>
              <w:jc w:val="center"/>
              <w:ind w:right="180"/>
              <w:spacing w:after="0"/>
              <w:rPr>
                <w:sz w:val="20"/>
                <w:szCs w:val="20"/>
                <w:color w:val="auto"/>
              </w:rPr>
            </w:pPr>
            <w:r>
              <w:rPr>
                <w:rFonts w:ascii="Arial" w:cs="Arial" w:eastAsia="Arial" w:hAnsi="Arial"/>
                <w:sz w:val="18"/>
                <w:szCs w:val="18"/>
                <w:b w:val="1"/>
                <w:bCs w:val="1"/>
                <w:i w:val="1"/>
                <w:iCs w:val="1"/>
                <w:color w:val="auto"/>
                <w:w w:val="87"/>
              </w:rPr>
              <w:t>Expressed in million S/</w:t>
            </w:r>
          </w:p>
        </w:tc>
        <w:tc>
          <w:tcPr>
            <w:tcW w:w="10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3Q18</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77,488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85,289</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81.6%</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0" w:type="dxa"/>
            <w:vAlign w:val="bottom"/>
          </w:tcPr>
          <w:p>
            <w:pPr>
              <w:spacing w:after="0"/>
              <w:rPr>
                <w:sz w:val="1"/>
                <w:szCs w:val="1"/>
                <w:color w:val="auto"/>
              </w:rPr>
            </w:pPr>
          </w:p>
        </w:tc>
      </w:tr>
      <w:tr>
        <w:trPr>
          <w:trHeight w:val="216"/>
        </w:trPr>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40,593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44,898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44,963</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0.1%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42.7%</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25,929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27,499</w:t>
            </w:r>
          </w:p>
        </w:tc>
        <w:tc>
          <w:tcPr>
            <w:tcW w:w="1060" w:type="dxa"/>
            <w:vAlign w:val="bottom"/>
            <w:gridSpan w:val="3"/>
            <w:shd w:val="clear" w:color="auto" w:fill="FDE9D9"/>
          </w:tcPr>
          <w:p>
            <w:pPr>
              <w:jc w:val="right"/>
              <w:ind w:right="3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6.1%</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27.3%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14,664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16,393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17,464</w:t>
            </w:r>
          </w:p>
        </w:tc>
        <w:tc>
          <w:tcPr>
            <w:tcW w:w="1060" w:type="dxa"/>
            <w:vAlign w:val="bottom"/>
            <w:gridSpan w:val="3"/>
            <w:shd w:val="clear" w:color="auto" w:fill="C5D9F1"/>
          </w:tcPr>
          <w:p>
            <w:pPr>
              <w:jc w:val="right"/>
              <w:ind w:right="30"/>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19.1%</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15.4%</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36,895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39,202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40,326</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5,073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5,384</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5.3%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5D9F1"/>
          </w:tcPr>
          <w:p>
            <w:pPr>
              <w:spacing w:after="0"/>
              <w:rPr>
                <w:sz w:val="18"/>
                <w:szCs w:val="18"/>
                <w:color w:val="auto"/>
              </w:rPr>
            </w:pPr>
          </w:p>
        </w:tc>
        <w:tc>
          <w:tcPr>
            <w:tcW w:w="960" w:type="dxa"/>
            <w:vAlign w:val="bottom"/>
            <w:gridSpan w:val="2"/>
            <w:shd w:val="clear" w:color="auto" w:fill="C5D9F1"/>
          </w:tcPr>
          <w:p>
            <w:pPr>
              <w:jc w:val="right"/>
              <w:ind w:right="3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8.5%</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Mortgage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12,837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13,721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14,159</w:t>
            </w:r>
          </w:p>
        </w:tc>
        <w:tc>
          <w:tcPr>
            <w:tcW w:w="100" w:type="dxa"/>
            <w:vAlign w:val="bottom"/>
            <w:shd w:val="clear" w:color="auto" w:fill="C5D9F1"/>
          </w:tcPr>
          <w:p>
            <w:pPr>
              <w:spacing w:after="0"/>
              <w:rPr>
                <w:sz w:val="18"/>
                <w:szCs w:val="18"/>
                <w:color w:val="auto"/>
              </w:rPr>
            </w:pPr>
          </w:p>
        </w:tc>
        <w:tc>
          <w:tcPr>
            <w:tcW w:w="960" w:type="dxa"/>
            <w:vAlign w:val="bottom"/>
            <w:gridSpan w:val="2"/>
            <w:shd w:val="clear" w:color="auto" w:fill="C5D9F1"/>
          </w:tcPr>
          <w:p>
            <w:pPr>
              <w:jc w:val="right"/>
              <w:ind w:right="3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10.3%</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13.5%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7,275</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11.7%</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4,230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4,569</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8,840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9,585</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8.4%</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5,959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6,554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6,888</w:t>
            </w:r>
          </w:p>
        </w:tc>
        <w:tc>
          <w:tcPr>
            <w:tcW w:w="1060" w:type="dxa"/>
            <w:vAlign w:val="bottom"/>
            <w:gridSpan w:val="3"/>
            <w:shd w:val="clear" w:color="auto" w:fill="C5D9F1"/>
          </w:tcPr>
          <w:p>
            <w:pPr>
              <w:jc w:val="right"/>
              <w:ind w:right="10"/>
              <w:spacing w:after="0"/>
              <w:rPr>
                <w:sz w:val="20"/>
                <w:szCs w:val="20"/>
                <w:color w:val="auto"/>
              </w:rPr>
            </w:pPr>
            <w:r>
              <w:rPr>
                <w:rFonts w:ascii="Arial" w:cs="Arial" w:eastAsia="Arial" w:hAnsi="Arial"/>
                <w:sz w:val="18"/>
                <w:szCs w:val="18"/>
                <w:b w:val="1"/>
                <w:bCs w:val="1"/>
                <w:color w:val="auto"/>
              </w:rPr>
              <w:t>5.1%</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15.6%</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6.3%</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2,723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2,576</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2,551</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8"/>
                <w:szCs w:val="18"/>
                <w:b w:val="1"/>
                <w:bCs w:val="1"/>
                <w:color w:val="auto"/>
              </w:rPr>
              <w:t>BAP's total loans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95,010</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102,782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104,313</w:t>
            </w:r>
          </w:p>
        </w:tc>
        <w:tc>
          <w:tcPr>
            <w:tcW w:w="18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ind w:left="660" w:right="500" w:hanging="4"/>
        <w:spacing w:after="0" w:line="277" w:lineRule="auto"/>
        <w:tabs>
          <w:tab w:leader="none" w:pos="91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elimination of the “Others” segment (workout unit). Loans from said segment have been distributed among the other segments accordingly.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1869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by segment, QoQ growth in loans measured in average daily balances reflects:</w:t>
      </w:r>
    </w:p>
    <w:p>
      <w:pPr>
        <w:spacing w:after="0" w:line="225" w:lineRule="exact"/>
        <w:rPr>
          <w:sz w:val="20"/>
          <w:szCs w:val="20"/>
          <w:color w:val="auto"/>
        </w:rPr>
      </w:pPr>
    </w:p>
    <w:p>
      <w:pPr>
        <w:ind w:left="880" w:right="20" w:hanging="494"/>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expansion in Middle-Market Banking (6.5% QoQ) due to growth in medium- and long-term loans as well as in working capital and foreign trade loans.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growth in the Mortgage and SME-Pyme segments within Retail Banking.</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+5.1% QoQ in BCP Bolivia’s loans in 3Q18. This evolution was attributable to expansion in Corporate Banking and in the Mortgage segment (regulated portfolio).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effects were offset by a drop in Corporate Banking loans (-3.5%), which registered a contraction in working capital and foreign trade loans.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1912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11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we analyze YoY growth by segment in terms of average daily balances, we see:</w:t>
      </w:r>
    </w:p>
    <w:p>
      <w:pPr>
        <w:spacing w:after="0" w:line="225" w:lineRule="exact"/>
        <w:rPr>
          <w:sz w:val="20"/>
          <w:szCs w:val="20"/>
          <w:color w:val="auto"/>
        </w:rPr>
      </w:pPr>
    </w:p>
    <w:p>
      <w:pPr>
        <w:jc w:val="both"/>
        <w:ind w:left="880" w:hanging="494"/>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Wholesale Banking loans, both in the Middle-Market Banking sub-segment (+19.1% YoY) and in Corporate Banking (6.1% YoY). In Middle-Market Banking, growth was attributable to an increase in medium- and long-term loans while in Corporate Banking, expansion was associated with working capital and sales financing loans.</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Mortgage, Consumer and SME-Pyme segments in Retail Banking.</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880" w:right="2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BCP Bolivia loans, which reported growth of +15.6% YoY in 3Q18. This evolution was due to growth in loans in Corporate Banking and in the Mortgage segment (regulated portfolio).</w:t>
      </w:r>
    </w:p>
    <w:p>
      <w:pPr>
        <w:spacing w:after="0" w:line="170" w:lineRule="exact"/>
        <w:rPr>
          <w:rFonts w:ascii="Arial" w:cs="Arial" w:eastAsia="Arial" w:hAnsi="Arial"/>
          <w:sz w:val="18"/>
          <w:szCs w:val="18"/>
          <w:color w:val="auto"/>
        </w:rPr>
      </w:pPr>
    </w:p>
    <w:p>
      <w:pPr>
        <w:ind w:left="880" w:right="20" w:hanging="494"/>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Growth in Mibanco loans (+8.4% YoY), which was in line with an improvement in the productivity of the sales force, which has allowed us to continue rolling out a strategy based on financial inclusion (new clients in the System) and on accompanying our clients’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growth in average daily balances per segment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1912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11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average daily loan balances for the period between January and September 2018 reflect an increase of +7.7% with regard to the figure posted for the full year 2017. This growth was due primarily to loan expansion in Middle-Market Banking and Corporate Banking and, to a lesser extent, to the increase reported in loans in the Mortgage segment and at BCP Bolivia and Mibanco.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r>
        <w:rPr>
          <w:rFonts w:ascii="Arial" w:cs="Arial" w:eastAsia="Arial" w:hAnsi="Arial"/>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center"/>
              <w:ind w:right="28"/>
              <w:spacing w:after="0"/>
              <w:rPr>
                <w:sz w:val="20"/>
                <w:szCs w:val="20"/>
                <w:color w:val="auto"/>
              </w:rPr>
            </w:pPr>
            <w:r>
              <w:rPr>
                <w:rFonts w:ascii="Arial" w:cs="Arial" w:eastAsia="Arial" w:hAnsi="Arial"/>
                <w:sz w:val="14"/>
                <w:szCs w:val="14"/>
                <w:b w:val="1"/>
                <w:bCs w:val="1"/>
                <w:color w:val="auto"/>
              </w:rPr>
              <w:t>FOREIGN CURRENCY LOANS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9"/>
          </w:tcPr>
          <w:p>
            <w:pPr>
              <w:jc w:val="center"/>
              <w:ind w:right="260"/>
              <w:spacing w:after="0"/>
              <w:rPr>
                <w:sz w:val="20"/>
                <w:szCs w:val="20"/>
                <w:color w:val="auto"/>
              </w:rPr>
            </w:pPr>
            <w:r>
              <w:rPr>
                <w:rFonts w:ascii="Arial" w:cs="Arial" w:eastAsia="Arial" w:hAnsi="Arial"/>
                <w:sz w:val="14"/>
                <w:szCs w:val="14"/>
                <w:b w:val="1"/>
                <w:bCs w:val="1"/>
                <w:i w:val="1"/>
                <w:iCs w:val="1"/>
                <w:color w:val="auto"/>
                <w:w w:val="89"/>
              </w:rPr>
              <w:t>Expressed in million 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center"/>
              <w:ind w:right="8"/>
              <w:spacing w:after="0"/>
              <w:rPr>
                <w:sz w:val="20"/>
                <w:szCs w:val="20"/>
                <w:color w:val="auto"/>
              </w:rPr>
            </w:pPr>
            <w:r>
              <w:rPr>
                <w:rFonts w:ascii="Arial" w:cs="Arial" w:eastAsia="Arial" w:hAnsi="Arial"/>
                <w:sz w:val="14"/>
                <w:szCs w:val="14"/>
                <w:b w:val="1"/>
                <w:bCs w:val="1"/>
                <w:i w:val="1"/>
                <w:iCs w:val="1"/>
                <w:color w:val="auto"/>
                <w:w w:val="90"/>
              </w:rPr>
              <w:t>Expressed in million US$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9"/>
              </w:rPr>
              <w:t>3Q18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3Q18</w:t>
            </w:r>
          </w:p>
        </w:tc>
        <w:tc>
          <w:tcPr>
            <w:tcW w:w="22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3Q18</w:t>
            </w:r>
          </w:p>
        </w:tc>
        <w:tc>
          <w:tcPr>
            <w:tcW w:w="20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FC</w:t>
            </w:r>
          </w:p>
        </w:tc>
        <w:tc>
          <w:tcPr>
            <w:tcW w:w="120" w:type="dxa"/>
            <w:vAlign w:val="bottom"/>
            <w:tcBorders>
              <w:bottom w:val="single" w:sz="8" w:color="CCEEFF"/>
            </w:tcBorders>
          </w:tcPr>
          <w:p>
            <w:pPr>
              <w:spacing w:after="0"/>
              <w:rPr>
                <w:sz w:val="14"/>
                <w:szCs w:val="14"/>
                <w:color w:val="auto"/>
              </w:rPr>
            </w:pPr>
          </w:p>
        </w:tc>
      </w:tr>
      <w:tr>
        <w:trPr>
          <w:trHeight w:val="142"/>
        </w:trPr>
        <w:tc>
          <w:tcPr>
            <w:tcW w:w="1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47,243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51,227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52,659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38.3%</w:t>
            </w: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18,119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19,869</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20,149</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6,918</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7,666</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7,544</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55.2%</w:t>
            </w:r>
          </w:p>
        </w:tc>
      </w:tr>
      <w:tr>
        <w:trPr>
          <w:trHeight w:val="149"/>
        </w:trPr>
        <w:tc>
          <w:tcPr>
            <w:tcW w:w="184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Corporate</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11,148</w:t>
            </w: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11,989</w:t>
            </w:r>
          </w:p>
        </w:tc>
        <w:tc>
          <w:tcPr>
            <w:tcW w:w="7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11,775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5.6%</w:t>
            </w:r>
          </w:p>
        </w:tc>
        <w:tc>
          <w:tcPr>
            <w:tcW w:w="78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4,550</w:t>
            </w:r>
          </w:p>
        </w:tc>
        <w:tc>
          <w:tcPr>
            <w:tcW w:w="76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5,059</w:t>
            </w:r>
          </w:p>
        </w:tc>
        <w:tc>
          <w:tcPr>
            <w:tcW w:w="78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4,780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FDE9D9"/>
          </w:tcPr>
          <w:p>
            <w:pPr>
              <w:jc w:val="right"/>
              <w:spacing w:after="0" w:line="130" w:lineRule="exact"/>
              <w:rPr>
                <w:sz w:val="20"/>
                <w:szCs w:val="20"/>
                <w:color w:val="auto"/>
              </w:rPr>
            </w:pPr>
            <w:r>
              <w:rPr>
                <w:rFonts w:ascii="Arial" w:cs="Arial" w:eastAsia="Arial" w:hAnsi="Arial"/>
                <w:sz w:val="14"/>
                <w:szCs w:val="14"/>
                <w:color w:val="auto"/>
              </w:rPr>
              <w:t>-5.5%</w:t>
            </w:r>
          </w:p>
        </w:tc>
        <w:tc>
          <w:tcPr>
            <w:tcW w:w="1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5.1%</w:t>
            </w:r>
          </w:p>
        </w:tc>
        <w:tc>
          <w:tcPr>
            <w:tcW w:w="80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57.2%</w:t>
            </w:r>
          </w:p>
        </w:tc>
      </w:tr>
      <w:tr>
        <w:trPr>
          <w:trHeight w:val="149"/>
        </w:trPr>
        <w:tc>
          <w:tcPr>
            <w:tcW w:w="184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6,970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7,880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8,374</w:t>
            </w:r>
          </w:p>
        </w:tc>
        <w:tc>
          <w:tcPr>
            <w:tcW w:w="12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20.1%</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2,368</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2,607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2,763</w:t>
            </w:r>
          </w:p>
        </w:tc>
        <w:tc>
          <w:tcPr>
            <w:tcW w:w="10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16.7%</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w:t>
            </w:r>
          </w:p>
        </w:tc>
      </w:tr>
      <w:tr>
        <w:trPr>
          <w:trHeight w:val="149"/>
        </w:trPr>
        <w:tc>
          <w:tcPr>
            <w:tcW w:w="18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29,124</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31,358</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32,510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2,392</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2,402</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2,376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w:t>
            </w:r>
          </w:p>
        </w:tc>
      </w:tr>
      <w:tr>
        <w:trPr>
          <w:trHeight w:val="149"/>
        </w:trPr>
        <w:tc>
          <w:tcPr>
            <w:tcW w:w="184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2,412</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2,383</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2,484</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819</w:t>
            </w: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7.6%</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w:t>
            </w:r>
          </w:p>
        </w:tc>
      </w:tr>
      <w:tr>
        <w:trPr>
          <w:trHeight w:val="149"/>
        </w:trPr>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SME - Pyme</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7,926</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30"/>
        </w:trPr>
        <w:tc>
          <w:tcPr>
            <w:tcW w:w="1840" w:type="dxa"/>
            <w:vAlign w:val="bottom"/>
          </w:tcPr>
          <w:p>
            <w:pPr>
              <w:ind w:left="340"/>
              <w:spacing w:after="0" w:line="130" w:lineRule="exact"/>
              <w:rPr>
                <w:sz w:val="20"/>
                <w:szCs w:val="20"/>
                <w:color w:val="auto"/>
              </w:rPr>
            </w:pPr>
            <w:r>
              <w:rPr>
                <w:rFonts w:ascii="Arial" w:cs="Arial" w:eastAsia="Arial" w:hAnsi="Arial"/>
                <w:sz w:val="14"/>
                <w:szCs w:val="14"/>
                <w:color w:val="auto"/>
              </w:rPr>
              <w:t>Mortgage</w:t>
            </w:r>
          </w:p>
        </w:tc>
        <w:tc>
          <w:tcPr>
            <w:tcW w:w="82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9,635</w:t>
            </w:r>
          </w:p>
        </w:tc>
        <w:tc>
          <w:tcPr>
            <w:tcW w:w="82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10,836</w:t>
            </w:r>
          </w:p>
        </w:tc>
        <w:tc>
          <w:tcPr>
            <w:tcW w:w="76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11,328</w:t>
            </w:r>
          </w:p>
        </w:tc>
        <w:tc>
          <w:tcPr>
            <w:tcW w:w="120" w:type="dxa"/>
            <w:vAlign w:val="bottom"/>
          </w:tcPr>
          <w:p>
            <w:pPr>
              <w:spacing w:after="0"/>
              <w:rPr>
                <w:sz w:val="11"/>
                <w:szCs w:val="11"/>
                <w:color w:val="auto"/>
              </w:rPr>
            </w:pP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4.5%</w:t>
            </w:r>
          </w:p>
        </w:tc>
        <w:tc>
          <w:tcPr>
            <w:tcW w:w="100" w:type="dxa"/>
            <w:vAlign w:val="bottom"/>
            <w:shd w:val="clear" w:color="auto" w:fill="C5D9F1"/>
          </w:tcPr>
          <w:p>
            <w:pPr>
              <w:spacing w:after="0"/>
              <w:rPr>
                <w:sz w:val="11"/>
                <w:szCs w:val="11"/>
                <w:color w:val="auto"/>
              </w:rPr>
            </w:pP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17.6%</w:t>
            </w: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986</w:t>
            </w:r>
          </w:p>
        </w:tc>
        <w:tc>
          <w:tcPr>
            <w:tcW w:w="100" w:type="dxa"/>
            <w:vAlign w:val="bottom"/>
          </w:tcPr>
          <w:p>
            <w:pPr>
              <w:spacing w:after="0"/>
              <w:rPr>
                <w:sz w:val="11"/>
                <w:szCs w:val="11"/>
                <w:color w:val="auto"/>
              </w:rPr>
            </w:pPr>
          </w:p>
        </w:tc>
        <w:tc>
          <w:tcPr>
            <w:tcW w:w="6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884</w:t>
            </w:r>
          </w:p>
        </w:tc>
        <w:tc>
          <w:tcPr>
            <w:tcW w:w="100" w:type="dxa"/>
            <w:vAlign w:val="bottom"/>
          </w:tcPr>
          <w:p>
            <w:pPr>
              <w:spacing w:after="0"/>
              <w:rPr>
                <w:sz w:val="11"/>
                <w:szCs w:val="11"/>
                <w:color w:val="auto"/>
              </w:rPr>
            </w:pP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-2.6%</w:t>
            </w:r>
          </w:p>
        </w:tc>
        <w:tc>
          <w:tcPr>
            <w:tcW w:w="82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-12.7%</w:t>
            </w:r>
          </w:p>
        </w:tc>
        <w:tc>
          <w:tcPr>
            <w:tcW w:w="8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80.0%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20.0%</w:t>
            </w:r>
          </w:p>
        </w:tc>
      </w:tr>
      <w:tr>
        <w:trPr>
          <w:trHeight w:val="167"/>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Consumer</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5,469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5,963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6,111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5D9F1"/>
          </w:tcPr>
          <w:p>
            <w:pPr>
              <w:spacing w:after="0"/>
              <w:rPr>
                <w:sz w:val="14"/>
                <w:szCs w:val="14"/>
                <w:color w:val="auto"/>
              </w:rPr>
            </w:pPr>
          </w:p>
        </w:tc>
        <w:tc>
          <w:tcPr>
            <w:tcW w:w="70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49"/>
        </w:trPr>
        <w:tc>
          <w:tcPr>
            <w:tcW w:w="184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3,682</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3,801</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3,916</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17.7%</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r>
      <w:tr>
        <w:trPr>
          <w:trHeight w:val="149"/>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Mibanco</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8,331</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9,016</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9,048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b w:val="1"/>
                <w:bCs w:val="1"/>
                <w:color w:val="auto"/>
              </w:rPr>
              <w:t>Bolivia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1,834</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2,008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2,094</w:t>
            </w:r>
          </w:p>
        </w:tc>
        <w:tc>
          <w:tcPr>
            <w:tcW w:w="10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82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800" w:type="dxa"/>
            <w:vAlign w:val="bottom"/>
            <w:gridSpan w:val="3"/>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838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789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840" w:type="dxa"/>
            <w:vAlign w:val="bottom"/>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55,574</w:t>
            </w:r>
          </w:p>
        </w:tc>
        <w:tc>
          <w:tcPr>
            <w:tcW w:w="1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60,243</w:t>
            </w: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61,707</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12,138</w:t>
            </w: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13,030</w:t>
            </w:r>
          </w:p>
        </w:tc>
        <w:tc>
          <w:tcPr>
            <w:tcW w:w="1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12,952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-0.6</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59.2</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40.8</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ind w:right="28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Figures differ from previously reported due to the elimination of the “Others” segment (work-out unit). Loans from said segment have been distributed among the other segments accordingly.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analysis of loan growth by currency, QoQ and YoY expansion is due primarily to an increase in the LC-denominated portfolio (+2.4% QoQ and +11.0% YoY).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2066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20" w:firstLine="8"/>
        <w:spacing w:after="0" w:line="250" w:lineRule="auto"/>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BCP Stand-alone, the loan dollarization level fell YoY. This was mainly attributable to a strong decrease in FC loans in Corporate Banking and to growth in the LC mortgage segment, which was in turn associated with the decreasing interest rate differential between new disbursements in LC and FC loans, which was attributable to the downward and stable trend for LC and FC rates, respectively. These effects were partially mitigated by the increase in the dollarization level in SME-Business and Credit Card segments.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as is evident in the figure below, the percentage of the loan portfolio that is highly exposed to FX risk on credit risk has returned to the level posted in March 2018 after registering a slight increase last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154940</wp:posOffset>
            </wp:positionV>
            <wp:extent cx="3439160" cy="1766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916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 in US Dollars progressively at the end of June 2015, December 2015, December 2016, December 2017 and December 2018. The balances that are subject to reduction targets are the total FC portfolio with some exceptions and the balance of the joint mortgage and car loan portfolio. The balance required at the end of December 2018 is as follows: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880" w:hanging="494"/>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total portfolio in FC, the goal set for 2017 will continue to apply. In this context, the balance at the end of December 2018 must represent no more than 80% of the total loan balance in FC reported at the end of September 2013 (excluding loans that meet certain requirements.)</w:t>
      </w:r>
    </w:p>
    <w:p>
      <w:pPr>
        <w:spacing w:after="0" w:line="123" w:lineRule="exact"/>
        <w:rPr>
          <w:rFonts w:ascii="Arial" w:cs="Arial" w:eastAsia="Arial" w:hAnsi="Arial"/>
          <w:sz w:val="16"/>
          <w:szCs w:val="16"/>
          <w:color w:val="auto"/>
        </w:rPr>
      </w:pPr>
    </w:p>
    <w:p>
      <w:pPr>
        <w:ind w:left="900"/>
        <w:spacing w:after="0" w:line="277" w:lineRule="auto"/>
        <w:rPr>
          <w:rFonts w:ascii="Arial" w:cs="Arial" w:eastAsia="Arial" w:hAnsi="Arial"/>
          <w:sz w:val="16"/>
          <w:szCs w:val="16"/>
          <w:color w:val="auto"/>
        </w:rPr>
      </w:pPr>
      <w:r>
        <w:rPr>
          <w:rFonts w:ascii="Arial" w:cs="Arial" w:eastAsia="Arial" w:hAnsi="Arial"/>
          <w:sz w:val="18"/>
          <w:szCs w:val="18"/>
          <w:color w:val="auto"/>
        </w:rPr>
        <w:t>At the end of September 2018, BCP Stand-alone already registered a compliance level of 97% with regard to the goal set by BCRP for December 2018.</w:t>
      </w:r>
    </w:p>
    <w:p>
      <w:pPr>
        <w:spacing w:after="0" w:line="170" w:lineRule="exact"/>
        <w:rPr>
          <w:rFonts w:ascii="Arial" w:cs="Arial" w:eastAsia="Arial" w:hAnsi="Arial"/>
          <w:sz w:val="16"/>
          <w:szCs w:val="16"/>
          <w:color w:val="auto"/>
        </w:rPr>
      </w:pPr>
    </w:p>
    <w:p>
      <w:pPr>
        <w:jc w:val="both"/>
        <w:ind w:left="880" w:hanging="494"/>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Mortgage and Car portfolio in FC, the goal set for 2017 will continue to apply until November 2018. In December, a 10% adjustment will be made. The goal will be adjusted by 10% every year to reach a minimum of 5% of net equity. The balance at the end of December 2018 must represent no more than 60% of the balance registered at the end of February 2013.</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 the end of September 2018, BCP Stand-alone posted a compliance level with BCRP’s de-dollarization target of 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56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11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Wholesale Banking market shares are different that previously reported because loans from COFIDE are now included in the denominator.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1.1% as of August 2018 and June 2018, and of 1.0% as of September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1.5% as of August 2018, 1.6% as of June 2018, and 1.9% as of September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Shares for Corporate, Middle-market and SME-Business are as of September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August 2018, BCP Stand-alone continued to lead the market with a market share (MS) of 29.3%, which was higher than the level achieved by its closest competitor (18.2%). This level is the same as the one posted in 2Q18 and in 3Q17.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Banking reported a drop of -80 bps in its MS QoQ while Middle-Market Banking registered an increase of +60 bps. In the YoY evolution, Corporate Banking reported a drop of -50 bps in its MS while Middle-Market Banking achieved an increase of +300 pbs. It is important to note that both continue to lead their respective markets.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Retail Banking, BCP’s market share was relatively stable and it continued to lead in almost all of its segments with the exception of SME-Business and Credit Card. In these segments, BCP is situated in second place, but is focused on growing its market share, as is evident in the expansion of +230 bps YoY posted by SME-Business and the increase of +150 bps QoQ registered by the Credit Card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Mibanco reported an MS in the SME-Pyme segment that was +60 bps above that reported in 3Q17, situating at 23.0%.</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Finally, BCP Bolivia’s market share remained unchanged QoQ but grew +10 bps YoY, which allowed it to remain in fourth place in the Bolivian Financial System.</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Funding 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 the end of September 2018, total funding fell QoQ due to a decrease in the level of Due to banks and correspondents and in Total deposits. The YoY analysis shows a change in the composition of the funding structure where deposits increased their share in total funding and represented the main source of funding to replace BCRP Instruments. These factors have allowed Credicorp to maintain a relatively stable funding cost since 2016 despite a scenario marked by increase in international interest rates.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color w:val="auto"/>
              </w:rPr>
              <w:t>Funding</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Set 17</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 18</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18</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24,506,234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24,630,138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24,975,666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bearing Demand deposits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5,075,162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4,652,886</w:t>
            </w:r>
          </w:p>
        </w:tc>
        <w:tc>
          <w:tcPr>
            <w:tcW w:w="1280" w:type="dxa"/>
            <w:vAlign w:val="bottom"/>
          </w:tcPr>
          <w:p>
            <w:pPr>
              <w:jc w:val="right"/>
              <w:spacing w:after="0"/>
              <w:rPr>
                <w:sz w:val="20"/>
                <w:szCs w:val="20"/>
                <w:color w:val="auto"/>
              </w:rPr>
            </w:pPr>
            <w:r>
              <w:rPr>
                <w:rFonts w:ascii="Arial" w:cs="Arial" w:eastAsia="Arial" w:hAnsi="Arial"/>
                <w:sz w:val="18"/>
                <w:szCs w:val="18"/>
                <w:color w:val="auto"/>
              </w:rPr>
              <w:t>4,336,695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-6.8%</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26,652,822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29,709,658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30,396,175</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Time deposits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29,619,222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30,762,161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30,186,076</w:t>
            </w:r>
          </w:p>
        </w:tc>
        <w:tc>
          <w:tcPr>
            <w:tcW w:w="9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-1.9%</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6,609,242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7,275,824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6,923,829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Interest payable</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431,233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513,568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556,970</w:t>
            </w:r>
          </w:p>
        </w:tc>
        <w:tc>
          <w:tcPr>
            <w:tcW w:w="9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92,893,915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97,544,235</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97,375,411</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300" w:type="dxa"/>
            <w:vAlign w:val="bottom"/>
          </w:tcPr>
          <w:p>
            <w:pPr>
              <w:jc w:val="right"/>
              <w:spacing w:after="0"/>
              <w:rPr>
                <w:sz w:val="20"/>
                <w:szCs w:val="20"/>
                <w:color w:val="auto"/>
              </w:rPr>
            </w:pPr>
            <w:r>
              <w:rPr>
                <w:rFonts w:ascii="Arial" w:cs="Arial" w:eastAsia="Arial" w:hAnsi="Arial"/>
                <w:sz w:val="18"/>
                <w:szCs w:val="18"/>
                <w:color w:val="auto"/>
              </w:rPr>
              <w:t>8,867,185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8,057,222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7,509,183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-6.8%</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8,107,103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4,578,878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4,806,219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57"/>
        </w:trPr>
        <w:tc>
          <w:tcPr>
            <w:tcW w:w="3680" w:type="dxa"/>
            <w:vAlign w:val="bottom"/>
          </w:tcPr>
          <w:p>
            <w:pPr>
              <w:spacing w:after="0" w:line="256" w:lineRule="exact"/>
              <w:rPr>
                <w:sz w:val="20"/>
                <w:szCs w:val="20"/>
                <w:color w:val="auto"/>
              </w:rPr>
            </w:pPr>
            <w:r>
              <w:rPr>
                <w:rFonts w:ascii="Arial" w:cs="Arial" w:eastAsia="Arial" w:hAnsi="Arial"/>
                <w:sz w:val="18"/>
                <w:szCs w:val="18"/>
                <w:color w:val="auto"/>
              </w:rPr>
              <w:t xml:space="preserve">Repurchase agreements </w:t>
            </w:r>
            <w:r>
              <w:rPr>
                <w:rFonts w:ascii="Arial" w:cs="Arial" w:eastAsia="Arial" w:hAnsi="Arial"/>
                <w:sz w:val="29"/>
                <w:szCs w:val="29"/>
                <w:color w:val="auto"/>
                <w:vertAlign w:val="superscript"/>
              </w:rPr>
              <w:t>(1)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2,471,814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2,710,701</w:t>
            </w:r>
          </w:p>
        </w:tc>
        <w:tc>
          <w:tcPr>
            <w:tcW w:w="1280" w:type="dxa"/>
            <w:vAlign w:val="bottom"/>
          </w:tcPr>
          <w:p>
            <w:pPr>
              <w:jc w:val="right"/>
              <w:spacing w:after="0"/>
              <w:rPr>
                <w:sz w:val="20"/>
                <w:szCs w:val="20"/>
                <w:color w:val="auto"/>
              </w:rPr>
            </w:pPr>
            <w:r>
              <w:rPr>
                <w:rFonts w:ascii="Arial" w:cs="Arial" w:eastAsia="Arial" w:hAnsi="Arial"/>
                <w:sz w:val="18"/>
                <w:szCs w:val="18"/>
                <w:color w:val="auto"/>
              </w:rPr>
              <w:t>2,785,216</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15,236,054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15,283,893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15,194,775</w:t>
            </w:r>
          </w:p>
        </w:tc>
        <w:tc>
          <w:tcPr>
            <w:tcW w:w="9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line="269" w:lineRule="exact"/>
              <w:rPr>
                <w:sz w:val="20"/>
                <w:szCs w:val="20"/>
                <w:color w:val="auto"/>
              </w:rPr>
            </w:pPr>
            <w:r>
              <w:rPr>
                <w:rFonts w:ascii="Arial" w:cs="Arial" w:eastAsia="Arial" w:hAnsi="Arial"/>
                <w:sz w:val="18"/>
                <w:szCs w:val="18"/>
                <w:b w:val="1"/>
                <w:bCs w:val="1"/>
                <w:color w:val="auto"/>
              </w:rPr>
              <w:t xml:space="preserve">Total funding </w:t>
            </w:r>
            <w:r>
              <w:rPr>
                <w:rFonts w:ascii="Arial" w:cs="Arial" w:eastAsia="Arial" w:hAnsi="Arial"/>
                <w:sz w:val="30"/>
                <w:szCs w:val="30"/>
                <w:b w:val="1"/>
                <w:bCs w:val="1"/>
                <w:color w:val="auto"/>
                <w:vertAlign w:val="superscript"/>
              </w:rPr>
              <w:t>(2)</w:t>
            </w: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vMerge w:val="continue"/>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127,576,071</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128,174,929</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127,670,804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4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Since 2Q18, repurchase agreements is excluded from Other liabilities and shown in a individual account. Also, it is included in the Total funding.</w:t>
      </w:r>
    </w:p>
    <w:p>
      <w:pPr>
        <w:spacing w:after="0" w:line="34" w:lineRule="exact"/>
        <w:rPr>
          <w:rFonts w:ascii="Arial" w:cs="Arial" w:eastAsia="Arial" w:hAnsi="Arial"/>
          <w:sz w:val="17"/>
          <w:szCs w:val="17"/>
          <w:color w:val="auto"/>
        </w:rPr>
      </w:pPr>
    </w:p>
    <w:p>
      <w:pPr>
        <w:ind w:right="4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1Q18, Total Funding excludes the following accounts: acceptances outstanding, reserves for property and casualty claims, reserve for unearned premiums, reinsurance payable and other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2607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611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8"/>
        <w:spacing w:after="0" w:line="308" w:lineRule="auto"/>
        <w:tabs>
          <w:tab w:leader="none" w:pos="2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funding cost differs from previously reported due to the methodology change of the denominator, which do not include the following accounts: acceptances outstanding, reserves for property and casualty claims, reserve for unearned premiums, reinsurance payable and other liabilities.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figure depicting the evolution of Credicorp’s structure and funding cost is calculated with period-end balances. The funding structure mainly reflects:</w:t>
      </w:r>
    </w:p>
    <w:p>
      <w:pPr>
        <w:spacing w:after="0" w:line="237" w:lineRule="exact"/>
        <w:rPr>
          <w:sz w:val="20"/>
          <w:szCs w:val="20"/>
          <w:color w:val="auto"/>
        </w:rPr>
      </w:pPr>
    </w:p>
    <w:p>
      <w:pPr>
        <w:jc w:val="both"/>
        <w:ind w:left="880" w:hanging="494"/>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importance of deposits in the funding sources, whose share of total funding continued to increase QoQ and YoY despite the slight QoQ contraction in the volume of total deposits. It is important to note that the contraction QoQ is mainly due to a reduction in deposits at ASB, which in turn reflects the decision from clients to transfer those funds to AuMs in the same subsidiary.</w:t>
      </w:r>
    </w:p>
    <w:p>
      <w:pPr>
        <w:spacing w:after="0" w:line="181" w:lineRule="exact"/>
        <w:rPr>
          <w:rFonts w:ascii="Arial" w:cs="Arial" w:eastAsia="Arial" w:hAnsi="Arial"/>
          <w:sz w:val="18"/>
          <w:szCs w:val="18"/>
          <w:color w:val="auto"/>
        </w:rPr>
      </w:pPr>
    </w:p>
    <w:p>
      <w:pPr>
        <w:ind w:left="880" w:right="20" w:hanging="494"/>
        <w:spacing w:after="0" w:line="308"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deposit mix continues to register a significant share of savings deposits and non-interest-bearing demand deposits, which represent 57% of total deposits (in 2Q18, these deposits accounted for 56% of the total) and offer lower cost than any other type of deposit.</w:t>
      </w:r>
    </w:p>
    <w:p>
      <w:pPr>
        <w:spacing w:after="0" w:line="146" w:lineRule="exact"/>
        <w:rPr>
          <w:rFonts w:ascii="Arial" w:cs="Arial" w:eastAsia="Arial" w:hAnsi="Arial"/>
          <w:sz w:val="17"/>
          <w:szCs w:val="17"/>
          <w:color w:val="auto"/>
        </w:rPr>
      </w:pPr>
    </w:p>
    <w:p>
      <w:pPr>
        <w:jc w:val="both"/>
        <w:ind w:left="880" w:hanging="494"/>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other funding sources, an on-going drop in the volume of BCRP instruments is evident in the YoY evolution and it is important to note that these instruments have mainly been replaced by low-cost deposits. However, the QoQ analysis shows an increase in the level of BCRP instruments, which is within the business-as-usual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has allowed the funding cost to remain relatively stable since December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Sep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24,506,234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24,630,138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24,975,666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5,075,162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4,652,886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4,336,695</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-6.8%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26,652,822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29,709,658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30,396,175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29,619,222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30,762,161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30,186,076</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6,609,242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7,275,824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6,923,829</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431,233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513,568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556,970</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29.2%</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6"/>
              </w:rPr>
              <w:t>92,893,915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97,544,235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97,375,411</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fell slightly QoQ. The deposit mix shows that:</w:t>
      </w:r>
    </w:p>
    <w:p>
      <w:pPr>
        <w:spacing w:after="0" w:line="225" w:lineRule="exact"/>
        <w:rPr>
          <w:sz w:val="20"/>
          <w:szCs w:val="20"/>
          <w:color w:val="auto"/>
        </w:rPr>
      </w:pPr>
    </w:p>
    <w:p>
      <w:pPr>
        <w:ind w:left="880" w:hanging="494"/>
        <w:spacing w:after="0" w:line="282"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increased mainly through savings accounts opened at Kiosks, which are cost-efficient, self-service platforms that allow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to open a savings account in 3 minutes.</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Non-interest-bearing demand deposits </w:t>
      </w:r>
      <w:r>
        <w:rPr>
          <w:rFonts w:ascii="Arial" w:cs="Arial" w:eastAsia="Arial" w:hAnsi="Arial"/>
          <w:sz w:val="17"/>
          <w:szCs w:val="17"/>
          <w:color w:val="auto"/>
        </w:rPr>
        <w:t>reported a slight increase after current accounts for Wholesale Banking clients posted growth.</w:t>
      </w:r>
    </w:p>
    <w:p>
      <w:pPr>
        <w:spacing w:after="0" w:line="236" w:lineRule="exact"/>
        <w:rPr>
          <w:rFonts w:ascii="Arial" w:cs="Arial" w:eastAsia="Arial" w:hAnsi="Arial"/>
          <w:sz w:val="17"/>
          <w:szCs w:val="17"/>
          <w:color w:val="auto"/>
        </w:rPr>
      </w:pPr>
    </w:p>
    <w:p>
      <w:pPr>
        <w:ind w:left="880" w:hanging="49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Time Deposits and Severance indemnity deposits, </w:t>
      </w:r>
      <w:r>
        <w:rPr>
          <w:rFonts w:ascii="Arial" w:cs="Arial" w:eastAsia="Arial" w:hAnsi="Arial"/>
          <w:sz w:val="18"/>
          <w:szCs w:val="18"/>
          <w:color w:val="auto"/>
        </w:rPr>
        <w:t>which are high-cost deposits, posted a decrease QoQ due to:</w:t>
      </w:r>
    </w:p>
    <w:p>
      <w:pPr>
        <w:spacing w:after="0" w:line="225" w:lineRule="exact"/>
        <w:rPr>
          <w:rFonts w:ascii="Arial" w:cs="Arial" w:eastAsia="Arial" w:hAnsi="Arial"/>
          <w:sz w:val="18"/>
          <w:szCs w:val="18"/>
          <w:color w:val="auto"/>
        </w:rPr>
      </w:pPr>
    </w:p>
    <w:p>
      <w:pPr>
        <w:jc w:val="both"/>
        <w:ind w:left="1280" w:hanging="381"/>
        <w:spacing w:after="0" w:line="266"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Time deposits</w:t>
      </w:r>
      <w:r>
        <w:rPr>
          <w:rFonts w:ascii="Arial" w:cs="Arial" w:eastAsia="Arial" w:hAnsi="Arial"/>
          <w:sz w:val="18"/>
          <w:szCs w:val="18"/>
          <w:color w:val="auto"/>
        </w:rPr>
        <w:t>: a decrease in balances for deposits in the financial system and in institutional banking at BCP Stand-alone and, to a lesser</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at ASB. The latter showed a contraction in the volume of deposits after funds were used to purchase investment products (off-balance sheet assets that ASB manages).</w:t>
      </w:r>
    </w:p>
    <w:p>
      <w:pPr>
        <w:spacing w:after="0" w:line="176" w:lineRule="exact"/>
        <w:rPr>
          <w:rFonts w:ascii="Arial" w:cs="Arial" w:eastAsia="Arial" w:hAnsi="Arial"/>
          <w:sz w:val="18"/>
          <w:szCs w:val="18"/>
          <w:color w:val="auto"/>
        </w:rPr>
      </w:pPr>
    </w:p>
    <w:p>
      <w:pPr>
        <w:ind w:left="1280" w:right="20" w:hanging="381"/>
        <w:spacing w:after="0" w:line="282"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Severance indemnity deposits</w:t>
      </w:r>
      <w:r>
        <w:rPr>
          <w:rFonts w:ascii="Arial" w:cs="Arial" w:eastAsia="Arial" w:hAnsi="Arial"/>
          <w:sz w:val="18"/>
          <w:szCs w:val="18"/>
          <w:color w:val="auto"/>
        </w:rPr>
        <w:t>, which contracted after clients withdrew available funds corresponding to deposits made in 2Q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Severance indemnity payment of the year is deposited; this reflects the seasonality of this component).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w:t>
      </w:r>
      <w:r>
        <w:rPr>
          <w:rFonts w:ascii="Arial" w:cs="Arial" w:eastAsia="Arial" w:hAnsi="Arial"/>
          <w:sz w:val="18"/>
          <w:szCs w:val="18"/>
          <w:color w:val="auto"/>
        </w:rPr>
        <w:t xml:space="preserve"> terms, total Deposits increased +4.8%, mainly due to:</w:t>
      </w:r>
    </w:p>
    <w:p>
      <w:pPr>
        <w:spacing w:after="0" w:line="225" w:lineRule="exact"/>
        <w:rPr>
          <w:sz w:val="20"/>
          <w:szCs w:val="20"/>
          <w:color w:val="auto"/>
        </w:rPr>
      </w:pPr>
    </w:p>
    <w:p>
      <w:pPr>
        <w:ind w:left="880" w:hanging="494"/>
        <w:spacing w:after="0" w:line="282"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Savings deposits</w:t>
      </w:r>
      <w:r>
        <w:rPr>
          <w:rFonts w:ascii="Arial" w:cs="Arial" w:eastAsia="Arial" w:hAnsi="Arial"/>
          <w:sz w:val="18"/>
          <w:szCs w:val="18"/>
          <w:color w:val="auto"/>
        </w:rPr>
        <w:t>, whose growth reflects the results of campaigns to capture savings, mainly through digital channels, which have registered high</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acceptance among BCP Stand-alone’s clients.</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Increase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at Mibanco due to an on-going campaign to capture stable and retail funding.</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Non-interest bearing deposits </w:t>
      </w:r>
      <w:r>
        <w:rPr>
          <w:rFonts w:ascii="Arial" w:cs="Arial" w:eastAsia="Arial" w:hAnsi="Arial"/>
          <w:sz w:val="18"/>
          <w:szCs w:val="18"/>
          <w:color w:val="auto"/>
        </w:rPr>
        <w:t>due to an increase in the average balance of current accounts held by Wholesale Banking clients.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90170</wp:posOffset>
            </wp:positionV>
            <wp:extent cx="3275965" cy="130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5965"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79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611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dollarization level of Credicorp’s deposits fell QoQ due to a contraction in the FC volumes of all deposit types. This decrease in FC was primarily attributable to time deposits and demand deposits</w:t>
      </w:r>
      <w:r>
        <w:rPr>
          <w:rFonts w:ascii="Arial" w:cs="Arial" w:eastAsia="Arial" w:hAnsi="Arial"/>
          <w:sz w:val="30"/>
          <w:szCs w:val="30"/>
          <w:color w:val="auto"/>
          <w:vertAlign w:val="superscript"/>
        </w:rPr>
        <w:t>(1)</w:t>
      </w:r>
      <w:r>
        <w:rPr>
          <w:rFonts w:ascii="Arial" w:cs="Arial" w:eastAsia="Arial" w:hAnsi="Arial"/>
          <w:sz w:val="18"/>
          <w:szCs w:val="18"/>
          <w:color w:val="auto"/>
        </w:rPr>
        <w:t>. The aforementioned was accentuated by the increase in almost all deposit types in LC with the exception of Severance indemnity deposits.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reveals a similar trend toward a drop in the dollarization level of total deposits, in line with growth in savings deposits and time deposits in LC. All the aforementioned reflected Credicorp’s interest in maintaining an adequate match between assets and liabilities by currency that is in accordance with Credicorp’s appetite.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0"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Includes interest-bearing and non-interest bearing demand deposits.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2298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Demand deposits includes Mibanco's market share of 0.2% at the end of September 2017 and of 0.1% at the end of June 2018 and August 2018.</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Savings deposits includes Mibanco's market share of 1.3% at the end of September 2017 and June 2018 and of 1.2% at the end of August 2018.</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Time deposits includes Mibanco's market share of 5.7% at the end of September 2017 and of 6.3% at the end of June 2018 and August 2018.</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Severance indemnity deposits includes Mibanco's market share of 1.3% at the end of September 2017 and 1.2% at the end of June 2018 and August 2018.</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August 2018, the subsidiaries of Credicorp in Peru, BCP and Mibanco, continued to lead in total deposits with a market share (MS) of 32.0%, which topped the MS of 19.1% reported by Credicorp’s closest competitor.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total MS remained stable in comparison to the figure posted at the end of September 2017 (32.2%). It is important to note that Mibanco continued to increase its market share of time deposits, which was situated at 6.3% (+66 bps) at the end of August 2018 versus 5.7% at the end of September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 MS of 9.9% at the end of September 2018 in comparison to 10.0% at the end of June 2018. In the YoY analysis, the MS remained stable in comparison to September 2017 (9.9%).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Set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8,867,185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8,057,222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7,509,183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8,107,103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4,578,878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4,806,219</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2,471,814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2,710,701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2,785,216</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15,236,054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15,283,893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15,194,775</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-0.2%</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34,682,156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30,630,694</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30,295,393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of other sources of funding fell -1.1% QoQ. This was primarily due to a decrease in the level of Due to banks and correspondents and, to a lesser extent, to the drop in Bonds and subordinated debt. All of the aforementioned was offset by an increase in BCRP Instruments.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contracted QoQ due to a drop in the level of due-to banks with foreign banks and interbank funds, mainly through BCP</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right="5800"/>
        <w:spacing w:after="0" w:line="266"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posted expansion QoQ due to an increase in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repos; as expected, the level of substitution and expansion repos with BCRP fell.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-424815</wp:posOffset>
            </wp:positionV>
            <wp:extent cx="2830195" cy="1612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3019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18"/>
          <w:szCs w:val="18"/>
          <w:color w:val="auto"/>
        </w:rPr>
        <w:t>grew QoQ and YoY due to an increase in volumes through ASB and BCP Stand-alone.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Bonds and subordinated debt </w:t>
      </w:r>
      <w:r>
        <w:rPr>
          <w:rFonts w:ascii="Arial" w:cs="Arial" w:eastAsia="Arial" w:hAnsi="Arial"/>
          <w:sz w:val="17"/>
          <w:szCs w:val="17"/>
          <w:color w:val="auto"/>
        </w:rPr>
        <w:t>posted a slight decrease due to the expiration of a corporate bond in LC at Mibanco; the bond expired in July 2018.</w:t>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 the YoY evolution, </w:t>
      </w:r>
      <w:r>
        <w:rPr>
          <w:rFonts w:ascii="Arial" w:cs="Arial" w:eastAsia="Arial" w:hAnsi="Arial"/>
          <w:sz w:val="18"/>
          <w:szCs w:val="18"/>
          <w:color w:val="auto"/>
        </w:rPr>
        <w:t>the on-going reduction of BCRP Instruments continued to be noteworthy; these instruments have been replaced by deposits with</w:t>
      </w:r>
      <w:r>
        <w:rPr>
          <w:rFonts w:ascii="Arial" w:cs="Arial" w:eastAsia="Arial" w:hAnsi="Arial"/>
          <w:sz w:val="18"/>
          <w:szCs w:val="18"/>
          <w:b w:val="1"/>
          <w:bCs w:val="1"/>
          <w:color w:val="auto"/>
        </w:rPr>
        <w:t xml:space="preserve"> </w:t>
      </w:r>
      <w:r>
        <w:rPr>
          <w:rFonts w:ascii="Arial" w:cs="Arial" w:eastAsia="Arial" w:hAnsi="Arial"/>
          <w:sz w:val="18"/>
          <w:szCs w:val="18"/>
          <w:color w:val="auto"/>
        </w:rPr>
        <w:t>shorter tenures, as indicated in section 2.2 Deposits.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154940</wp:posOffset>
            </wp:positionV>
            <wp:extent cx="4159250" cy="1509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5925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L/D ratio at Credicorp increased QoQ to situate at 107.9%. This was due to loan growth QoQ in an scenario in which deposits slightly contracted (+2.2% vs -0.2%, respectively). In the analysis by subsidiary, BCP Stand-alone posted an increase in its L/D ratio in line with the trend seen at Credicorp. This contrasted with the Mibanco’s L/D ratio, which fell 430 bps QoQ, which was due to growth in total deposits in a context in which loan, measured in quarter-end balances, slightly contracted.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ind w:right="80"/>
        <w:spacing w:after="0"/>
        <w:rPr>
          <w:sz w:val="20"/>
          <w:szCs w:val="20"/>
          <w:color w:val="auto"/>
        </w:rPr>
      </w:pPr>
      <w:r>
        <w:rPr>
          <w:rFonts w:ascii="Arial" w:cs="Arial" w:eastAsia="Arial" w:hAnsi="Arial"/>
          <w:sz w:val="18"/>
          <w:szCs w:val="18"/>
          <w:b w:val="1"/>
          <w:bCs w:val="1"/>
          <w:color w:val="auto"/>
        </w:rPr>
        <w:t>Loan / Deposit Ratio by Currency</w:t>
      </w:r>
    </w:p>
    <w:p>
      <w:pPr>
        <w:spacing w:after="0" w:line="252" w:lineRule="exact"/>
        <w:rPr>
          <w:sz w:val="20"/>
          <w:szCs w:val="20"/>
          <w:color w:val="auto"/>
        </w:rPr>
      </w:pPr>
    </w:p>
    <w:p>
      <w:pPr>
        <w:ind w:left="220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6534785" cy="1414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478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QoQ analysis by currency, a drop is evident in Credicorp’s L/D ratio. This was due to the increase in LC deposits that outpaced the growth posted in LC loans. The L/D ratio in FC reported an increase of 390 bps, which is mainly explained by the contraction in FC deposits at BCP Stand-alone.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YoY analysis reveals an increase in both the L/D ratio in LC and in FC at Credicorp. Both increases were attributable to loan growth, which outpaced the increase in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Credicorp’s funding cost was relatively stable and increased only 2 bps QoQ; 0 bps YoY. The accumulated result registered a significant drop of 12 bps.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 Credicorp</w:t>
      </w:r>
    </w:p>
    <w:p>
      <w:pPr>
        <w:spacing w:after="0" w:line="225" w:lineRule="exact"/>
        <w:rPr>
          <w:sz w:val="20"/>
          <w:szCs w:val="20"/>
          <w:color w:val="auto"/>
        </w:rPr>
      </w:pPr>
    </w:p>
    <w:p>
      <w:pPr>
        <w:ind w:left="3300"/>
        <w:spacing w:after="0"/>
        <w:tabs>
          <w:tab w:leader="none" w:pos="8860" w:val="left"/>
        </w:tabs>
        <w:rPr>
          <w:sz w:val="20"/>
          <w:szCs w:val="20"/>
          <w:color w:val="auto"/>
        </w:rPr>
      </w:pPr>
      <w:r>
        <w:rPr>
          <w:rFonts w:ascii="Arial" w:cs="Arial" w:eastAsia="Arial" w:hAnsi="Arial"/>
          <w:sz w:val="18"/>
          <w:szCs w:val="18"/>
          <w:b w:val="1"/>
          <w:bCs w:val="1"/>
          <w:color w:val="auto"/>
        </w:rPr>
        <w:t>At the quarter level</w:t>
      </w:r>
      <w:r>
        <w:rPr>
          <w:sz w:val="20"/>
          <w:szCs w:val="20"/>
          <w:color w:val="auto"/>
        </w:rPr>
        <w:tab/>
      </w:r>
      <w:r>
        <w:rPr>
          <w:rFonts w:ascii="Arial" w:cs="Arial" w:eastAsia="Arial" w:hAnsi="Arial"/>
          <w:sz w:val="16"/>
          <w:szCs w:val="16"/>
          <w:b w:val="1"/>
          <w:bCs w:val="1"/>
          <w:color w:val="auto"/>
        </w:rPr>
        <w:t>At the accumulated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972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611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QoQ evolution was attributable primarily to:</w:t>
      </w:r>
    </w:p>
    <w:p>
      <w:pPr>
        <w:spacing w:after="0" w:line="225" w:lineRule="exact"/>
        <w:rPr>
          <w:sz w:val="20"/>
          <w:szCs w:val="20"/>
          <w:color w:val="auto"/>
        </w:rPr>
      </w:pPr>
    </w:p>
    <w:p>
      <w:pPr>
        <w:ind w:left="880" w:right="20" w:hanging="49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more favorable funding mix because the volume of high-cost funding sources such as Due to banks &amp; correspondents, Time deposits and Severance indemnity deposits, contracted.</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more favorable deposit mix because low-cost deposits, such as savings and non-interest-bearing demand deposits expanded, while high-cost deposits contracted.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funding cost remained stable in line with the re-composition of the funding structure, where deposited posted a significant increase in their share of total funding (76.3% in 3Q18, 76.1% 2Q18 and 72.8% in 3Q17) effectively replacing BCRP Instruments; this substitution implied a shift to lower cost funding.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the accumulated analysis, the funding cost reflects:</w:t>
      </w:r>
    </w:p>
    <w:p>
      <w:pPr>
        <w:spacing w:after="0" w:line="225" w:lineRule="exact"/>
        <w:rPr>
          <w:sz w:val="20"/>
          <w:szCs w:val="20"/>
          <w:color w:val="auto"/>
        </w:rPr>
      </w:pPr>
    </w:p>
    <w:p>
      <w:pPr>
        <w:ind w:left="880" w:hanging="49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efforts to obtain low-cost funding, mainly in LC, coupled with an on-going drop in interest rates in LC, which had a positive impact on the funding cost;</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on-going drop in funding in FC, which reduced the impact of the upward tren in international interest rates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the aforementioned translated into a decrease of 12 bps in the 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per subsidiary is shown in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1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BCP</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BCP</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Stand-alone</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Mibanco</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Bolivia</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ASB</w:t>
            </w:r>
          </w:p>
        </w:tc>
        <w:tc>
          <w:tcPr>
            <w:tcW w:w="160" w:type="dxa"/>
            <w:vAlign w:val="bottom"/>
            <w:tcBorders>
              <w:bottom w:val="single" w:sz="8" w:color="CCEEFF"/>
            </w:tcBorders>
          </w:tcPr>
          <w:p>
            <w:pPr>
              <w:spacing w:after="0"/>
              <w:rPr>
                <w:sz w:val="20"/>
                <w:szCs w:val="20"/>
                <w:color w:val="auto"/>
              </w:rPr>
            </w:pPr>
          </w:p>
        </w:tc>
      </w:tr>
      <w:tr>
        <w:trPr>
          <w:trHeight w:val="210"/>
        </w:trPr>
        <w:tc>
          <w:tcPr>
            <w:tcW w:w="3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3Q17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5"/>
              </w:rPr>
              <w:t>2Q18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3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3Q18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YTD - Sep 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10"/>
        </w:trPr>
        <w:tc>
          <w:tcPr>
            <w:tcW w:w="31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YTD - Sep 18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98" w:lineRule="exact"/>
        <w:rPr>
          <w:sz w:val="20"/>
          <w:szCs w:val="20"/>
          <w:color w:val="auto"/>
        </w:rPr>
      </w:pPr>
    </w:p>
    <w:p>
      <w:pPr>
        <w:jc w:val="both"/>
        <w:ind w:left="880" w:hanging="494"/>
        <w:spacing w:after="0" w:line="266"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increased 3 bps QoQ. This was due primarily to a decrease in the level of FC deposits and Due to banks and correspondents at the end of 3Q18. Both events led to a scenario in which the drop in the volume of funding sources was more significant than the decrease in expenses, as explained earlier. Consequently, the funding cost increased.</w:t>
      </w:r>
    </w:p>
    <w:p>
      <w:pPr>
        <w:spacing w:after="0" w:line="176" w:lineRule="exact"/>
        <w:rPr>
          <w:rFonts w:ascii="Arial" w:cs="Arial" w:eastAsia="Arial" w:hAnsi="Arial"/>
          <w:sz w:val="18"/>
          <w:szCs w:val="18"/>
          <w:color w:val="auto"/>
        </w:rPr>
      </w:pPr>
    </w:p>
    <w:p>
      <w:pPr>
        <w:ind w:left="880" w:hanging="494"/>
        <w:spacing w:after="0" w:line="282"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which experienced upward pressure from 2014-2017, stabilized in 2017 and fell in 2018, mainly due to the downward trend in Soles interest rates and the increase in the share of deposits in Mibanco’s funding mix.</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continued to increase QoQ, which was attributable to an increase in interest on deposits.</w:t>
      </w:r>
    </w:p>
    <w:p>
      <w:pPr>
        <w:spacing w:after="0" w:line="296" w:lineRule="exact"/>
        <w:rPr>
          <w:rFonts w:ascii="Arial" w:cs="Arial" w:eastAsia="Arial" w:hAnsi="Arial"/>
          <w:sz w:val="18"/>
          <w:szCs w:val="18"/>
          <w:color w:val="auto"/>
        </w:rPr>
      </w:pPr>
    </w:p>
    <w:p>
      <w:pPr>
        <w:jc w:val="both"/>
        <w:ind w:firstLine="8"/>
        <w:spacing w:after="0" w:line="226" w:lineRule="auto"/>
        <w:tabs>
          <w:tab w:leader="none" w:pos="236" w:val="left"/>
        </w:tabs>
        <w:numPr>
          <w:ilvl w:val="0"/>
          <w:numId w:val="26"/>
        </w:numPr>
        <w:rPr>
          <w:rFonts w:ascii="Arial" w:cs="Arial" w:eastAsia="Arial" w:hAnsi="Arial"/>
          <w:sz w:val="27"/>
          <w:szCs w:val="27"/>
          <w:color w:val="auto"/>
          <w:vertAlign w:val="superscript"/>
        </w:rPr>
      </w:pPr>
      <w:r>
        <w:rPr>
          <w:rFonts w:ascii="Arial" w:cs="Arial" w:eastAsia="Arial" w:hAnsi="Arial"/>
          <w:sz w:val="17"/>
          <w:szCs w:val="17"/>
          <w:color w:val="auto"/>
        </w:rPr>
        <w:t>The funding costs differs from previously reported levels due to a change in the methodology to calculate the denominator, which no longer includes: outstanding account acceptances, reserves for property and casualty claims, reserve for unearned premiums, reinsurance payable and other liabilities. Since 2Q18, the account "Repurchase agreement" was excluded from Other liabilities and was included in the calculation of Total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Although the cost of risk (CofR) for the underlying portfolio (1.43%) remained within the range reported in 1H18, the total CofR increased QoQ and YoY to situate at 1.67%. This increase reflects the execution of a performance bond and the consequent refinancing for a specific client in the construction sector (not related to the Lava Jato case). In accumulated terms, the cost of risk was situated at 1.43%, which was 46 bps lower than the level reported for the same period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127635</wp:posOffset>
            </wp:positionV>
            <wp:extent cx="4905375" cy="2272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0537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w w:val="91"/>
              </w:rPr>
              <w:t>Provisions for loan losses, net of recoveries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r>
      <w:tr>
        <w:trPr>
          <w:trHeight w:val="171"/>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3Q17</w:t>
            </w: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2Q18</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QoQ</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18</w:t>
            </w: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Sep 18 / Sep 17</w:t>
            </w:r>
          </w:p>
        </w:tc>
        <w:tc>
          <w:tcPr>
            <w:tcW w:w="140" w:type="dxa"/>
            <w:vAlign w:val="bottom"/>
            <w:tcBorders>
              <w:bottom w:val="single" w:sz="8" w:color="CCEEFF"/>
            </w:tcBorders>
          </w:tcPr>
          <w:p>
            <w:pPr>
              <w:spacing w:after="0"/>
              <w:rPr>
                <w:sz w:val="14"/>
                <w:szCs w:val="14"/>
                <w:color w:val="auto"/>
              </w:rPr>
            </w:pPr>
          </w:p>
        </w:tc>
      </w:tr>
      <w:tr>
        <w:trPr>
          <w:trHeight w:val="142"/>
        </w:trPr>
        <w:tc>
          <w:tcPr>
            <w:tcW w:w="2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Provisions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(447,504)</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(385,131)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(511,710)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0"/>
              </w:rPr>
              <w:t>32.9%</w:t>
            </w:r>
          </w:p>
        </w:tc>
        <w:tc>
          <w:tcPr>
            <w:tcW w:w="5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0"/>
              </w:rPr>
              <w:t>14.3%</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(1,547,704)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(1,335,714)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-13.7%</w:t>
            </w: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Loan loss recoveries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69,302</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71,959</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72,152</w:t>
            </w:r>
          </w:p>
        </w:tc>
        <w:tc>
          <w:tcPr>
            <w:tcW w:w="5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5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199,789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211,960</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w:t>
            </w:r>
          </w:p>
        </w:tc>
      </w:tr>
      <w:tr>
        <w:trPr>
          <w:trHeight w:val="162"/>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3"/>
              </w:rPr>
              <w:t>Provision for loan losses, net of recoveries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(378,202)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(313,172)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(439,558)</w:t>
            </w:r>
          </w:p>
        </w:tc>
        <w:tc>
          <w:tcPr>
            <w:tcW w:w="5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40.4%</w:t>
            </w:r>
          </w:p>
        </w:tc>
        <w:tc>
          <w:tcPr>
            <w:tcW w:w="5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(1,347,915)</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(1,123,754)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shows an increase of 40.4% in </w:t>
      </w:r>
      <w:r>
        <w:rPr>
          <w:rFonts w:ascii="Arial" w:cs="Arial" w:eastAsia="Arial" w:hAnsi="Arial"/>
          <w:sz w:val="18"/>
          <w:szCs w:val="18"/>
          <w:b w:val="1"/>
          <w:bCs w:val="1"/>
          <w:color w:val="auto"/>
        </w:rPr>
        <w:t>provisions for loan losses, net of recoveries</w:t>
      </w:r>
      <w:r>
        <w:rPr>
          <w:rFonts w:ascii="Arial" w:cs="Arial" w:eastAsia="Arial" w:hAnsi="Arial"/>
          <w:sz w:val="18"/>
          <w:szCs w:val="18"/>
          <w:color w:val="auto"/>
        </w:rPr>
        <w:t>. This was attributable to:</w:t>
      </w:r>
    </w:p>
    <w:p>
      <w:pPr>
        <w:spacing w:after="0" w:line="229" w:lineRule="exact"/>
        <w:rPr>
          <w:sz w:val="20"/>
          <w:szCs w:val="20"/>
          <w:color w:val="auto"/>
        </w:rPr>
      </w:pPr>
    </w:p>
    <w:p>
      <w:pPr>
        <w:ind w:left="1040" w:hanging="65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provisions for loan losses, which was associated with the execution of a performance bond and the consequent refinancing for a specific Corporate Banking client from the construction sector (not related to the Lava Jato case).</w:t>
      </w:r>
    </w:p>
    <w:p>
      <w:pPr>
        <w:spacing w:after="0" w:line="170" w:lineRule="exact"/>
        <w:rPr>
          <w:rFonts w:ascii="Arial" w:cs="Arial" w:eastAsia="Arial" w:hAnsi="Arial"/>
          <w:sz w:val="18"/>
          <w:szCs w:val="18"/>
          <w:color w:val="auto"/>
        </w:rPr>
      </w:pPr>
    </w:p>
    <w:p>
      <w:pPr>
        <w:jc w:val="both"/>
        <w:ind w:left="1040" w:hanging="654"/>
        <w:spacing w:after="0" w:line="25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provisions for loan losses at Mibanco that was necessary due to (a) a higher-than-expected level of delinquency in some products, which in turn reflected the effects of some initiatives introduced some quarters ago; (b) the imbalance in the time-allocation of loan-officers to loan origination and collections; and in a lesser extent to (c) the maturity of the last vintages of the Skip program related to the El Nino Phenomenon. As of today, we have implemented most of the adjustments to fine-tune the balance between loan origination and collections.</w:t>
      </w:r>
    </w:p>
    <w:p>
      <w:pPr>
        <w:spacing w:after="0" w:line="188" w:lineRule="exact"/>
        <w:rPr>
          <w:rFonts w:ascii="Arial" w:cs="Arial" w:eastAsia="Arial" w:hAnsi="Arial"/>
          <w:sz w:val="18"/>
          <w:szCs w:val="18"/>
          <w:color w:val="auto"/>
        </w:rPr>
      </w:pPr>
    </w:p>
    <w:p>
      <w:pPr>
        <w:ind w:left="1040" w:hanging="65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required due to loan origination and the maturity of new vintages, mainly at BCP.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of the aforementioned was partially offset by the improvement in portfolio quality of the Retail Banking segments, mainly in Consumer and Credit Card.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YoY analysis</w:t>
      </w:r>
      <w:r>
        <w:rPr>
          <w:rFonts w:ascii="Arial" w:cs="Arial" w:eastAsia="Arial" w:hAnsi="Arial"/>
          <w:sz w:val="18"/>
          <w:szCs w:val="18"/>
          <w:color w:val="auto"/>
        </w:rPr>
        <w:t>, provisions for loan losses net recoveries increased +16.2%, in line with explain outlined above.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 the YTD analysis</w:t>
      </w:r>
      <w:r>
        <w:rPr>
          <w:rFonts w:ascii="Arial" w:cs="Arial" w:eastAsia="Arial" w:hAnsi="Arial"/>
          <w:sz w:val="18"/>
          <w:szCs w:val="18"/>
          <w:color w:val="auto"/>
        </w:rPr>
        <w:t>, provisions for loan losses, net of recoveries fell -16.6%, which mainly reflects:</w:t>
      </w:r>
    </w:p>
    <w:p>
      <w:pPr>
        <w:spacing w:after="0" w:line="229" w:lineRule="exact"/>
        <w:rPr>
          <w:sz w:val="20"/>
          <w:szCs w:val="20"/>
          <w:color w:val="auto"/>
        </w:rPr>
      </w:pPr>
    </w:p>
    <w:p>
      <w:pPr>
        <w:ind w:left="880" w:hanging="494"/>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improvement in the risk quality of the underlying portfolio, mainly in the loan portfolio of Retail Banking segments after these segments had reported higher-than-expected delinquency levels in previous years (SME-Pyme in 2014; Consumer and Credit Card in 2015-2016); and</w:t>
      </w:r>
    </w:p>
    <w:p>
      <w:pPr>
        <w:spacing w:after="0" w:line="123" w:lineRule="exact"/>
        <w:rPr>
          <w:rFonts w:ascii="Arial" w:cs="Arial" w:eastAsia="Arial" w:hAnsi="Arial"/>
          <w:sz w:val="16"/>
          <w:szCs w:val="16"/>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 in provisions requirements in 2017 for the El Nino Phenomenon and the Lava Jato case.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Portfolio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Risk</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ind w:left="960"/>
              <w:spacing w:after="0"/>
              <w:rPr>
                <w:sz w:val="20"/>
                <w:szCs w:val="20"/>
                <w:color w:val="auto"/>
              </w:rPr>
            </w:pPr>
            <w:r>
              <w:rPr>
                <w:rFonts w:ascii="Arial" w:cs="Arial" w:eastAsia="Arial" w:hAnsi="Arial"/>
                <w:sz w:val="14"/>
                <w:szCs w:val="14"/>
                <w:b w:val="1"/>
                <w:bCs w:val="1"/>
                <w:color w:val="auto"/>
              </w:rPr>
              <w:t>YTD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w w:val="95"/>
              </w:rPr>
              <w:t>Cost of risk and Provisions</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3Q17</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2Q18</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3Q18</w:t>
            </w:r>
          </w:p>
        </w:tc>
        <w:tc>
          <w:tcPr>
            <w:tcW w:w="1480" w:type="dxa"/>
            <w:vAlign w:val="bottom"/>
            <w:gridSpan w:val="3"/>
          </w:tcPr>
          <w:p>
            <w:pPr>
              <w:ind w:left="340"/>
              <w:spacing w:after="0"/>
              <w:rPr>
                <w:sz w:val="20"/>
                <w:szCs w:val="20"/>
                <w:color w:val="auto"/>
              </w:rPr>
            </w:pPr>
            <w:r>
              <w:rPr>
                <w:rFonts w:ascii="Arial" w:cs="Arial" w:eastAsia="Arial" w:hAnsi="Arial"/>
                <w:sz w:val="14"/>
                <w:szCs w:val="14"/>
                <w:b w:val="1"/>
                <w:bCs w:val="1"/>
                <w:color w:val="auto"/>
              </w:rPr>
              <w:t>QoQ</w:t>
            </w: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 17</w:t>
            </w: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 18</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Sep 18 / Sep 17</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100" w:type="dxa"/>
            <w:vAlign w:val="bottom"/>
            <w:vMerge w:val="continue"/>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45 bps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 bps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 bps</w:t>
            </w:r>
          </w:p>
        </w:tc>
        <w:tc>
          <w:tcPr>
            <w:tcW w:w="0" w:type="dxa"/>
            <w:vAlign w:val="bottom"/>
          </w:tcPr>
          <w:p>
            <w:pPr>
              <w:spacing w:after="0"/>
              <w:rPr>
                <w:sz w:val="1"/>
                <w:szCs w:val="1"/>
                <w:color w:val="auto"/>
              </w:rPr>
            </w:pPr>
          </w:p>
        </w:tc>
      </w:tr>
      <w:tr>
        <w:trPr>
          <w:trHeight w:val="140"/>
        </w:trPr>
        <w:tc>
          <w:tcPr>
            <w:tcW w:w="1760" w:type="dxa"/>
            <w:vAlign w:val="bottom"/>
            <w:gridSpan w:val="2"/>
          </w:tcPr>
          <w:p>
            <w:pPr>
              <w:spacing w:after="0" w:line="140" w:lineRule="exact"/>
              <w:rPr>
                <w:sz w:val="20"/>
                <w:szCs w:val="20"/>
                <w:color w:val="auto"/>
              </w:rPr>
            </w:pPr>
            <w:r>
              <w:rPr>
                <w:rFonts w:ascii="Arial" w:cs="Arial" w:eastAsia="Arial" w:hAnsi="Arial"/>
                <w:sz w:val="14"/>
                <w:szCs w:val="14"/>
                <w:color w:val="auto"/>
              </w:rPr>
              <w:t>Cost of risk of the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6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underlying portfolio </w:t>
            </w:r>
            <w:r>
              <w:rPr>
                <w:rFonts w:ascii="Arial" w:cs="Arial" w:eastAsia="Arial" w:hAnsi="Arial"/>
                <w:sz w:val="22"/>
                <w:szCs w:val="22"/>
                <w:color w:val="auto"/>
                <w:vertAlign w:val="superscript"/>
              </w:rPr>
              <w:t>(2)</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1.22%</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1.43%</w:t>
            </w:r>
          </w:p>
        </w:tc>
        <w:tc>
          <w:tcPr>
            <w:tcW w:w="1480" w:type="dxa"/>
            <w:vAlign w:val="bottom"/>
            <w:gridSpan w:val="3"/>
          </w:tcPr>
          <w:p>
            <w:pPr>
              <w:jc w:val="right"/>
              <w:ind w:right="500"/>
              <w:spacing w:after="0"/>
              <w:rPr>
                <w:sz w:val="20"/>
                <w:szCs w:val="20"/>
                <w:color w:val="auto"/>
              </w:rPr>
            </w:pPr>
            <w:r>
              <w:rPr>
                <w:rFonts w:ascii="Arial" w:cs="Arial" w:eastAsia="Arial" w:hAnsi="Arial"/>
                <w:sz w:val="14"/>
                <w:szCs w:val="14"/>
                <w:color w:val="auto"/>
              </w:rPr>
              <w:t>21 bps</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-16 bps</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-37 bps</w:t>
            </w:r>
          </w:p>
        </w:tc>
        <w:tc>
          <w:tcPr>
            <w:tcW w:w="0" w:type="dxa"/>
            <w:vAlign w:val="bottom"/>
          </w:tcPr>
          <w:p>
            <w:pPr>
              <w:spacing w:after="0"/>
              <w:rPr>
                <w:sz w:val="1"/>
                <w:szCs w:val="1"/>
                <w:color w:val="auto"/>
              </w:rPr>
            </w:pPr>
          </w:p>
        </w:tc>
      </w:tr>
      <w:tr>
        <w:trPr>
          <w:trHeight w:val="130"/>
        </w:trPr>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Provisions for loan losses /</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530 bps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 bps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 bps</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Annualized provisions for loans losses / Total loans.</w:t>
      </w:r>
    </w:p>
    <w:p>
      <w:pPr>
        <w:spacing w:after="0" w:line="23" w:lineRule="exact"/>
        <w:rPr>
          <w:rFonts w:ascii="Arial" w:cs="Arial" w:eastAsia="Arial" w:hAnsi="Arial"/>
          <w:sz w:val="18"/>
          <w:szCs w:val="18"/>
          <w:color w:val="auto"/>
        </w:rPr>
      </w:pPr>
    </w:p>
    <w:p>
      <w:pPr>
        <w:ind w:firstLine="8"/>
        <w:spacing w:after="0" w:line="261"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risk of the underlying portfolio excludes the effects of El Nino Phenomenon and the Lava Jato case in 1Q17 and 2Q17, and the effect of the execution of a performance bond of a company in the construction sector not related with the Lava Jato case in 3Q18.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CofR of the underlying portfolio was 1.43% in 3Q18 and remained within the range reported in 1H18, the total CofR increased +45 bps QoQ and +8bps YoY to situate at 1.67%. This increase reflects the higher level of provisions that we explained in the previous section.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 the YTD analysis</w:t>
      </w:r>
      <w:r>
        <w:rPr>
          <w:rFonts w:ascii="Arial" w:cs="Arial" w:eastAsia="Arial" w:hAnsi="Arial"/>
          <w:sz w:val="18"/>
          <w:szCs w:val="18"/>
          <w:color w:val="auto"/>
        </w:rPr>
        <w:t>, the cost of risk was 1.43%, 46 bps lower than the level reported for the same period in 2017. Furthermore, the underlying CofR, which</w:t>
      </w:r>
      <w:r>
        <w:rPr>
          <w:rFonts w:ascii="Arial" w:cs="Arial" w:eastAsia="Arial" w:hAnsi="Arial"/>
          <w:sz w:val="18"/>
          <w:szCs w:val="18"/>
          <w:b w:val="1"/>
          <w:bCs w:val="1"/>
          <w:color w:val="auto"/>
        </w:rPr>
        <w:t xml:space="preserve"> </w:t>
      </w:r>
      <w:r>
        <w:rPr>
          <w:rFonts w:ascii="Arial" w:cs="Arial" w:eastAsia="Arial" w:hAnsi="Arial"/>
          <w:sz w:val="18"/>
          <w:szCs w:val="18"/>
          <w:color w:val="auto"/>
        </w:rPr>
        <w:t>eliminates the effect of the provisions required in 1H17 due to El Nino Phenomenon and the Lava Jato case and those required in 3Q18 due to the execution of the performance bond, is 37 bps lower than the underlying CofR reported for the same period last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Delinquency ratios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Portfolio quality and Delinquency ratios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90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S/ 000</w:t>
            </w: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3Q17</w:t>
            </w: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2Q18</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3Q18</w:t>
            </w: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rPr>
              <w:t>QoQ</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56"/>
        </w:trPr>
        <w:tc>
          <w:tcPr>
            <w:tcW w:w="35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95,142,268</w:t>
            </w:r>
          </w:p>
        </w:tc>
        <w:tc>
          <w:tcPr>
            <w:tcW w:w="24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102,766,633</w:t>
            </w:r>
          </w:p>
        </w:tc>
        <w:tc>
          <w:tcPr>
            <w:tcW w:w="2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105,028,343</w:t>
            </w:r>
          </w:p>
        </w:tc>
        <w:tc>
          <w:tcPr>
            <w:tcW w:w="26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ind w:left="900"/>
              <w:spacing w:after="0" w:line="155" w:lineRule="exact"/>
              <w:rPr>
                <w:sz w:val="20"/>
                <w:szCs w:val="20"/>
                <w:color w:val="auto"/>
              </w:rPr>
            </w:pPr>
            <w:r>
              <w:rPr>
                <w:rFonts w:ascii="Arial" w:cs="Arial" w:eastAsia="Arial" w:hAnsi="Arial"/>
                <w:sz w:val="14"/>
                <w:szCs w:val="14"/>
                <w:b w:val="1"/>
                <w:bCs w:val="1"/>
                <w:color w:val="auto"/>
                <w:w w:val="81"/>
              </w:rPr>
              <w:t>2.2</w:t>
            </w:r>
          </w:p>
        </w:tc>
        <w:tc>
          <w:tcPr>
            <w:tcW w:w="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b w:val="1"/>
                <w:bCs w:val="1"/>
                <w:color w:val="auto"/>
                <w:w w:val="80"/>
              </w:rPr>
              <w:t>10.4</w:t>
            </w:r>
          </w:p>
        </w:tc>
        <w:tc>
          <w:tcPr>
            <w:tcW w:w="1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Allowance for loan losses</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4,419,769</w:t>
            </w:r>
          </w:p>
        </w:tc>
        <w:tc>
          <w:tcPr>
            <w:tcW w:w="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4,819,704</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4,920,319</w:t>
            </w:r>
          </w:p>
        </w:tc>
        <w:tc>
          <w:tcPr>
            <w:tcW w:w="2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ind w:left="900"/>
              <w:spacing w:after="0" w:line="142" w:lineRule="exact"/>
              <w:rPr>
                <w:sz w:val="20"/>
                <w:szCs w:val="20"/>
                <w:color w:val="auto"/>
              </w:rPr>
            </w:pPr>
            <w:r>
              <w:rPr>
                <w:rFonts w:ascii="Arial" w:cs="Arial" w:eastAsia="Arial" w:hAnsi="Arial"/>
                <w:sz w:val="14"/>
                <w:szCs w:val="14"/>
                <w:color w:val="auto"/>
                <w:w w:val="81"/>
              </w:rPr>
              <w:t>2.1</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w w:val="80"/>
              </w:rPr>
              <w:t>11.3</w:t>
            </w:r>
          </w:p>
        </w:tc>
        <w:tc>
          <w:tcPr>
            <w:tcW w:w="1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Write-offs</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332,995</w:t>
            </w:r>
          </w:p>
        </w:tc>
        <w:tc>
          <w:tcPr>
            <w:tcW w:w="24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345,253</w:t>
            </w:r>
          </w:p>
        </w:tc>
        <w:tc>
          <w:tcPr>
            <w:tcW w:w="24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366,709</w:t>
            </w:r>
          </w:p>
        </w:tc>
        <w:tc>
          <w:tcPr>
            <w:tcW w:w="26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ind w:left="900"/>
              <w:spacing w:after="0" w:line="142" w:lineRule="exact"/>
              <w:rPr>
                <w:sz w:val="20"/>
                <w:szCs w:val="20"/>
                <w:color w:val="auto"/>
              </w:rPr>
            </w:pPr>
            <w:r>
              <w:rPr>
                <w:rFonts w:ascii="Arial" w:cs="Arial" w:eastAsia="Arial" w:hAnsi="Arial"/>
                <w:sz w:val="14"/>
                <w:szCs w:val="14"/>
                <w:color w:val="auto"/>
                <w:w w:val="81"/>
              </w:rPr>
              <w:t>6.2</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80"/>
              </w:rPr>
              <w:t>10.1</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62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Internal overdue loans (IOLs) </w:t>
            </w:r>
            <w:r>
              <w:rPr>
                <w:rFonts w:ascii="Arial" w:cs="Arial" w:eastAsia="Arial" w:hAnsi="Arial"/>
                <w:sz w:val="19"/>
                <w:szCs w:val="19"/>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4"/>
                <w:szCs w:val="14"/>
                <w:color w:val="auto"/>
              </w:rPr>
              <w:t>2,874,071</w:t>
            </w:r>
          </w:p>
        </w:tc>
        <w:tc>
          <w:tcPr>
            <w:tcW w:w="24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3,113,014</w:t>
            </w:r>
          </w:p>
        </w:tc>
        <w:tc>
          <w:tcPr>
            <w:tcW w:w="1120" w:type="dxa"/>
            <w:vAlign w:val="bottom"/>
          </w:tcPr>
          <w:p>
            <w:pPr>
              <w:jc w:val="right"/>
              <w:spacing w:after="0"/>
              <w:rPr>
                <w:sz w:val="20"/>
                <w:szCs w:val="20"/>
                <w:color w:val="auto"/>
              </w:rPr>
            </w:pPr>
            <w:r>
              <w:rPr>
                <w:rFonts w:ascii="Arial" w:cs="Arial" w:eastAsia="Arial" w:hAnsi="Arial"/>
                <w:sz w:val="14"/>
                <w:szCs w:val="14"/>
                <w:color w:val="auto"/>
              </w:rPr>
              <w:t>3,188,393</w:t>
            </w:r>
          </w:p>
        </w:tc>
        <w:tc>
          <w:tcPr>
            <w:tcW w:w="260" w:type="dxa"/>
            <w:vAlign w:val="bottom"/>
          </w:tcPr>
          <w:p>
            <w:pPr>
              <w:spacing w:after="0"/>
              <w:rPr>
                <w:sz w:val="14"/>
                <w:szCs w:val="14"/>
                <w:color w:val="auto"/>
              </w:rPr>
            </w:pPr>
          </w:p>
        </w:tc>
        <w:tc>
          <w:tcPr>
            <w:tcW w:w="1320" w:type="dxa"/>
            <w:vAlign w:val="bottom"/>
            <w:gridSpan w:val="2"/>
          </w:tcPr>
          <w:p>
            <w:pPr>
              <w:ind w:left="90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10.9%</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Refinanced loans</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963,807</w:t>
            </w: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1,086,135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1,172,338</w:t>
            </w: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7.9%</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21.6%</w:t>
            </w: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3,837,878</w:t>
            </w:r>
          </w:p>
        </w:tc>
        <w:tc>
          <w:tcPr>
            <w:tcW w:w="24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4,199,149</w:t>
            </w:r>
          </w:p>
        </w:tc>
        <w:tc>
          <w:tcPr>
            <w:tcW w:w="1120" w:type="dxa"/>
            <w:vAlign w:val="bottom"/>
          </w:tcPr>
          <w:p>
            <w:pPr>
              <w:jc w:val="right"/>
              <w:spacing w:after="0"/>
              <w:rPr>
                <w:sz w:val="20"/>
                <w:szCs w:val="20"/>
                <w:color w:val="auto"/>
              </w:rPr>
            </w:pPr>
            <w:r>
              <w:rPr>
                <w:rFonts w:ascii="Arial" w:cs="Arial" w:eastAsia="Arial" w:hAnsi="Arial"/>
                <w:sz w:val="14"/>
                <w:szCs w:val="14"/>
                <w:color w:val="auto"/>
              </w:rPr>
              <w:t>4,360,731</w:t>
            </w:r>
          </w:p>
        </w:tc>
        <w:tc>
          <w:tcPr>
            <w:tcW w:w="26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13.6%</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IOL over 90-days ratio</w:t>
            </w: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gridSpan w:val="2"/>
            <w:vMerge w:val="continue"/>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2.28%</w:t>
            </w:r>
          </w:p>
        </w:tc>
        <w:tc>
          <w:tcPr>
            <w:tcW w:w="13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2.25%</w:t>
            </w:r>
          </w:p>
        </w:tc>
        <w:tc>
          <w:tcPr>
            <w:tcW w:w="13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2.29%</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 bps</w:t>
            </w:r>
          </w:p>
        </w:tc>
        <w:tc>
          <w:tcPr>
            <w:tcW w:w="24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 bps</w:t>
            </w:r>
          </w:p>
        </w:tc>
        <w:tc>
          <w:tcPr>
            <w:tcW w:w="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IOL ratio</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3.02%</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3.03%</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3.04%</w:t>
            </w:r>
          </w:p>
        </w:tc>
        <w:tc>
          <w:tcPr>
            <w:tcW w:w="162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 bps</w:t>
            </w:r>
          </w:p>
        </w:tc>
        <w:tc>
          <w:tcPr>
            <w:tcW w:w="9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4.03%</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4.09%</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4.15%</w:t>
            </w:r>
          </w:p>
        </w:tc>
        <w:tc>
          <w:tcPr>
            <w:tcW w:w="16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 bps</w:t>
            </w:r>
          </w:p>
        </w:tc>
        <w:tc>
          <w:tcPr>
            <w:tcW w:w="9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 bps</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Coverage ratio of Internal overdue loans</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153.8%</w:t>
            </w: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154.8%</w:t>
            </w: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154.3%</w:t>
            </w:r>
          </w:p>
        </w:tc>
        <w:tc>
          <w:tcPr>
            <w:tcW w:w="162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 bps</w:t>
            </w:r>
          </w:p>
        </w:tc>
        <w:tc>
          <w:tcPr>
            <w:tcW w:w="9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Coverage ratio of NPLs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112.8%</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-200 bps</w:t>
            </w: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-240 bps</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indicators, it is important to note that:</w:t>
      </w:r>
    </w:p>
    <w:p>
      <w:pPr>
        <w:spacing w:after="0" w:line="225" w:lineRule="exact"/>
        <w:rPr>
          <w:sz w:val="20"/>
          <w:szCs w:val="20"/>
          <w:color w:val="auto"/>
        </w:rPr>
      </w:pPr>
    </w:p>
    <w:p>
      <w:pPr>
        <w:jc w:val="both"/>
        <w:ind w:left="880" w:hanging="494"/>
        <w:spacing w:after="0" w:line="31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left="880" w:hanging="494"/>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154940</wp:posOffset>
            </wp:positionV>
            <wp:extent cx="4519295" cy="1783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1929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9" w:lineRule="exact"/>
        <w:rPr>
          <w:rFonts w:ascii="Arial" w:cs="Arial" w:eastAsia="Arial" w:hAnsi="Arial"/>
          <w:sz w:val="18"/>
          <w:szCs w:val="18"/>
          <w:color w:val="auto"/>
        </w:rPr>
      </w:pPr>
    </w:p>
    <w:p>
      <w:pPr>
        <w:ind w:right="120"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of risk - Underlying portfolio excludes the effect of the execution of performance bonds of a company in the construction sector not related with the Lava Jato case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IOL ratio remained stable QoQ and YoY but the NPL ratio increased +6 bps QoQ and +12 bps YoY. This was due primarily to the execution of a performance bond and consequent refinancing of debt for a specific Corporate Banking client, which also affected the cost of risk as explained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ratios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IOL coverage ratio remained stable QoQ and YoY, while the NPL coverage ratio fell, in line with an increase in the pace of growth of the refinanced portfolio compared to that of the IOL portfolio, which was associated with the evolution of NPLs after the execution of a performance bond and consequent refinancing of debt of a Corporate Banking client from the construction sector not related to the Lava Jato case as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Please consider that Credicorp reported the cost of risk per segment until the end of 2017. On January 1, 2018, the organization adopted the IFRS9 methodology to calculate provisions requirements of Credicorp.</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ind w:right="380"/>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154940</wp:posOffset>
            </wp:positionV>
            <wp:extent cx="5746115" cy="2289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611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20" w:hanging="514"/>
        <w:spacing w:after="0" w:line="25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QoQ analysis shows a slight increase in the volume of IOLs in Wholesale Banking and a significant increase in the level of NPLs, which was mainly due to the execution of a performance bond, as mentioned above. In this context, the IOL ratio remained relatively stable while the NPL ratio rose +20 bps QoQ and +57 pbs YoY. The refinanced loan of the client described above increased the Wholesale Banking NPL ratio in +7 bps QoQ. In YTD terms, the executions of the performance bonds and the consequent refinancing of debt registered in the second and third quarter affected the NPL ratio of this segment in +41 bps.</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154940</wp:posOffset>
            </wp:positionV>
            <wp:extent cx="5746115" cy="2435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611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 w:hanging="514"/>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BCP Bolivia reported IOL and NPL ratios that were relatively stable both QoQ and YoY; nevertheless, the cost of risk increased QoQ given that the level posted in 2Q18 was unusually low.</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4" w:name="page25"/>
    <w:bookmarkEnd w:id="24"/>
    <w:p>
      <w:pPr>
        <w:jc w:val="center"/>
        <w:ind w:right="380"/>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154940</wp:posOffset>
            </wp:positionV>
            <wp:extent cx="5746115" cy="2512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611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520" w:hanging="514"/>
        <w:spacing w:after="0" w:line="255"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Given that loan origination in the SME-Business segment is affected by seasonality, it is important to focus on the YoY analysis, with shows that traditional delinquency ratios for the IOL and NPL portfolios increased +97 bps and +114 bps respectively. This scenario was driven by growth in the IOL portfolio, which was mainly due to a deterioration in the situation of some specific clients, who have been transferred to the workout unit, and to the deceleration of loan growth of the portfolio. It is important to note that the risk quality indicators for this segment remain comfortably within the risk appetite defined for this segment, which in turn aims to maximize the portfolio’s profitability while balancing risk quality and loan growth.</w:t>
      </w:r>
    </w:p>
    <w:p>
      <w:pPr>
        <w:spacing w:after="0" w:line="18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154940</wp:posOffset>
            </wp:positionV>
            <wp:extent cx="5771515" cy="2212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7151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520" w:hanging="514"/>
        <w:spacing w:after="0" w:line="286"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SME-Pyme portfolio,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that take five years on average to liquidate).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5" w:name="page26"/>
    <w:bookmarkEnd w:id="25"/>
    <w:p>
      <w:pPr>
        <w:jc w:val="both"/>
        <w:ind w:left="520"/>
        <w:spacing w:after="0" w:line="255" w:lineRule="auto"/>
        <w:rPr>
          <w:sz w:val="20"/>
          <w:szCs w:val="20"/>
          <w:color w:val="auto"/>
        </w:rPr>
      </w:pPr>
      <w:r>
        <w:rPr>
          <w:rFonts w:ascii="Arial" w:cs="Arial" w:eastAsia="Arial" w:hAnsi="Arial"/>
          <w:sz w:val="18"/>
          <w:szCs w:val="18"/>
          <w:color w:val="auto"/>
        </w:rPr>
        <w:t>Since the beginning of the second half of 2014, early delinquency has followed a downward trend YoY. This is in line with on-going improvement in the risk quality of vintages after adjustments were made in the SME-Pyme business model. The impact of these adjustments became more evident since the vintages of 2015. In 3Q18, early delinquency rose slightly YoY, which reflected Credicorp’s decision to enter segments with slightly higher risk to maximize the portfolio’s profitability while balancing risk quality and loan growth, but always within the risk framework defined by the organization. It is important to note that since 2017, this segment has situated “comfortably” within the risk appetite defined for the segment.</w:t>
      </w:r>
    </w:p>
    <w:p>
      <w:pPr>
        <w:spacing w:after="0" w:line="18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154940</wp:posOffset>
            </wp:positionV>
            <wp:extent cx="5746115" cy="22555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611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hanging="514"/>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terms of Mortgage loans, it is important to note that these ratios are also affected by the existence of real estate collateral and foreclosure takes around 5 years. During this period, these loans cannot be written-off, even when they are fully provisioned.</w:t>
      </w:r>
    </w:p>
    <w:p>
      <w:pPr>
        <w:spacing w:after="0" w:line="170"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The traditional delinquency rates remained relatively stable both QoQ and YoY in line with the higher growth rate of the total portfolio given the acceleration in the origination of mortgage loans, as a result of the strategy of entering segments with a little more risk to maximize the profitability of the portfolio, always within the risk appetite of the organization.</w:t>
      </w:r>
    </w:p>
    <w:p>
      <w:pPr>
        <w:spacing w:after="0" w:line="181" w:lineRule="exact"/>
        <w:rPr>
          <w:rFonts w:ascii="Arial" w:cs="Arial" w:eastAsia="Arial" w:hAnsi="Arial"/>
          <w:sz w:val="18"/>
          <w:szCs w:val="18"/>
          <w:color w:val="auto"/>
        </w:rPr>
      </w:pPr>
    </w:p>
    <w:p>
      <w:pPr>
        <w:ind w:left="520" w:right="20"/>
        <w:spacing w:after="0" w:line="342" w:lineRule="auto"/>
        <w:rPr>
          <w:rFonts w:ascii="Arial" w:cs="Arial" w:eastAsia="Arial" w:hAnsi="Arial"/>
          <w:sz w:val="18"/>
          <w:szCs w:val="18"/>
          <w:color w:val="auto"/>
        </w:rPr>
      </w:pPr>
      <w:r>
        <w:rPr>
          <w:rFonts w:ascii="Arial" w:cs="Arial" w:eastAsia="Arial" w:hAnsi="Arial"/>
          <w:sz w:val="16"/>
          <w:szCs w:val="16"/>
          <w:color w:val="auto"/>
        </w:rPr>
        <w:t>The early delinquency ratio, which excludes the effect of loans that are over 150 days overdue, was relatively stable QoQ and YoY. It is important to note that this indicator is within the average levels observed over the past two years and is within the organization’s risk appetite.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8" w:right="239" w:bottom="1440" w:gutter="0" w:footer="0" w:header="0"/>
        </w:sectPr>
      </w:pPr>
    </w:p>
    <w:bookmarkStart w:id="26" w:name="page27"/>
    <w:bookmarkEnd w:id="26"/>
    <w:p>
      <w:pPr>
        <w:jc w:val="center"/>
        <w:ind w:right="380"/>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154940</wp:posOffset>
            </wp:positionV>
            <wp:extent cx="5763260" cy="2349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326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520" w:hanging="514"/>
        <w:spacing w:after="0" w:line="31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Consumer portfolio, the portfolio’s risk profile continues to improve in comparison to the level posted by vintages from 2015 or before, which led to the delinquency problem. This improvement has been achieved due to the different initiatives for risk management and collections that are in place today. The portfolio’s new composition reflects the calibrated profile generated by the change in the admissions risk policy.</w:t>
      </w:r>
    </w:p>
    <w:p>
      <w:pPr>
        <w:spacing w:after="0" w:line="146" w:lineRule="exact"/>
        <w:rPr>
          <w:rFonts w:ascii="Arial" w:cs="Arial" w:eastAsia="Arial" w:hAnsi="Arial"/>
          <w:sz w:val="16"/>
          <w:szCs w:val="16"/>
          <w:color w:val="auto"/>
        </w:rPr>
      </w:pPr>
    </w:p>
    <w:p>
      <w:pPr>
        <w:jc w:val="both"/>
        <w:ind w:left="520"/>
        <w:spacing w:after="0" w:line="259" w:lineRule="auto"/>
        <w:rPr>
          <w:rFonts w:ascii="Arial" w:cs="Arial" w:eastAsia="Arial" w:hAnsi="Arial"/>
          <w:sz w:val="16"/>
          <w:szCs w:val="16"/>
          <w:color w:val="auto"/>
        </w:rPr>
      </w:pPr>
      <w:r>
        <w:rPr>
          <w:rFonts w:ascii="Arial" w:cs="Arial" w:eastAsia="Arial" w:hAnsi="Arial"/>
          <w:sz w:val="18"/>
          <w:szCs w:val="18"/>
          <w:color w:val="auto"/>
        </w:rPr>
        <w:t>Early delinquency decreased slightly -15 bps QoQ and -42 bps YoY to situate at its lower level since 2013, prior to the deterioration in risk quality. In this context, we have carried out a strategy to accelerate the pace of growth to maximize the portfolio’s profitability while preserving the organization’s risk appetite. Therefore, as you can see in the graph at the top, during 2018 this segment has accelerated its pace of growth, however there is still room to continue growing at a faster pace.</w:t>
      </w:r>
    </w:p>
    <w:p>
      <w:pPr>
        <w:spacing w:after="0" w:line="186" w:lineRule="exact"/>
        <w:rPr>
          <w:rFonts w:ascii="Arial" w:cs="Arial" w:eastAsia="Arial" w:hAnsi="Arial"/>
          <w:sz w:val="16"/>
          <w:szCs w:val="16"/>
          <w:color w:val="auto"/>
        </w:rPr>
      </w:pPr>
    </w:p>
    <w:p>
      <w:pPr>
        <w:jc w:val="both"/>
        <w:ind w:left="520"/>
        <w:spacing w:after="0" w:line="257" w:lineRule="auto"/>
        <w:rPr>
          <w:rFonts w:ascii="Arial" w:cs="Arial" w:eastAsia="Arial" w:hAnsi="Arial"/>
          <w:sz w:val="16"/>
          <w:szCs w:val="16"/>
          <w:color w:val="auto"/>
        </w:rPr>
      </w:pPr>
      <w:r>
        <w:rPr>
          <w:rFonts w:ascii="Arial" w:cs="Arial" w:eastAsia="Arial" w:hAnsi="Arial"/>
          <w:sz w:val="18"/>
          <w:szCs w:val="18"/>
          <w:color w:val="auto"/>
        </w:rPr>
        <w:t>The traditional ratios for delinquency fell both QoQ and YoY mainly due to the higher growth rate of the total portfolio, given the adjustments in the origination guidelines and the development of campaigns with better offers for customers, all of the above in line with the strategy of accelerating the growth of this segment. Additionally, the IOL and NPL ratios reduced QoQ and YoY due to the reduction of the IOL portfolio in line with the continuous improvement in risk quality of the new vintages. It is important to note that the Consumer portfolio is within the organization’s risk appetite.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7" w:name="page28"/>
    <w:bookmarkEnd w:id="27"/>
    <w:p>
      <w:pPr>
        <w:jc w:val="center"/>
        <w:ind w:right="380"/>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154940</wp:posOffset>
            </wp:positionV>
            <wp:extent cx="5746115" cy="2478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611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520" w:hanging="514"/>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Credit Card segment, early delinquency fell QoQ and YoY, situating within the organization’s risk appetite. This reflects (i) an acceleration in the pace of growth of total loans and, (ii) the improvement in the risk quality of new vintages and in the portfolio mix after corrective measures were taken to address the delinquency problem that emerged at the end of 2015.</w:t>
      </w:r>
    </w:p>
    <w:p>
      <w:pPr>
        <w:spacing w:after="0" w:line="17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154940</wp:posOffset>
            </wp:positionV>
            <wp:extent cx="5694045" cy="2400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404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20" w:hanging="514"/>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IOL and NPL ratios were relatively stable QoQ but increased YoY due to growth in internal overdue loans, as explained in section 3.1. Provisions for loan losses. It is noteworthy to mention that Mibanco has already implemented most of the adjustments that are necessary to fine-tune the balance between loan origination and collections.</w:t>
      </w:r>
    </w:p>
    <w:p>
      <w:pPr>
        <w:spacing w:after="0" w:line="181"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The aforementioned led to an increase in the CofR both QoQ and YoY. It is important to note that the business’s risk quality indicators continue to fall within Mibanco’s risk appetite.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8" w:name="page29"/>
    <w:bookmarkEnd w:id="28"/>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3Q18, NII, the main source of income, expanded +4.1% QoQ and +6.0% YoY, which represents an improvement with regard to the evolution registered in 2Q18 (0.9% QoQ and +4.8% YoY). This favorable evolution is due primarily to: (i) growth in interest income, mainly due to the expansion in average daily loan balances; and (ii) the decrease in interest expenses, which was attributable to lower interest expense on deposits and to a contraction in the volume of substitution and expansion repos from BCRP. The aforementioned led NIM to increase +26 bps QoQ and +22 bps YoY, and to remain relatively stable in YTD terms.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880"/>
              <w:spacing w:after="0"/>
              <w:rPr>
                <w:sz w:val="20"/>
                <w:szCs w:val="20"/>
                <w:color w:val="auto"/>
              </w:rPr>
            </w:pPr>
            <w:r>
              <w:rPr>
                <w:rFonts w:ascii="Arial" w:cs="Arial" w:eastAsia="Arial" w:hAnsi="Arial"/>
                <w:sz w:val="14"/>
                <w:szCs w:val="14"/>
                <w:b w:val="1"/>
                <w:bCs w:val="1"/>
                <w:color w:val="auto"/>
              </w:rPr>
              <w:t>YTD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3Q17</w:t>
            </w:r>
          </w:p>
        </w:tc>
        <w:tc>
          <w:tcPr>
            <w:tcW w:w="26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2Q18</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3Q18</w:t>
            </w:r>
          </w:p>
        </w:tc>
        <w:tc>
          <w:tcPr>
            <w:tcW w:w="2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18</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18 / Sep 17</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2,768,798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2,812,623</w:t>
            </w:r>
          </w:p>
        </w:tc>
        <w:tc>
          <w:tcPr>
            <w:tcW w:w="26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2,894,654</w:t>
            </w:r>
          </w:p>
        </w:tc>
        <w:tc>
          <w:tcPr>
            <w:tcW w:w="240" w:type="dxa"/>
            <w:vAlign w:val="bottom"/>
            <w:vMerge w:val="continue"/>
            <w:shd w:val="clear" w:color="auto" w:fill="CCEEFF"/>
          </w:tcPr>
          <w:p>
            <w:pPr>
              <w:spacing w:after="0"/>
              <w:rPr>
                <w:sz w:val="12"/>
                <w:szCs w:val="12"/>
                <w:color w:val="auto"/>
              </w:rPr>
            </w:pPr>
          </w:p>
        </w:tc>
        <w:tc>
          <w:tcPr>
            <w:tcW w:w="11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2.9%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4.5%</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8,224,478</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8,497,204</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2,396,969</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2,462,973</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2,538,591</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7,111,698</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7,415,916</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8,530</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7,483</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10,221</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36.6%</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19.8%</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42,876</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26,299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21,172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30,875</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36,448</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18.1%</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65,048</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95,672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330,378</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296,995</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304,528</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975,763</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925,591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11,749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14,297</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4,866</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-66.0%</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-58.6%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29,093</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33,726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Interest expense</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744,282</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749,805</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748,193</w:t>
            </w:r>
          </w:p>
        </w:tc>
        <w:tc>
          <w:tcPr>
            <w:tcW w:w="11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-0.2%</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0.5%</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2,218,964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2,244,238</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287,046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295,582</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293,512</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838,673</w:t>
            </w:r>
          </w:p>
        </w:tc>
        <w:tc>
          <w:tcPr>
            <w:tcW w:w="1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877,403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185,962</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149,799</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148,565</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-20.1%</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583,595</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465,796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0"/>
        </w:trPr>
        <w:tc>
          <w:tcPr>
            <w:tcW w:w="226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Interest on bonds and</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gridSpan w:val="2"/>
          </w:tcPr>
          <w:p>
            <w:pPr>
              <w:ind w:left="180"/>
              <w:spacing w:after="0"/>
              <w:rPr>
                <w:sz w:val="20"/>
                <w:szCs w:val="20"/>
                <w:color w:val="auto"/>
              </w:rPr>
            </w:pPr>
            <w:r>
              <w:rPr>
                <w:rFonts w:ascii="Arial" w:cs="Arial" w:eastAsia="Arial" w:hAnsi="Arial"/>
                <w:sz w:val="14"/>
                <w:szCs w:val="14"/>
                <w:color w:val="auto"/>
              </w:rPr>
              <w:t>subordinated notes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203,083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230,561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231,129</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13.8%</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622,147</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677,773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68,191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73,863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74,987</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174,549</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223,266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ind w:left="20"/>
              <w:spacing w:after="0" w:line="202"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gridSpan w:val="2"/>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2,024,516</w:t>
            </w:r>
          </w:p>
        </w:tc>
        <w:tc>
          <w:tcPr>
            <w:tcW w:w="26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2,062,818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2,146,461</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4.1%</w:t>
            </w:r>
          </w:p>
        </w:tc>
        <w:tc>
          <w:tcPr>
            <w:tcW w:w="26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6.0%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6,005,514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6,252,966</w:t>
            </w:r>
          </w:p>
        </w:tc>
        <w:tc>
          <w:tcPr>
            <w:tcW w:w="2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16"/>
        </w:trPr>
        <w:tc>
          <w:tcPr>
            <w:tcW w:w="2260" w:type="dxa"/>
            <w:vAlign w:val="bottom"/>
            <w:tcBorders>
              <w:top w:val="single" w:sz="8" w:color="CCEEFF"/>
            </w:tcBorders>
            <w:gridSpan w:val="2"/>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Risk-adjusted Net interest income</w:t>
            </w: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1,646,314</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1,749,646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1,706,903</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4,657,599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5,129,212</w:t>
            </w:r>
          </w:p>
        </w:tc>
        <w:tc>
          <w:tcPr>
            <w:tcW w:w="260" w:type="dxa"/>
            <w:vAlign w:val="bottom"/>
            <w:tcBorders>
              <w:right w:val="single" w:sz="8" w:color="CCEEFF"/>
            </w:tcBorders>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Average interest earning assets</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152,336,614</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156,378,249</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154,977,714</w:t>
            </w:r>
          </w:p>
        </w:tc>
        <w:tc>
          <w:tcPr>
            <w:tcW w:w="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150,033,279</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157,200,337</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5.54%</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26bps</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22bps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5.34%</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5.30%</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-4bps</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0"/>
              <w:spacing w:after="0" w:line="189"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b w:val="1"/>
                <w:bCs w:val="1"/>
                <w:color w:val="auto"/>
                <w:vertAlign w:val="superscript"/>
              </w:rPr>
              <w:t>(1)(2)</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8.20%</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7.77%</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7.84%</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7bps</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-36bps</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8.01%</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7.72%</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-29bps</w:t>
            </w:r>
          </w:p>
        </w:tc>
        <w:tc>
          <w:tcPr>
            <w:tcW w:w="0" w:type="dxa"/>
            <w:vAlign w:val="bottom"/>
          </w:tcPr>
          <w:p>
            <w:pPr>
              <w:spacing w:after="0"/>
              <w:rPr>
                <w:sz w:val="1"/>
                <w:szCs w:val="1"/>
                <w:color w:val="auto"/>
              </w:rPr>
            </w:pPr>
          </w:p>
        </w:tc>
      </w:tr>
      <w:tr>
        <w:trPr>
          <w:trHeight w:val="136"/>
        </w:trPr>
        <w:tc>
          <w:tcPr>
            <w:tcW w:w="2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b w:val="1"/>
                <w:bCs w:val="1"/>
                <w:color w:val="auto"/>
                <w:w w:val="99"/>
              </w:rPr>
              <w:t>Risk-adjusted Net interest margin</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4.41%</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-7bps</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9bps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4.14%</w:t>
            </w: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4.35%</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21bps</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Arial" w:cs="Arial" w:eastAsia="Arial" w:hAnsi="Arial"/>
                <w:sz w:val="14"/>
                <w:szCs w:val="14"/>
                <w:b w:val="1"/>
                <w:bCs w:val="1"/>
                <w:color w:val="auto"/>
                <w:w w:val="94"/>
              </w:rPr>
              <w:t>Net provisions for loan losses / Net</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ind w:left="20"/>
              <w:spacing w:after="0" w:line="215" w:lineRule="exact"/>
              <w:rPr>
                <w:sz w:val="20"/>
                <w:szCs w:val="20"/>
                <w:color w:val="auto"/>
              </w:rPr>
            </w:pPr>
            <w:r>
              <w:rPr>
                <w:rFonts w:ascii="Arial" w:cs="Arial" w:eastAsia="Arial" w:hAnsi="Arial"/>
                <w:sz w:val="14"/>
                <w:szCs w:val="14"/>
                <w:b w:val="1"/>
                <w:bCs w:val="1"/>
                <w:color w:val="auto"/>
              </w:rPr>
              <w:t xml:space="preserve">interest income </w:t>
            </w:r>
            <w:r>
              <w:rPr>
                <w:rFonts w:ascii="Arial" w:cs="Arial" w:eastAsia="Arial" w:hAnsi="Arial"/>
                <w:sz w:val="23"/>
                <w:szCs w:val="23"/>
                <w:b w:val="1"/>
                <w:bCs w:val="1"/>
                <w:color w:val="auto"/>
                <w:vertAlign w:val="superscript"/>
              </w:rPr>
              <w:t>(1)(2)</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18.68%</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15.18%</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20.48%</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530bps</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180bps</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22.44%</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17.97%</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-447bps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Interest Income - LC</w:t>
      </w:r>
    </w:p>
    <w:p>
      <w:pPr>
        <w:spacing w:after="0" w:line="50"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40"/>
        <w:spacing w:after="0"/>
        <w:rPr>
          <w:sz w:val="20"/>
          <w:szCs w:val="20"/>
          <w:color w:val="auto"/>
        </w:rPr>
      </w:pPr>
      <w:r>
        <w:rPr>
          <w:rFonts w:ascii="Arial" w:cs="Arial" w:eastAsia="Arial" w:hAnsi="Arial"/>
          <w:sz w:val="16"/>
          <w:szCs w:val="16"/>
          <w:b w:val="1"/>
          <w:bCs w:val="1"/>
          <w:color w:val="auto"/>
        </w:rPr>
        <w:t>Interest Income – FC</w:t>
      </w:r>
    </w:p>
    <w:p>
      <w:pPr>
        <w:spacing w:after="0" w:line="50" w:lineRule="exact"/>
        <w:rPr>
          <w:sz w:val="20"/>
          <w:szCs w:val="20"/>
          <w:color w:val="auto"/>
        </w:rPr>
      </w:pPr>
    </w:p>
    <w:p>
      <w:pPr>
        <w:jc w:val="center"/>
        <w:ind w:right="20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142875</wp:posOffset>
            </wp:positionV>
            <wp:extent cx="5746115" cy="2126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6115" cy="2126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66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the 2.9% increase in Interest Income was due primarily to growth in interest income on loans, which was due primarily to:</w:t>
      </w:r>
    </w:p>
    <w:p>
      <w:pPr>
        <w:spacing w:after="0" w:line="229" w:lineRule="exact"/>
        <w:rPr>
          <w:sz w:val="20"/>
          <w:szCs w:val="20"/>
          <w:color w:val="auto"/>
        </w:rPr>
      </w:pPr>
    </w:p>
    <w:p>
      <w:pPr>
        <w:jc w:val="both"/>
        <w:ind w:left="900" w:hanging="514"/>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Growth in average daily loan balances (+1.5% QoQ), led by loan expansion in Retail Banking, primarily in the Mortgage and SME segments, accounted for 73% of growth in average daily balances in 3Q18 versus 33% in 2Q18. In this scenario, the volume effect and mix by segment have been more significant in 3Q18 versus 2Q18.</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 w:name="page30"/>
    <w:bookmarkEnd w:id="29"/>
    <w:p>
      <w:pPr>
        <w:ind w:left="900" w:hanging="514"/>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in average daily loan balances was led by growth in LC loans, whose margins are generally higher than those generated by FC loans. As such, the effect of the currency mix also favored growth in interest income on loans.</w:t>
      </w:r>
    </w:p>
    <w:p>
      <w:pPr>
        <w:spacing w:after="0" w:line="170"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aforementioned was partially offset by a negative interest rate effect in LC, which was associated with a downward trend in market rates in LC and with high competition still present in the local environment.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context, interest on securities also increased QoQ but to a much lesser extent. This growth was seen mainly in FC and was related to the increase in fair value through other comprehensive income investments (formerly investments available for sale).</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xml:space="preserve"> interest income growth was +4.5%, which topped the figure reported in 2Q18. Similar to the QoQ scenario, an increase in interest on loans fueled a YoY recovery of this important component of income. The main factors that drove the +5.9% increase YoY in interest income from loans were:</w:t>
      </w:r>
    </w:p>
    <w:p>
      <w:pPr>
        <w:spacing w:after="0" w:line="120" w:lineRule="exact"/>
        <w:rPr>
          <w:sz w:val="20"/>
          <w:szCs w:val="20"/>
          <w:color w:val="auto"/>
        </w:rPr>
      </w:pPr>
    </w:p>
    <w:p>
      <w:pPr>
        <w:ind w:left="900" w:hanging="514"/>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volume effect, which was generated by an acceleration in the growth of average daily balances (+9.8% YoY) and by a more favorable mix by segment; in this context, Retail Banking and Mibanco accounted for approximately 45% of growth, as was the case in 2Q18.</w:t>
      </w:r>
    </w:p>
    <w:p>
      <w:pPr>
        <w:spacing w:after="0" w:line="146" w:lineRule="exact"/>
        <w:rPr>
          <w:rFonts w:ascii="Arial" w:cs="Arial" w:eastAsia="Arial" w:hAnsi="Arial"/>
          <w:sz w:val="17"/>
          <w:szCs w:val="17"/>
          <w:color w:val="auto"/>
        </w:rPr>
      </w:pPr>
    </w:p>
    <w:p>
      <w:pPr>
        <w:ind w:left="900" w:hanging="514"/>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currency mix was also favorable given that the increase in average daily balances was due primarily to growth in the LC portfolio.</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offset the contraction in interest on securities, which was attributable to a decrease in the fair value through profit or loss investments at BCP, as explained in section 1. Interest-earning assets.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 the aforementioned also led the YTD result to post more favorable trends; in this context, interest income posted +3.3% growth YTD with regard to the YTD figure posted in September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142875</wp:posOffset>
            </wp:positionV>
            <wp:extent cx="6860540" cy="1526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60540" cy="1526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60"/>
        <w:spacing w:after="0"/>
        <w:rPr>
          <w:sz w:val="20"/>
          <w:szCs w:val="20"/>
          <w:color w:val="auto"/>
        </w:rPr>
      </w:pPr>
      <w:r>
        <w:rPr>
          <w:rFonts w:ascii="Arial" w:cs="Arial" w:eastAsia="Arial" w:hAnsi="Arial"/>
          <w:sz w:val="16"/>
          <w:szCs w:val="16"/>
          <w:b w:val="1"/>
          <w:bCs w:val="1"/>
          <w:color w:val="auto"/>
        </w:rPr>
        <w:t>Interest Expenses – FC</w:t>
      </w:r>
    </w:p>
    <w:p>
      <w:pPr>
        <w:spacing w:after="0" w:line="50"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960" w:space="720"/>
            <w:col w:w="374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expenses fell -0.2% QoQ. This was mainly attributable to a decrease in interest expense on deposits. The main factors that drove the -0.7% QoQ drop in interest expenses on deposits are:</w:t>
      </w:r>
    </w:p>
    <w:p>
      <w:pPr>
        <w:spacing w:after="0" w:line="170" w:lineRule="exact"/>
        <w:rPr>
          <w:sz w:val="20"/>
          <w:szCs w:val="20"/>
          <w:color w:val="auto"/>
        </w:rPr>
      </w:pPr>
    </w:p>
    <w:p>
      <w:pPr>
        <w:ind w:left="900" w:right="20" w:hanging="514"/>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volume effect, which was attributable to the reduction in total deposits, and the deposit mix given that the high-interest deposits, such as time deposits and severance indemnity deposits, contracted while savings deposits and non-interest-bearing deposits increased.</w:t>
      </w:r>
    </w:p>
    <w:p>
      <w:pPr>
        <w:spacing w:after="0" w:line="146" w:lineRule="exact"/>
        <w:rPr>
          <w:rFonts w:ascii="Arial" w:cs="Arial" w:eastAsia="Arial" w:hAnsi="Arial"/>
          <w:sz w:val="17"/>
          <w:szCs w:val="17"/>
          <w:color w:val="auto"/>
        </w:rPr>
      </w:pPr>
    </w:p>
    <w:p>
      <w:pPr>
        <w:ind w:left="900" w:right="20" w:hanging="514"/>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interest rate effect given that the rates on LC deposits continue to follow a downward trend, in line with the reductions of the reference rate by BCRP in 2018.</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color w:val="auto"/>
        </w:rPr>
        <w:t>Furthermore, interest expenses on loans also fell, specifically in LC, due to on-going decreases in the volume of substitution and expansion repos from BCRP.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expenses grew +0.5%. Growth in this component is attributable to:</w:t>
      </w:r>
    </w:p>
    <w:p>
      <w:pPr>
        <w:spacing w:after="0" w:line="229" w:lineRule="exact"/>
        <w:rPr>
          <w:sz w:val="20"/>
          <w:szCs w:val="20"/>
          <w:color w:val="auto"/>
        </w:rPr>
      </w:pPr>
    </w:p>
    <w:p>
      <w:pPr>
        <w:jc w:val="both"/>
        <w:ind w:left="900" w:hanging="514"/>
        <w:spacing w:after="0" w:line="31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increase in interest expenses on bonds and subordinated notes that is related to a one-off effect of the cancellation of interest rate swaps for some FC issuances; this decision was taken in a scenario marked by increasing interest rates in dollars. It is important to note that this effect increases expenses for this component to a new level but reduces volatility down the line given that these issuances are at fixed rates.</w:t>
      </w:r>
    </w:p>
    <w:p>
      <w:pPr>
        <w:spacing w:after="0" w:line="146" w:lineRule="exact"/>
        <w:rPr>
          <w:rFonts w:ascii="Arial" w:cs="Arial" w:eastAsia="Arial" w:hAnsi="Arial"/>
          <w:sz w:val="16"/>
          <w:szCs w:val="16"/>
          <w:color w:val="auto"/>
        </w:rPr>
      </w:pPr>
    </w:p>
    <w:p>
      <w:pPr>
        <w:ind w:left="900" w:hanging="514"/>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interest expenses on deposits due to YoY growth in deposits, mainly in LC.</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the two factors mentioned above was offset by the decrease in interest expenses on borrowed funds, specifically in LC, which was associated with a drop in the volume of BCRP instruments.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YTD, </w:t>
      </w:r>
      <w:r>
        <w:rPr>
          <w:rFonts w:ascii="Arial" w:cs="Arial" w:eastAsia="Arial" w:hAnsi="Arial"/>
          <w:sz w:val="18"/>
          <w:szCs w:val="18"/>
          <w:color w:val="auto"/>
        </w:rPr>
        <w:t>the variation mirrored the scenario seen YoY. Interest expenses as of September 2018 grew 1.1% over the level reported as of September 2017. This</w:t>
      </w:r>
      <w:r>
        <w:rPr>
          <w:rFonts w:ascii="Arial" w:cs="Arial" w:eastAsia="Arial" w:hAnsi="Arial"/>
          <w:sz w:val="18"/>
          <w:szCs w:val="18"/>
          <w:b w:val="1"/>
          <w:bCs w:val="1"/>
          <w:color w:val="auto"/>
        </w:rPr>
        <w:t xml:space="preserve"> </w:t>
      </w:r>
      <w:r>
        <w:rPr>
          <w:rFonts w:ascii="Arial" w:cs="Arial" w:eastAsia="Arial" w:hAnsi="Arial"/>
          <w:sz w:val="18"/>
          <w:szCs w:val="18"/>
          <w:color w:val="auto"/>
        </w:rPr>
        <w:t>was due primarily to growth in Interest expenses on bonds and subordinated notes and to an increase in interest expenses on deposits. The aforementioned was attenuated by a reduction in interest expenses on borrowed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and Risk-Adjusted NIM</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2238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11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8"/>
        <w:spacing w:after="0" w:line="27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evolved favorably both QoQ and YoY, which was due to:</w:t>
      </w:r>
    </w:p>
    <w:p>
      <w:pPr>
        <w:spacing w:after="0" w:line="229" w:lineRule="exact"/>
        <w:rPr>
          <w:sz w:val="20"/>
          <w:szCs w:val="20"/>
          <w:color w:val="auto"/>
        </w:rPr>
      </w:pPr>
    </w:p>
    <w:p>
      <w:pPr>
        <w:ind w:left="900" w:hanging="514"/>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growth in NII (+4.1% QoQ vs 0.9% in 2Q18 and +6.0% YoY vs +4.8% in 2Q18), as explained previously; this was in line with an improvement in loan growth.</w:t>
      </w:r>
    </w:p>
    <w:p>
      <w:pPr>
        <w:spacing w:after="0" w:line="170" w:lineRule="exact"/>
        <w:rPr>
          <w:rFonts w:ascii="Arial" w:cs="Arial" w:eastAsia="Arial" w:hAnsi="Arial"/>
          <w:sz w:val="18"/>
          <w:szCs w:val="18"/>
          <w:color w:val="auto"/>
        </w:rPr>
      </w:pPr>
    </w:p>
    <w:p>
      <w:pPr>
        <w:ind w:left="900" w:right="20" w:hanging="514"/>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slight QoQ drop in average IEAs, which was attributable to a significant decline in Available Funds, as explained in section 1. Interest-earning assets.</w:t>
      </w:r>
    </w:p>
    <w:p>
      <w:pPr>
        <w:spacing w:after="0" w:line="170"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loan growth in a scenario of a reduction in investments accentuated the change in the composition of IEAs where the share of loans, the most profitable asset, increased to 67% in comparison to 62% in September 2017.</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risk-adjusted</w:t>
      </w:r>
      <w:r>
        <w:rPr>
          <w:rFonts w:ascii="Arial" w:cs="Arial" w:eastAsia="Arial" w:hAnsi="Arial"/>
          <w:sz w:val="18"/>
          <w:szCs w:val="18"/>
          <w:color w:val="auto"/>
        </w:rPr>
        <w:t xml:space="preserve"> NIM fell -7 bps QoQ in line with the increase in provisions for loan losses; However, YoY the increase in the NII exceeded the increase in provisions, as such, risk-adjusted NIM increased +9 bps.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YTD, NIM fell -4 bps given that average IEA grew at a higher rate than the expansion posted by NII. Nevertheless, it is important to note that the favorable evolution registered QoQ and YoY in 3Q18 helped in reducing the contraction that was reported in the third quarter of this year.</w:t>
      </w:r>
    </w:p>
    <w:p>
      <w:pPr>
        <w:spacing w:after="0" w:line="170" w:lineRule="exact"/>
        <w:rPr>
          <w:sz w:val="20"/>
          <w:szCs w:val="20"/>
          <w:color w:val="auto"/>
        </w:rPr>
      </w:pPr>
    </w:p>
    <w:p>
      <w:pPr>
        <w:jc w:val="both"/>
        <w:ind w:left="80" w:right="5880"/>
        <w:spacing w:after="0" w:line="254" w:lineRule="auto"/>
        <w:rPr>
          <w:sz w:val="20"/>
          <w:szCs w:val="20"/>
          <w:color w:val="auto"/>
        </w:rPr>
      </w:pPr>
      <w:r>
        <w:rPr>
          <w:rFonts w:ascii="Arial" w:cs="Arial" w:eastAsia="Arial" w:hAnsi="Arial"/>
          <w:sz w:val="18"/>
          <w:szCs w:val="18"/>
          <w:color w:val="auto"/>
        </w:rPr>
        <w:t>NIM on loans registered a slight recovery QoQ, in line with growth in Retail Banking and SME-Business Loans, primarily in LC. The drop of -36 bps YoY and of -29 bps YTD on the NIM on loans is related to the drop in margins, mainly in LC, given that the same continue to be pressured by high competition in the local market (mainly in Wholesale Banking). Also, an environment marked by a downward trend in LC rates has had a negative impact on the margins of some segments of Retail Banking, namely Mortgage and SME.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-1102995</wp:posOffset>
            </wp:positionV>
            <wp:extent cx="2178050" cy="14922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805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also analyze NIM by subsidiary. The table below contains the interest margins for each of Credicorp’s main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BCP</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7"/>
              </w:rPr>
              <w:t xml:space="preserve">Credicorp </w:t>
            </w:r>
            <w:r>
              <w:rPr>
                <w:rFonts w:ascii="Arial" w:cs="Arial" w:eastAsia="Arial" w:hAnsi="Arial"/>
                <w:sz w:val="30"/>
                <w:szCs w:val="30"/>
                <w:b w:val="1"/>
                <w:bCs w:val="1"/>
                <w:color w:val="auto"/>
                <w:w w:val="87"/>
                <w:vertAlign w:val="superscript"/>
              </w:rPr>
              <w:t>(1)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Stand-alone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Mibanco</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Bolivia</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ASB</w:t>
            </w: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3Q17</w:t>
            </w:r>
          </w:p>
        </w:tc>
        <w:tc>
          <w:tcPr>
            <w:tcW w:w="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2Q18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4.52%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3Q18</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YTD - Sep 17</w:t>
            </w:r>
          </w:p>
        </w:tc>
        <w:tc>
          <w:tcPr>
            <w:tcW w:w="8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YTD - Sep 18</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0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The QoQ evolution of the global NIM by subsidiary shows an increase in Credicorp’s margin that was mainly attributable to </w:t>
      </w:r>
      <w:r>
        <w:rPr>
          <w:rFonts w:ascii="Arial" w:cs="Arial" w:eastAsia="Arial" w:hAnsi="Arial"/>
          <w:sz w:val="17"/>
          <w:szCs w:val="17"/>
          <w:b w:val="1"/>
          <w:bCs w:val="1"/>
          <w:color w:val="auto"/>
        </w:rPr>
        <w:t>BCP Stand-alone</w:t>
      </w:r>
      <w:r>
        <w:rPr>
          <w:rFonts w:ascii="Arial" w:cs="Arial" w:eastAsia="Arial" w:hAnsi="Arial"/>
          <w:sz w:val="17"/>
          <w:szCs w:val="17"/>
          <w:color w:val="auto"/>
        </w:rPr>
        <w:t>, which represents around 66% of net interest income. In this context, BCP Stand-alone shows clear recovery after several quarters of deterioration.</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23% of net interest income, posted a slight deterioration in NIM QoQ. This was mainly due to the decrease in LC rates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competition, which affected the generation of interest income on loans, in a scenario in which we have slowdown loan origination to focus on recovering the effectiveness of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9"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137160</wp:posOffset>
            </wp:positionV>
            <wp:extent cx="404749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474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Total non-financial income reported an increase QoQ due to net gain on sales of securities, the result on exchange difference and fee income. The YoY analysis reflects a drop in net gain on sales of securities due to gains on the sale of BCI shares in 3Q17; this was, nevertheless, slightly offset by growth in fee income (+7.5% YoY) and in net gain on foreign exchange transactions (+21.2% YoY), which represent the main sources of non-financial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Arial" w:cs="Arial" w:eastAsia="Arial" w:hAnsi="Arial"/>
                <w:sz w:val="14"/>
                <w:szCs w:val="14"/>
                <w:b w:val="1"/>
                <w:bCs w:val="1"/>
                <w:color w:val="auto"/>
              </w:rPr>
              <w:t>Non-financial income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17</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Sep 18</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18 / Sep 17</w:t>
            </w: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316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Fee income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719,539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773,529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2,122,570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2,290,215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150,777</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180,669</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182,777</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477,519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525,741</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10.1%</w:t>
            </w:r>
          </w:p>
        </w:tc>
      </w:tr>
      <w:tr>
        <w:trPr>
          <w:trHeight w:val="189"/>
        </w:trPr>
        <w:tc>
          <w:tcPr>
            <w:tcW w:w="31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9,506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4,974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N/A</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11,469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22,867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9"/>
        </w:trPr>
        <w:tc>
          <w:tcPr>
            <w:tcW w:w="3160" w:type="dxa"/>
            <w:vAlign w:val="bottom"/>
          </w:tcPr>
          <w:p>
            <w:pPr>
              <w:spacing w:after="0" w:line="189"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(3)</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346,122</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(8,756)</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47,877</w:t>
            </w:r>
          </w:p>
        </w:tc>
        <w:tc>
          <w:tcPr>
            <w:tcW w:w="120" w:type="dxa"/>
            <w:vAlign w:val="bottom"/>
          </w:tcPr>
          <w:p>
            <w:pPr>
              <w:spacing w:after="0"/>
              <w:rPr>
                <w:sz w:val="16"/>
                <w:szCs w:val="16"/>
                <w:color w:val="auto"/>
              </w:rPr>
            </w:pPr>
          </w:p>
        </w:tc>
        <w:tc>
          <w:tcPr>
            <w:tcW w:w="1260" w:type="dxa"/>
            <w:vAlign w:val="bottom"/>
            <w:gridSpan w:val="4"/>
          </w:tcPr>
          <w:p>
            <w:pPr>
              <w:ind w:left="540"/>
              <w:spacing w:after="0"/>
              <w:rPr>
                <w:sz w:val="20"/>
                <w:szCs w:val="20"/>
                <w:color w:val="auto"/>
              </w:rPr>
            </w:pPr>
            <w:r>
              <w:rPr>
                <w:rFonts w:ascii="Arial" w:cs="Arial" w:eastAsia="Arial" w:hAnsi="Arial"/>
                <w:sz w:val="14"/>
                <w:szCs w:val="14"/>
                <w:color w:val="auto"/>
              </w:rPr>
              <w:t>N/A</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-86.2%</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487,094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131,510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-73.0%</w:t>
            </w: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25,713</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14,597</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674</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95,367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14,959</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Result on exchange difference</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4,028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1,031</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8,834</w:t>
            </w:r>
          </w:p>
        </w:tc>
        <w:tc>
          <w:tcPr>
            <w:tcW w:w="120" w:type="dxa"/>
            <w:vAlign w:val="bottom"/>
          </w:tcPr>
          <w:p>
            <w:pPr>
              <w:spacing w:after="0"/>
              <w:rPr>
                <w:sz w:val="12"/>
                <w:szCs w:val="12"/>
                <w:color w:val="auto"/>
              </w:rPr>
            </w:pPr>
          </w:p>
        </w:tc>
        <w:tc>
          <w:tcPr>
            <w:tcW w:w="126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119.3%</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15,403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15,754</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44,733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84,009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67,174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183,248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234,059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42"/>
        </w:trPr>
        <w:tc>
          <w:tcPr>
            <w:tcW w:w="3160" w:type="dxa"/>
            <w:vAlign w:val="bottom"/>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1,290,384</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1,048,050</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1,085,839</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-15.9</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3,392,670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3,235,105</w:t>
            </w:r>
          </w:p>
        </w:tc>
        <w:tc>
          <w:tcPr>
            <w:tcW w:w="100" w:type="dxa"/>
            <w:vAlign w:val="bottom"/>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the sale of BCI shares in 3Q17 (S/ 281 million).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4"/>
                <w:szCs w:val="14"/>
                <w:b w:val="1"/>
                <w:bCs w:val="1"/>
                <w:color w:val="auto"/>
              </w:rPr>
              <w:t>Millions (S/)</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3Q17</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2Q18</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3Q18</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Sep 18</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18 / Sep 17</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EPS contribution (50%)</w:t>
            </w:r>
          </w:p>
        </w:tc>
        <w:tc>
          <w:tcPr>
            <w:tcW w:w="10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13.29</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10.69</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111.7%</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26.6</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37.2</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Arial" w:cs="Arial" w:eastAsia="Arial" w:hAnsi="Arial"/>
                <w:sz w:val="14"/>
                <w:szCs w:val="14"/>
                <w:color w:val="auto"/>
              </w:rPr>
              <w:t>(-) Private health insurance deduction (50%)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-5.58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-3.79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-5.71</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50.7%</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-14.4</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8"/>
        </w:trPr>
        <w:tc>
          <w:tcPr>
            <w:tcW w:w="33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4"/>
                <w:szCs w:val="14"/>
                <w:b w:val="1"/>
                <w:bCs w:val="1"/>
                <w:color w:val="auto"/>
              </w:rPr>
              <w:t xml:space="preserve">(=) Net gain from associates excluding </w:t>
            </w:r>
            <w:r>
              <w:rPr>
                <w:rFonts w:ascii="Arial" w:cs="Arial" w:eastAsia="Arial" w:hAnsi="Arial"/>
                <w:sz w:val="18"/>
                <w:szCs w:val="18"/>
                <w:b w:val="1"/>
                <w:bCs w:val="1"/>
                <w:color w:val="auto"/>
              </w:rPr>
              <w:t>Non-</w:t>
            </w: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income /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-0.53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9.51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4.97</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47.7%</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11.5</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99.4%</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 Non-recurring income/expense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Net gain from associates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-0.53</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9.51</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4.97</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-47.7</w:t>
            </w:r>
          </w:p>
        </w:tc>
        <w:tc>
          <w:tcPr>
            <w:tcW w:w="2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N/A</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Non-financial income increased </w:t>
      </w:r>
      <w:r>
        <w:rPr>
          <w:rFonts w:ascii="Arial" w:cs="Arial" w:eastAsia="Arial" w:hAnsi="Arial"/>
          <w:sz w:val="18"/>
          <w:szCs w:val="18"/>
          <w:b w:val="1"/>
          <w:bCs w:val="1"/>
          <w:color w:val="auto"/>
        </w:rPr>
        <w:t>QoQ</w:t>
      </w:r>
      <w:r>
        <w:rPr>
          <w:rFonts w:ascii="Arial" w:cs="Arial" w:eastAsia="Arial" w:hAnsi="Arial"/>
          <w:sz w:val="18"/>
          <w:szCs w:val="18"/>
          <w:color w:val="auto"/>
        </w:rPr>
        <w:t>. This was due primarily to:</w:t>
      </w:r>
    </w:p>
    <w:p>
      <w:pPr>
        <w:spacing w:after="0" w:line="225" w:lineRule="exact"/>
        <w:rPr>
          <w:sz w:val="20"/>
          <w:szCs w:val="20"/>
          <w:color w:val="auto"/>
        </w:rPr>
      </w:pPr>
    </w:p>
    <w:p>
      <w:pPr>
        <w:jc w:val="both"/>
        <w:ind w:left="900" w:hanging="514"/>
        <w:spacing w:after="0" w:line="314"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Higher </w:t>
      </w:r>
      <w:r>
        <w:rPr>
          <w:rFonts w:ascii="Arial" w:cs="Arial" w:eastAsia="Arial" w:hAnsi="Arial"/>
          <w:sz w:val="16"/>
          <w:szCs w:val="16"/>
          <w:b w:val="1"/>
          <w:bCs w:val="1"/>
          <w:color w:val="auto"/>
        </w:rPr>
        <w:t>Net gain on sales of securities</w:t>
      </w:r>
      <w:r>
        <w:rPr>
          <w:rFonts w:ascii="Arial" w:cs="Arial" w:eastAsia="Arial" w:hAnsi="Arial"/>
          <w:sz w:val="16"/>
          <w:szCs w:val="16"/>
          <w:color w:val="auto"/>
        </w:rPr>
        <w:t>, mainly at Prima AFP, due a mark-to-market fluctuation in managed funds that had an impact on the profitability of Prima AFP’s legal reserves. Additionally, although to a lesser extent, BCP Stand-alone posted better results, which was due primarily to a recovery after having registered a decline due to the sale of some investments in a context for rising global interest rates in 2Q18.</w:t>
      </w:r>
    </w:p>
    <w:p>
      <w:pPr>
        <w:spacing w:after="0" w:line="142" w:lineRule="exact"/>
        <w:rPr>
          <w:rFonts w:ascii="Arial" w:cs="Arial" w:eastAsia="Arial" w:hAnsi="Arial"/>
          <w:sz w:val="16"/>
          <w:szCs w:val="16"/>
          <w:color w:val="auto"/>
        </w:rPr>
      </w:pPr>
    </w:p>
    <w:p>
      <w:pPr>
        <w:ind w:left="900" w:hanging="514"/>
        <w:spacing w:after="0" w:line="282"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Result on exchange difference</w:t>
      </w:r>
      <w:r>
        <w:rPr>
          <w:rFonts w:ascii="Arial" w:cs="Arial" w:eastAsia="Arial" w:hAnsi="Arial"/>
          <w:sz w:val="18"/>
          <w:szCs w:val="18"/>
          <w:color w:val="auto"/>
        </w:rPr>
        <w:t>, which was mainly seen in Credicorp Capital after liabilities depreciated due to a drop in the US dollar in 2Q18.</w:t>
      </w:r>
    </w:p>
    <w:p>
      <w:pPr>
        <w:spacing w:after="0" w:line="161" w:lineRule="exact"/>
        <w:rPr>
          <w:rFonts w:ascii="Arial" w:cs="Arial" w:eastAsia="Arial" w:hAnsi="Arial"/>
          <w:sz w:val="18"/>
          <w:szCs w:val="18"/>
          <w:color w:val="auto"/>
        </w:rPr>
      </w:pPr>
    </w:p>
    <w:p>
      <w:pPr>
        <w:ind w:left="900" w:right="20" w:hanging="514"/>
        <w:spacing w:after="0" w:line="282"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Fee income</w:t>
      </w:r>
      <w:r>
        <w:rPr>
          <w:rFonts w:ascii="Arial" w:cs="Arial" w:eastAsia="Arial" w:hAnsi="Arial"/>
          <w:sz w:val="18"/>
          <w:szCs w:val="18"/>
          <w:color w:val="auto"/>
        </w:rPr>
        <w:t>, mainly at BCP stand-alone, due to improvements in businesses related to drafts and transfers, SME loans and payments and collections.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slightly offset by:</w:t>
      </w:r>
    </w:p>
    <w:p>
      <w:pPr>
        <w:spacing w:after="0" w:line="221" w:lineRule="exact"/>
        <w:rPr>
          <w:sz w:val="20"/>
          <w:szCs w:val="20"/>
          <w:color w:val="auto"/>
        </w:rPr>
      </w:pPr>
    </w:p>
    <w:p>
      <w:pPr>
        <w:ind w:left="900" w:hanging="514"/>
        <w:spacing w:after="0" w:line="282"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Other income</w:t>
      </w:r>
      <w:r>
        <w:rPr>
          <w:rFonts w:ascii="Arial" w:cs="Arial" w:eastAsia="Arial" w:hAnsi="Arial"/>
          <w:sz w:val="18"/>
          <w:szCs w:val="18"/>
          <w:color w:val="auto"/>
        </w:rPr>
        <w:t>, which was due primarily to the fact that in 2Q18, this component reported a gain in Mibanco for the sale of a real estate holding.</w:t>
      </w:r>
    </w:p>
    <w:p>
      <w:pPr>
        <w:spacing w:after="0" w:line="161" w:lineRule="exact"/>
        <w:rPr>
          <w:rFonts w:ascii="Arial" w:cs="Arial" w:eastAsia="Arial" w:hAnsi="Arial"/>
          <w:sz w:val="18"/>
          <w:szCs w:val="18"/>
          <w:color w:val="auto"/>
        </w:rPr>
      </w:pPr>
    </w:p>
    <w:p>
      <w:pPr>
        <w:ind w:left="900" w:right="20" w:hanging="514"/>
        <w:spacing w:after="0" w:line="282"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loss on </w:t>
      </w:r>
      <w:r>
        <w:rPr>
          <w:rFonts w:ascii="Arial" w:cs="Arial" w:eastAsia="Arial" w:hAnsi="Arial"/>
          <w:sz w:val="18"/>
          <w:szCs w:val="18"/>
          <w:b w:val="1"/>
          <w:bCs w:val="1"/>
          <w:color w:val="auto"/>
        </w:rPr>
        <w:t>Net gain on derivatives</w:t>
      </w:r>
      <w:r>
        <w:rPr>
          <w:rFonts w:ascii="Arial" w:cs="Arial" w:eastAsia="Arial" w:hAnsi="Arial"/>
          <w:sz w:val="18"/>
          <w:szCs w:val="18"/>
          <w:color w:val="auto"/>
        </w:rPr>
        <w:t xml:space="preserve"> at BCP Stand-alone, mainly in the forward business to cover exchange rate exposure for investments in the trading portfolio and trading swaps.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Non-financial income posted a drop </w:t>
      </w:r>
      <w:r>
        <w:rPr>
          <w:rFonts w:ascii="Arial" w:cs="Arial" w:eastAsia="Arial" w:hAnsi="Arial"/>
          <w:sz w:val="18"/>
          <w:szCs w:val="18"/>
          <w:b w:val="1"/>
          <w:bCs w:val="1"/>
          <w:color w:val="auto"/>
        </w:rPr>
        <w:t>YoY</w:t>
      </w:r>
      <w:r>
        <w:rPr>
          <w:rFonts w:ascii="Arial" w:cs="Arial" w:eastAsia="Arial" w:hAnsi="Arial"/>
          <w:sz w:val="18"/>
          <w:szCs w:val="18"/>
          <w:color w:val="auto"/>
        </w:rPr>
        <w:t xml:space="preserve"> due mainly to:</w:t>
      </w:r>
    </w:p>
    <w:p>
      <w:pPr>
        <w:spacing w:after="0" w:line="225" w:lineRule="exact"/>
        <w:rPr>
          <w:sz w:val="20"/>
          <w:szCs w:val="20"/>
          <w:color w:val="auto"/>
        </w:rPr>
      </w:pPr>
    </w:p>
    <w:p>
      <w:pPr>
        <w:ind w:left="900" w:hanging="514"/>
        <w:spacing w:after="0" w:line="282"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which posted a high level in 3Q17 due to income generated by the sale of BCI shares (S/.281 million).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aforementioned attenuated:</w:t>
      </w:r>
    </w:p>
    <w:p>
      <w:pPr>
        <w:spacing w:after="0" w:line="221" w:lineRule="exact"/>
        <w:rPr>
          <w:sz w:val="20"/>
          <w:szCs w:val="20"/>
          <w:color w:val="auto"/>
        </w:rPr>
      </w:pPr>
    </w:p>
    <w:p>
      <w:pPr>
        <w:ind w:left="900" w:hanging="514"/>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increase in </w:t>
      </w:r>
      <w:r>
        <w:rPr>
          <w:rFonts w:ascii="Arial" w:cs="Arial" w:eastAsia="Arial" w:hAnsi="Arial"/>
          <w:sz w:val="16"/>
          <w:szCs w:val="16"/>
          <w:b w:val="1"/>
          <w:bCs w:val="1"/>
          <w:color w:val="auto"/>
        </w:rPr>
        <w:t>Fee income</w:t>
      </w:r>
      <w:r>
        <w:rPr>
          <w:rFonts w:ascii="Arial" w:cs="Arial" w:eastAsia="Arial" w:hAnsi="Arial"/>
          <w:sz w:val="16"/>
          <w:szCs w:val="16"/>
          <w:color w:val="auto"/>
        </w:rPr>
        <w:t>, mainly at BCP Stand-alone, due to an increase in drafts and transfers, credit cards and payments and collections.</w:t>
      </w:r>
    </w:p>
    <w:p>
      <w:pPr>
        <w:spacing w:after="0" w:line="248" w:lineRule="exact"/>
        <w:rPr>
          <w:rFonts w:ascii="Arial" w:cs="Arial" w:eastAsia="Arial" w:hAnsi="Arial"/>
          <w:sz w:val="16"/>
          <w:szCs w:val="16"/>
          <w:color w:val="auto"/>
        </w:rPr>
      </w:pPr>
    </w:p>
    <w:p>
      <w:pPr>
        <w:ind w:left="900" w:hanging="514"/>
        <w:spacing w:after="0" w:line="282"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at BCP Stand-alone due to an increase in volumes of FX transactions and, to a lesser extent, to the margin obtained despite a scenario of low volatility in the exchange rate this quarter.</w:t>
      </w:r>
    </w:p>
    <w:p>
      <w:pPr>
        <w:spacing w:after="0" w:line="161" w:lineRule="exact"/>
        <w:rPr>
          <w:rFonts w:ascii="Arial" w:cs="Arial" w:eastAsia="Arial" w:hAnsi="Arial"/>
          <w:sz w:val="18"/>
          <w:szCs w:val="18"/>
          <w:color w:val="auto"/>
        </w:rPr>
      </w:pPr>
    </w:p>
    <w:p>
      <w:pPr>
        <w:ind w:left="900" w:hanging="514"/>
        <w:spacing w:after="0" w:line="282"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at BCP Stand-alone, mainly for reimbursements from Sunat and from the sale of real estate properties located in Callao,</w:t>
      </w:r>
      <w:r>
        <w:rPr>
          <w:rFonts w:ascii="Arial" w:cs="Arial" w:eastAsia="Arial" w:hAnsi="Arial"/>
          <w:sz w:val="18"/>
          <w:szCs w:val="18"/>
          <w:b w:val="1"/>
          <w:bCs w:val="1"/>
          <w:color w:val="auto"/>
        </w:rPr>
        <w:t xml:space="preserve"> </w:t>
      </w:r>
      <w:r>
        <w:rPr>
          <w:rFonts w:ascii="Arial" w:cs="Arial" w:eastAsia="Arial" w:hAnsi="Arial"/>
          <w:sz w:val="18"/>
          <w:szCs w:val="18"/>
          <w:color w:val="auto"/>
        </w:rPr>
        <w:t>Limatambo branch and Los Jazmines branch.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YTD terms (Jan-Sep18 vs Jan-Sep17), non-financial income posted significant growth in the following accounts:</w:t>
      </w:r>
    </w:p>
    <w:p>
      <w:pPr>
        <w:spacing w:after="0" w:line="221" w:lineRule="exact"/>
        <w:rPr>
          <w:sz w:val="20"/>
          <w:szCs w:val="20"/>
          <w:color w:val="auto"/>
        </w:rPr>
      </w:pPr>
    </w:p>
    <w:p>
      <w:pPr>
        <w:ind w:left="900" w:hanging="51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mainly due to an increase in fee income at BCP Stand-alone and, to a lesser degree, at Mibanco,</w:t>
      </w:r>
    </w:p>
    <w:p>
      <w:pPr>
        <w:spacing w:after="0" w:line="225" w:lineRule="exact"/>
        <w:rPr>
          <w:rFonts w:ascii="Arial" w:cs="Arial" w:eastAsia="Arial" w:hAnsi="Arial"/>
          <w:sz w:val="18"/>
          <w:szCs w:val="18"/>
          <w:color w:val="auto"/>
        </w:rPr>
      </w:pPr>
    </w:p>
    <w:p>
      <w:pPr>
        <w:ind w:left="900" w:hanging="514"/>
        <w:spacing w:after="0" w:line="282"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Net gain on foreign exchange transactions </w:t>
      </w:r>
      <w:r>
        <w:rPr>
          <w:rFonts w:ascii="Arial" w:cs="Arial" w:eastAsia="Arial" w:hAnsi="Arial"/>
          <w:sz w:val="18"/>
          <w:szCs w:val="18"/>
          <w:color w:val="auto"/>
        </w:rPr>
        <w:t>at BCP Stand-alone due to an increase in FX transactions and, to a lesser extent, to the margin</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despite the low volatility seen in the exchange rate thus far this year.</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aforementioned attenuated the contraction in </w:t>
      </w:r>
      <w:r>
        <w:rPr>
          <w:rFonts w:ascii="Arial" w:cs="Arial" w:eastAsia="Arial" w:hAnsi="Arial"/>
          <w:sz w:val="18"/>
          <w:szCs w:val="18"/>
          <w:b w:val="1"/>
          <w:bCs w:val="1"/>
          <w:color w:val="auto"/>
        </w:rPr>
        <w:t>net gain on the sale of securities</w:t>
      </w:r>
      <w:r>
        <w:rPr>
          <w:rFonts w:ascii="Arial" w:cs="Arial" w:eastAsia="Arial" w:hAnsi="Arial"/>
          <w:sz w:val="18"/>
          <w:szCs w:val="18"/>
          <w:color w:val="auto"/>
        </w:rPr>
        <w:t>, which posted a high level in 3Q17 due to income from the sale of BCI shares. In this context, non-financial income contracted -4.6% in accumulated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growth in Credicorp’s fee income in 3Q18: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2075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611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figure below shows the YoY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154940</wp:posOffset>
            </wp:positionV>
            <wp:extent cx="5720080" cy="2092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2008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Banking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3Q17</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3Q18</w:t>
            </w: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18</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18 / Sep 17</w:t>
            </w: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10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178,868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178,172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177,960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523,436</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533,388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68,748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74,153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73,792</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213,111</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219,186</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Drafts and transfers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47,590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55,136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59,121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24.2%</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131,022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163,223</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26,809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23,401</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23,119</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-13.8%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75,534</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69,418</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17,342</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45,864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49,562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19,540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20,489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21,509</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10.1%</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56,353</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61,627</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11,181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9,763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10,083</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31,718</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29,028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49,225</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51,376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51,559</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4.7%</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136,602</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154,480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99,570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102,492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104,346</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291,521</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304,616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21,287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19,400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20,566</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-3.4%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57,014</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60,562</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10,714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32,602</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Corporate finance and mutual funds </w:t>
            </w:r>
            <w:r>
              <w:rPr>
                <w:rFonts w:ascii="Arial" w:cs="Arial" w:eastAsia="Arial" w:hAnsi="Arial"/>
                <w:sz w:val="21"/>
                <w:szCs w:val="21"/>
                <w:color w:val="auto"/>
                <w:vertAlign w:val="superscript"/>
              </w:rPr>
              <w:t>(4)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12,114</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15,234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13,425</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-11.9%</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10.8%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45,985</w:t>
            </w: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44,046</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ASB </w:t>
            </w:r>
            <w:r>
              <w:rPr>
                <w:rFonts w:ascii="Arial" w:cs="Arial" w:eastAsia="Arial" w:hAnsi="Arial"/>
                <w:sz w:val="21"/>
                <w:szCs w:val="21"/>
                <w:color w:val="auto"/>
                <w:vertAlign w:val="superscript"/>
              </w:rPr>
              <w:t>(4)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7,917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13,419</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16,654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56,393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60,805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60,477</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7"/>
                <w:szCs w:val="17"/>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7.2%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152,118</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182,347</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fee income</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621,394</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644,223</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652,597</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1,806,299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1,918,325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fee income from the banking business increased 1.3% QoQ, mainly due to:</w:t>
      </w:r>
    </w:p>
    <w:p>
      <w:pPr>
        <w:spacing w:after="0" w:line="225" w:lineRule="exact"/>
        <w:rPr>
          <w:sz w:val="20"/>
          <w:szCs w:val="20"/>
          <w:color w:val="auto"/>
        </w:rPr>
      </w:pPr>
    </w:p>
    <w:p>
      <w:pPr>
        <w:ind w:left="900" w:hanging="514"/>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improvement in transactional activity, which was reflected in growth in </w:t>
      </w:r>
      <w:r>
        <w:rPr>
          <w:rFonts w:ascii="Arial" w:cs="Arial" w:eastAsia="Arial" w:hAnsi="Arial"/>
          <w:sz w:val="18"/>
          <w:szCs w:val="18"/>
          <w:b w:val="1"/>
          <w:bCs w:val="1"/>
          <w:color w:val="auto"/>
        </w:rPr>
        <w:t>Drafts and Transfers and Payments and Collections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514"/>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SME Loans</w:t>
      </w:r>
      <w:r>
        <w:rPr>
          <w:rFonts w:ascii="Arial" w:cs="Arial" w:eastAsia="Arial" w:hAnsi="Arial"/>
          <w:sz w:val="18"/>
          <w:szCs w:val="18"/>
          <w:color w:val="auto"/>
        </w:rPr>
        <w:t xml:space="preserve"> due to regularizations in expenses for credit life insurance.</w:t>
      </w:r>
    </w:p>
    <w:p>
      <w:pPr>
        <w:spacing w:after="0" w:line="225" w:lineRule="exact"/>
        <w:rPr>
          <w:rFonts w:ascii="Arial" w:cs="Arial" w:eastAsia="Arial" w:hAnsi="Arial"/>
          <w:sz w:val="18"/>
          <w:szCs w:val="18"/>
          <w:color w:val="auto"/>
        </w:rPr>
      </w:pPr>
    </w:p>
    <w:p>
      <w:pPr>
        <w:ind w:left="900" w:hanging="514"/>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Commercial Loans</w:t>
      </w:r>
      <w:r>
        <w:rPr>
          <w:rFonts w:ascii="Arial" w:cs="Arial" w:eastAsia="Arial" w:hAnsi="Arial"/>
          <w:sz w:val="18"/>
          <w:szCs w:val="18"/>
          <w:color w:val="auto"/>
        </w:rPr>
        <w:t xml:space="preserve"> due to higher commissions associated with Leasing.</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The aforementioned offset the contraction in commissions from </w:t>
      </w:r>
      <w:r>
        <w:rPr>
          <w:rFonts w:ascii="Arial" w:cs="Arial" w:eastAsia="Arial" w:hAnsi="Arial"/>
          <w:sz w:val="18"/>
          <w:szCs w:val="18"/>
          <w:b w:val="1"/>
          <w:bCs w:val="1"/>
          <w:color w:val="auto"/>
        </w:rPr>
        <w:t>Corporate Finance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+5.0% growth was attributable to:</w:t>
      </w:r>
    </w:p>
    <w:p>
      <w:pPr>
        <w:spacing w:after="0" w:line="225" w:lineRule="exact"/>
        <w:rPr>
          <w:sz w:val="20"/>
          <w:szCs w:val="20"/>
          <w:color w:val="auto"/>
        </w:rPr>
      </w:pPr>
    </w:p>
    <w:p>
      <w:pPr>
        <w:ind w:left="900" w:right="20" w:hanging="514"/>
        <w:spacing w:after="0" w:line="282"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improvement in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due to the El Nino Phenomenon campaign, which began at the end of 1Q17. Despite the slowdown that was expected at the end of December, this component continues to post growth.</w:t>
      </w:r>
    </w:p>
    <w:p>
      <w:pPr>
        <w:spacing w:after="0" w:line="161" w:lineRule="exact"/>
        <w:rPr>
          <w:rFonts w:ascii="Arial" w:cs="Arial" w:eastAsia="Arial" w:hAnsi="Arial"/>
          <w:sz w:val="18"/>
          <w:szCs w:val="18"/>
          <w:color w:val="auto"/>
        </w:rPr>
      </w:pPr>
    </w:p>
    <w:p>
      <w:pPr>
        <w:ind w:left="900" w:hanging="51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Credit Cards</w:t>
      </w:r>
      <w:r>
        <w:rPr>
          <w:rFonts w:ascii="Arial" w:cs="Arial" w:eastAsia="Arial" w:hAnsi="Arial"/>
          <w:sz w:val="18"/>
          <w:szCs w:val="18"/>
          <w:color w:val="auto"/>
        </w:rPr>
        <w:t>, due to a higher volume of transactions.</w:t>
      </w:r>
    </w:p>
    <w:p>
      <w:pPr>
        <w:spacing w:after="0" w:line="225" w:lineRule="exact"/>
        <w:rPr>
          <w:rFonts w:ascii="Arial" w:cs="Arial" w:eastAsia="Arial" w:hAnsi="Arial"/>
          <w:sz w:val="18"/>
          <w:szCs w:val="18"/>
          <w:color w:val="auto"/>
        </w:rPr>
      </w:pPr>
    </w:p>
    <w:p>
      <w:pPr>
        <w:ind w:left="900" w:right="20" w:hanging="514"/>
        <w:spacing w:after="0" w:line="282"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 higher level of </w:t>
      </w:r>
      <w:r>
        <w:rPr>
          <w:rFonts w:ascii="Arial" w:cs="Arial" w:eastAsia="Arial" w:hAnsi="Arial"/>
          <w:sz w:val="18"/>
          <w:szCs w:val="18"/>
          <w:b w:val="1"/>
          <w:bCs w:val="1"/>
          <w:color w:val="auto"/>
        </w:rPr>
        <w:t>Payments and Collections</w:t>
      </w:r>
      <w:r>
        <w:rPr>
          <w:rFonts w:ascii="Arial" w:cs="Arial" w:eastAsia="Arial" w:hAnsi="Arial"/>
          <w:sz w:val="18"/>
          <w:szCs w:val="18"/>
          <w:color w:val="auto"/>
        </w:rPr>
        <w:t xml:space="preserve"> due to due to the recovery that this service posted after having registered a decline in previous quarters due to the El Nino Phenomenon.</w:t>
      </w:r>
    </w:p>
    <w:p>
      <w:pPr>
        <w:spacing w:after="0" w:line="161" w:lineRule="exact"/>
        <w:rPr>
          <w:rFonts w:ascii="Arial" w:cs="Arial" w:eastAsia="Arial" w:hAnsi="Arial"/>
          <w:sz w:val="18"/>
          <w:szCs w:val="18"/>
          <w:color w:val="auto"/>
        </w:rPr>
      </w:pPr>
    </w:p>
    <w:p>
      <w:pPr>
        <w:ind w:left="900" w:hanging="514"/>
        <w:spacing w:after="0" w:line="282"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SME loans</w:t>
      </w:r>
      <w:r>
        <w:rPr>
          <w:rFonts w:ascii="Arial" w:cs="Arial" w:eastAsia="Arial" w:hAnsi="Arial"/>
          <w:sz w:val="18"/>
          <w:szCs w:val="18"/>
          <w:color w:val="auto"/>
        </w:rPr>
        <w:t xml:space="preserve"> due to the recovery that this service posted after having registered a decline in 3Q17 (in the month of August) due to property insurance payments by clients affected by FEN.</w:t>
      </w:r>
    </w:p>
    <w:p>
      <w:pPr>
        <w:spacing w:after="0" w:line="161" w:lineRule="exact"/>
        <w:rPr>
          <w:rFonts w:ascii="Arial" w:cs="Arial" w:eastAsia="Arial" w:hAnsi="Arial"/>
          <w:sz w:val="18"/>
          <w:szCs w:val="18"/>
          <w:color w:val="auto"/>
        </w:rPr>
      </w:pPr>
    </w:p>
    <w:p>
      <w:pPr>
        <w:jc w:val="both"/>
        <w:ind w:left="900" w:hanging="514"/>
        <w:spacing w:after="0" w:line="26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Others</w:t>
      </w:r>
      <w:r>
        <w:rPr>
          <w:rFonts w:ascii="Arial" w:cs="Arial" w:eastAsia="Arial" w:hAnsi="Arial"/>
          <w:sz w:val="18"/>
          <w:szCs w:val="18"/>
          <w:color w:val="auto"/>
        </w:rPr>
        <w:t>, mainly attributable to Mibanco, where the increase was due to a change in the methodology to calculate the penalty for late loan payments. It is important to note that previously, this penalty was charged through moratorium interest but now, fixed commissions are used.</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offset the drop-in income from Personal loans after a change was made to how commissions are charged. Starting November 2017, these commissions are charged on the second day of overdue instead of the first day.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The insurance underwriting result fell -4.0% QoQ due to an increase in net claims in both the property and casualty (P&amp;C) and life business; this was mitigated by an increase in the net earned premium for the life insurance business. In the YoY analysis, the underwriting result fell -12.1% due to an increase in the net claims and </w:t>
      </w:r>
      <w:r>
        <w:rPr>
          <w:rFonts w:ascii="Arial" w:cs="Arial" w:eastAsia="Arial" w:hAnsi="Arial"/>
          <w:sz w:val="18"/>
          <w:szCs w:val="18"/>
          <w:color w:val="auto"/>
        </w:rPr>
        <w:t>acquisition cost</w:t>
      </w:r>
      <w:r>
        <w:rPr>
          <w:rFonts w:ascii="Arial" w:cs="Arial" w:eastAsia="Arial" w:hAnsi="Arial"/>
          <w:sz w:val="18"/>
          <w:szCs w:val="18"/>
          <w:i w:val="1"/>
          <w:iCs w:val="1"/>
          <w:color w:val="auto"/>
        </w:rPr>
        <w:t xml:space="preserve"> in both businesses, which was mitigated by an increase in the net earned premium mainly through life business and to a lesser extent in property and casualty business.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Insurance underwriting result</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3Q17</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2Q18</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3Q18</w:t>
            </w:r>
          </w:p>
        </w:tc>
        <w:tc>
          <w:tcPr>
            <w:tcW w:w="200" w:type="dxa"/>
            <w:vAlign w:val="bottom"/>
          </w:tcPr>
          <w:p>
            <w:pPr>
              <w:spacing w:after="0"/>
              <w:rPr>
                <w:sz w:val="14"/>
                <w:szCs w:val="14"/>
                <w:color w:val="auto"/>
              </w:rPr>
            </w:pPr>
          </w:p>
        </w:tc>
        <w:tc>
          <w:tcPr>
            <w:tcW w:w="640" w:type="dxa"/>
            <w:vAlign w:val="bottom"/>
          </w:tcPr>
          <w:p>
            <w:pPr>
              <w:ind w:left="320"/>
              <w:spacing w:after="0"/>
              <w:rPr>
                <w:sz w:val="20"/>
                <w:szCs w:val="20"/>
                <w:color w:val="auto"/>
              </w:rPr>
            </w:pPr>
            <w:r>
              <w:rPr>
                <w:rFonts w:ascii="Arial" w:cs="Arial" w:eastAsia="Arial" w:hAnsi="Arial"/>
                <w:sz w:val="14"/>
                <w:szCs w:val="14"/>
                <w:b w:val="1"/>
                <w:bCs w:val="1"/>
                <w:color w:val="auto"/>
                <w:w w:val="98"/>
              </w:rPr>
              <w:t>QoQ</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ind w:left="340"/>
              <w:spacing w:after="0"/>
              <w:rPr>
                <w:sz w:val="20"/>
                <w:szCs w:val="20"/>
                <w:color w:val="auto"/>
              </w:rPr>
            </w:pPr>
            <w:r>
              <w:rPr>
                <w:rFonts w:ascii="Arial" w:cs="Arial" w:eastAsia="Arial" w:hAnsi="Arial"/>
                <w:sz w:val="14"/>
                <w:szCs w:val="14"/>
                <w:b w:val="1"/>
                <w:bCs w:val="1"/>
                <w:color w:val="auto"/>
                <w:w w:val="87"/>
              </w:rPr>
              <w:t>YoY</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18</w:t>
            </w:r>
          </w:p>
        </w:tc>
        <w:tc>
          <w:tcPr>
            <w:tcW w:w="120" w:type="dxa"/>
            <w:vAlign w:val="bottom"/>
          </w:tcPr>
          <w:p>
            <w:pPr>
              <w:spacing w:after="0"/>
              <w:rPr>
                <w:sz w:val="14"/>
                <w:szCs w:val="14"/>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Sep 18 / Sep 17</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473,457</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511,960</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523,077</w:t>
            </w:r>
          </w:p>
        </w:tc>
        <w:tc>
          <w:tcPr>
            <w:tcW w:w="20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2.2%</w:t>
            </w:r>
          </w:p>
        </w:tc>
        <w:tc>
          <w:tcPr>
            <w:tcW w:w="6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10.5%</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1,405,136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1,543,239</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(275,722)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(300,845)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(318,644)</w:t>
            </w:r>
          </w:p>
        </w:tc>
        <w:tc>
          <w:tcPr>
            <w:tcW w:w="64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600" w:type="dxa"/>
            <w:vAlign w:val="bottom"/>
          </w:tcPr>
          <w:p>
            <w:pPr>
              <w:spacing w:after="0"/>
              <w:rPr>
                <w:sz w:val="12"/>
                <w:szCs w:val="12"/>
                <w:color w:val="auto"/>
              </w:rPr>
            </w:pP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15.6%</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(834,951)</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(914,234)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(74,776)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(98,556)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(96,382)</w:t>
            </w:r>
          </w:p>
        </w:tc>
        <w:tc>
          <w:tcPr>
            <w:tcW w:w="6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6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(198,502)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(292,486)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2"/>
        </w:trPr>
        <w:tc>
          <w:tcPr>
            <w:tcW w:w="2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insurance underwriting result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122,959</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112,559</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108,051</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-12.1</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371,683</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336,519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142875</wp:posOffset>
            </wp:positionV>
            <wp:extent cx="3764915" cy="1852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6491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QoQ drop in the underwriting result was attributable to both businesses. In the life insurance business, was associated with (i) an increase net claims for Group Life, AFP and Annuities lines; and (ii) higher commissions in Credit Life. This impact was attenuated by an increase in the net earned premiums in Annuities and Credit life. In P&amp;C business, the underwriting result was associated with an increase in net claims in Personal Lines and Medical Assistance; this was mitigated by a decrease in the underwriting expense in Commercial Lines.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underwriting result in P&amp;C business fell due to (i) an increase in net claims in Medical Assistance and Personal Lines; (ii) higher acquisition costs in Medical Assistance and Commercial Lines. While on life insurance business, there is a net effect of higher net earned premium mitigated by higher claims and acquisition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accumulated analysis (September 2018 vs September 2017), the underwriting result in 2018 fell -9.5% which was due primarily to an increase in net claims of both life and P&amp;C business; and to a higher acquisition cost due to (i) an increase in life insurance commissions, and (ii) lower underwriting income due to the concept of policy fee reclassified as written premium. This was mitigated by the higher premiums in life insurance.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142875</wp:posOffset>
            </wp:positionV>
            <wp:extent cx="2615565" cy="1217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5565" cy="1217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56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142875</wp:posOffset>
            </wp:positionV>
            <wp:extent cx="2470150" cy="1200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0150" cy="1200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41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Written premiums </w:t>
      </w:r>
      <w:r>
        <w:rPr>
          <w:rFonts w:ascii="Arial" w:cs="Arial" w:eastAsia="Arial" w:hAnsi="Arial"/>
          <w:sz w:val="18"/>
          <w:szCs w:val="18"/>
          <w:color w:val="auto"/>
        </w:rPr>
        <w:t>increased +3.1 QoQ; in property and casualty and life business due to:</w:t>
      </w:r>
    </w:p>
    <w:p>
      <w:pPr>
        <w:spacing w:after="0" w:line="233" w:lineRule="exact"/>
        <w:rPr>
          <w:sz w:val="20"/>
          <w:szCs w:val="20"/>
          <w:color w:val="auto"/>
        </w:rPr>
      </w:pPr>
    </w:p>
    <w:p>
      <w:pPr>
        <w:ind w:left="900" w:hanging="514"/>
        <w:spacing w:after="0" w:line="197" w:lineRule="auto"/>
        <w:tabs>
          <w:tab w:leader="none" w:pos="900" w:val="left"/>
        </w:tabs>
        <w:numPr>
          <w:ilvl w:val="0"/>
          <w:numId w:val="63"/>
        </w:numPr>
        <w:rPr>
          <w:rFonts w:ascii="Arial" w:cs="Arial" w:eastAsia="Arial" w:hAnsi="Arial"/>
          <w:sz w:val="34"/>
          <w:szCs w:val="34"/>
          <w:color w:val="auto"/>
          <w:vertAlign w:val="superscript"/>
        </w:rPr>
      </w:pPr>
      <w:r>
        <w:rPr>
          <w:rFonts w:ascii="Arial" w:cs="Arial" w:eastAsia="Arial" w:hAnsi="Arial"/>
          <w:sz w:val="17"/>
          <w:szCs w:val="17"/>
          <w:color w:val="auto"/>
        </w:rPr>
        <w:t>In P&amp;C business, was mainly attributable in Commercial Lines (fire and technical risks); and in Personal Lines through Home Mortgage</w:t>
      </w:r>
      <w:r>
        <w:rPr>
          <w:rFonts w:ascii="Arial" w:cs="Arial" w:eastAsia="Arial" w:hAnsi="Arial"/>
          <w:sz w:val="28"/>
          <w:szCs w:val="28"/>
          <w:color w:val="auto"/>
          <w:vertAlign w:val="superscript"/>
        </w:rPr>
        <w:t>(4)</w:t>
      </w:r>
      <w:r>
        <w:rPr>
          <w:rFonts w:ascii="Arial" w:cs="Arial" w:eastAsia="Arial" w:hAnsi="Arial"/>
          <w:sz w:val="17"/>
          <w:szCs w:val="17"/>
          <w:color w:val="auto"/>
        </w:rPr>
        <w:t>; this was slightly attenuated by a decrease in Medical Assistance.</w:t>
      </w:r>
    </w:p>
    <w:p>
      <w:pPr>
        <w:spacing w:after="0" w:line="203" w:lineRule="exact"/>
        <w:rPr>
          <w:rFonts w:ascii="Arial" w:cs="Arial" w:eastAsia="Arial" w:hAnsi="Arial"/>
          <w:sz w:val="34"/>
          <w:szCs w:val="34"/>
          <w:color w:val="auto"/>
          <w:vertAlign w:val="superscript"/>
        </w:rPr>
      </w:pPr>
    </w:p>
    <w:p>
      <w:pPr>
        <w:ind w:left="900" w:hanging="514"/>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life insurance business, mainly through the Annuities segment due to an increase in the number of policies sold and Group Life line.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2.2% QoQ, mainly in life insurance through Credit life and Group life.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YoY analysis, </w:t>
      </w:r>
      <w:r>
        <w:rPr>
          <w:rFonts w:ascii="Arial" w:cs="Arial" w:eastAsia="Arial" w:hAnsi="Arial"/>
          <w:sz w:val="18"/>
          <w:szCs w:val="18"/>
          <w:b w:val="1"/>
          <w:bCs w:val="1"/>
          <w:color w:val="auto"/>
        </w:rPr>
        <w:t>Written premiums</w:t>
      </w:r>
      <w:r>
        <w:rPr>
          <w:rFonts w:ascii="Arial" w:cs="Arial" w:eastAsia="Arial" w:hAnsi="Arial"/>
          <w:sz w:val="18"/>
          <w:szCs w:val="18"/>
          <w:color w:val="auto"/>
        </w:rPr>
        <w:t xml:space="preserve"> increased +19.9% primarily through the life insurance business, which was associated with the higher sales of “Renta Flex” and higher premiums in Credit life due to a growth in alliances´ channels; and in the P&amp;C business due to an increase in Medical Assistance and Personal Lines because of Home Mortgage and Credit Card Protection products.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YoY analysis, </w:t>
      </w:r>
      <w:r>
        <w:rPr>
          <w:rFonts w:ascii="Arial" w:cs="Arial" w:eastAsia="Arial" w:hAnsi="Arial"/>
          <w:sz w:val="18"/>
          <w:szCs w:val="18"/>
          <w:b w:val="1"/>
          <w:bCs w:val="1"/>
          <w:color w:val="auto"/>
        </w:rPr>
        <w:t>net earned premiums</w:t>
      </w:r>
      <w:r>
        <w:rPr>
          <w:rFonts w:ascii="Arial" w:cs="Arial" w:eastAsia="Arial" w:hAnsi="Arial"/>
          <w:sz w:val="18"/>
          <w:szCs w:val="18"/>
          <w:color w:val="auto"/>
        </w:rPr>
        <w:t xml:space="preserve"> increased 10.5% both in life insurance and in the P&amp;C business. The increase in the life insurance business was registered in Credit life through the “alliance channels” and in Group Life given that extraordinary income was reported in 3Q18. In P&amp;C, was attributable to Medical Assistance because of higher written premiums and lower technical reserves and in Personal Lines.</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accumulated analysis (September 2018 vs September 2017), written premiums increased +16.5% with regard to 2017 mainly attributable to life insurance business and was associated with an increase in premiums from Annuities and Credit Life and in the P&amp;C business to Medical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26"/>
          <w:szCs w:val="26"/>
          <w:color w:val="auto"/>
          <w:vertAlign w:val="superscript"/>
        </w:rPr>
      </w:pPr>
      <w:r>
        <w:rPr>
          <w:rFonts w:ascii="Arial" w:cs="Arial" w:eastAsia="Arial" w:hAnsi="Arial"/>
          <w:sz w:val="16"/>
          <w:szCs w:val="16"/>
          <w:color w:val="auto"/>
        </w:rPr>
        <w:t>Home insurance for material damages caused by natural disasters or provoked by man in fortuitous situations.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142875</wp:posOffset>
            </wp:positionV>
            <wp:extent cx="3627755" cy="17411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2775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claims increase +5.9% QoQ in life and P&amp;C business. Growth in life insurance was registered in (i) Group Life due to an increase in IBNR (incurred but not reported) reserves; (ii) in AFP due to an increase in reported cases and a decrease in the discount rates used to calculate claims; and, (iii) in Annuities due to pension payments for the “Renta Flex” product. In the P&amp;C business the increase was registered in (i) Personal Lines for higher number of cases reported in Credit Card Protection product and, (ii) Medical Assistance due to growth in the number of reported cases on international coverage and oncological insurance.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net claims increased +15.6% in P&amp;C and in life business. In P&amp;C, the increase was attributable in Medical Assistance, due to growth in the number of cases received, and in Car line. In life insurance growth was attributable to: (i) pensions linked to the “Renta Flex” product in Annuities; (ii) a drop in discount rates used to calculate claims in the AFP line; and iii) Group Life 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accumulated analysis (September 2018 vs September 2017), the net claims increased +9.5% in Life Insurance business associated to Annuities and AFP lines; and Medical Assistance an Car line in P&amp;C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142875</wp:posOffset>
            </wp:positionV>
            <wp:extent cx="3524885" cy="1663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248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3Q17</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3Q18</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Sep 18</w:t>
            </w:r>
          </w:p>
        </w:tc>
        <w:tc>
          <w:tcPr>
            <w:tcW w:w="120" w:type="dxa"/>
            <w:vAlign w:val="bottom"/>
          </w:tcPr>
          <w:p>
            <w:pPr>
              <w:spacing w:after="0"/>
              <w:rPr>
                <w:sz w:val="14"/>
                <w:szCs w:val="14"/>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Sep 18 / Sep 17</w:t>
            </w: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fees</w:t>
            </w:r>
          </w:p>
        </w:tc>
        <w:tc>
          <w:tcPr>
            <w:tcW w:w="12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w w:val="80"/>
              </w:rPr>
              <w:t>(52,986)</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(68,888)</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(69,817)</w:t>
            </w:r>
          </w:p>
        </w:tc>
        <w:tc>
          <w:tcPr>
            <w:tcW w:w="20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31.8%</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(156,330)</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(205,520)</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expenses</w:t>
            </w:r>
          </w:p>
        </w:tc>
        <w:tc>
          <w:tcPr>
            <w:tcW w:w="8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(34,386)</w:t>
            </w:r>
          </w:p>
        </w:tc>
        <w:tc>
          <w:tcPr>
            <w:tcW w:w="9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(30,914)</w:t>
            </w:r>
          </w:p>
        </w:tc>
        <w:tc>
          <w:tcPr>
            <w:tcW w:w="8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(27,773)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-10.2%</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-19.2%</w:t>
            </w: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(83,107)</w:t>
            </w:r>
          </w:p>
        </w:tc>
        <w:tc>
          <w:tcPr>
            <w:tcW w:w="10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(91,320)</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Underwriting income</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12,596</w:t>
            </w:r>
          </w:p>
        </w:tc>
        <w:tc>
          <w:tcPr>
            <w:tcW w:w="9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1,246</w:t>
            </w:r>
          </w:p>
        </w:tc>
        <w:tc>
          <w:tcPr>
            <w:tcW w:w="8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1,208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-90.4%</w:t>
            </w:r>
          </w:p>
        </w:tc>
        <w:tc>
          <w:tcPr>
            <w:tcW w:w="8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40,935</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4,354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Acquisition cost</w:t>
            </w:r>
          </w:p>
        </w:tc>
        <w:tc>
          <w:tcPr>
            <w:tcW w:w="66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8"/>
              </w:rPr>
              <w:t>(74,776</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(98,556</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(96,382</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(198,502</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(292,486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47.3</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cost fell -2.2% QoQ due to a drop in the underwriting expenses in P&amp;C business attributable to the decrease in provisions for uncollectible reinsurance premiums in the Commercial lines. The aforementioned was attenuated by higher commission in Credit Life for premiums sold through the Alliance channel.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acquisition cost increased due to:</w:t>
      </w:r>
    </w:p>
    <w:p>
      <w:pPr>
        <w:spacing w:after="0" w:line="225" w:lineRule="exact"/>
        <w:rPr>
          <w:sz w:val="20"/>
          <w:szCs w:val="20"/>
          <w:color w:val="auto"/>
        </w:rPr>
      </w:pPr>
    </w:p>
    <w:p>
      <w:pPr>
        <w:ind w:left="900" w:hanging="514"/>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Higher commissions in the life insurance lines due to an increase in sales in Credit Life through the Alliance channel.</w:t>
      </w:r>
    </w:p>
    <w:p>
      <w:pPr>
        <w:spacing w:after="0" w:line="225"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reduction in the underwriting income, which is explained by a change in the nature of the policy fee, which was previously classified in this concept, but it is currently considered as part of written premiums and accrues over 12 months.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accumulated analysis (September 2018 vs September 2017), acquisition costs increased +47.3%. This was primarily attributable to an increase in commissions in the life insurance business via Credit Life and to a decrease in the underwriting income for both the life and P&amp;C businesses due to a change in how the policy fee is reported (as explained above).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Credicorp’s efficiency ratio improved QoQ (-40 bps) and YoY (-20 bps) but deteriorated 30 bps with regard to the accumulated result at the end of September 2017. The YoY effect was attributable to the fact that growth in operating income outpaced growth in operating expenses. YTD, the deterioration in the efficiency ratio was due to an increase in operating expenses, which was attributable to an expansion in salaries and administrative and general expenses, mostly at BCP, and in acquisition cost from the insurance business.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Total expenses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3Q17</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2Q18</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3Q18</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YoY</w:t>
            </w:r>
          </w:p>
        </w:tc>
        <w:tc>
          <w:tcPr>
            <w:tcW w:w="24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17</w:t>
            </w:r>
          </w:p>
        </w:tc>
        <w:tc>
          <w:tcPr>
            <w:tcW w:w="26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18</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18 / Sep 17</w:t>
            </w: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760,441</w:t>
            </w:r>
          </w:p>
        </w:tc>
        <w:tc>
          <w:tcPr>
            <w:tcW w:w="24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780,827</w:t>
            </w:r>
          </w:p>
        </w:tc>
        <w:tc>
          <w:tcPr>
            <w:tcW w:w="2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794,634</w:t>
            </w:r>
          </w:p>
        </w:tc>
        <w:tc>
          <w:tcPr>
            <w:tcW w:w="26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4.5%</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2,260,206</w:t>
            </w:r>
          </w:p>
        </w:tc>
        <w:tc>
          <w:tcPr>
            <w:tcW w:w="260" w:type="dxa"/>
            <w:vAlign w:val="bottom"/>
            <w:vMerge w:val="continue"/>
            <w:shd w:val="clear" w:color="auto" w:fill="CCEEFF"/>
          </w:tcPr>
          <w:p>
            <w:pPr>
              <w:spacing w:after="0"/>
              <w:rPr>
                <w:sz w:val="12"/>
                <w:szCs w:val="12"/>
                <w:color w:val="auto"/>
              </w:rPr>
            </w:pPr>
          </w:p>
        </w:tc>
        <w:tc>
          <w:tcPr>
            <w:tcW w:w="76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2,352,806</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534,204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560,514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577,291</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1,563,724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1,634,180</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114,799</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115,729</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114,613</w:t>
            </w: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344,644</w:t>
            </w:r>
          </w:p>
        </w:tc>
        <w:tc>
          <w:tcPr>
            <w:tcW w:w="1020" w:type="dxa"/>
            <w:vAlign w:val="bottom"/>
            <w:tcBorders>
              <w:left w:val="single" w:sz="8" w:color="CCEEFF"/>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347,041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35,693</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66,770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20,006</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-70.0%</w:t>
            </w:r>
          </w:p>
        </w:tc>
        <w:tc>
          <w:tcPr>
            <w:tcW w:w="18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-43.9%</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136,860</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136,101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1,445,137</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1,523,840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1,506,544</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4,305,434</w:t>
            </w: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left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4,470,128</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w:t>
            </w:r>
          </w:p>
        </w:tc>
        <w:tc>
          <w:tcPr>
            <w:tcW w:w="140" w:type="dxa"/>
            <w:vAlign w:val="bottom"/>
            <w:tcBorders>
              <w:top w:val="single" w:sz="8" w:color="CCEEFF"/>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3"/>
        </w:trPr>
        <w:tc>
          <w:tcPr>
            <w:tcW w:w="3680" w:type="dxa"/>
            <w:vAlign w:val="bottom"/>
            <w:gridSpan w:val="2"/>
          </w:tcPr>
          <w:p>
            <w:pPr>
              <w:spacing w:after="0" w:line="183" w:lineRule="exact"/>
              <w:rPr>
                <w:sz w:val="20"/>
                <w:szCs w:val="20"/>
                <w:color w:val="auto"/>
              </w:rPr>
            </w:pPr>
            <w:r>
              <w:rPr>
                <w:rFonts w:ascii="Arial" w:cs="Arial" w:eastAsia="Arial" w:hAnsi="Arial"/>
                <w:sz w:val="13"/>
                <w:szCs w:val="13"/>
                <w:b w:val="1"/>
                <w:bCs w:val="1"/>
                <w:color w:val="auto"/>
              </w:rPr>
              <w:t xml:space="preserve">Acquisition cost </w:t>
            </w:r>
            <w:r>
              <w:rPr>
                <w:rFonts w:ascii="Arial" w:cs="Arial" w:eastAsia="Arial" w:hAnsi="Arial"/>
                <w:sz w:val="21"/>
                <w:szCs w:val="21"/>
                <w:b w:val="1"/>
                <w:bCs w:val="1"/>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74,776</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98,556</w:t>
            </w:r>
          </w:p>
        </w:tc>
        <w:tc>
          <w:tcPr>
            <w:tcW w:w="2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96,382</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5"/>
                <w:szCs w:val="15"/>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28.9%</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123,726</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196,104</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line="189" w:lineRule="exact"/>
              <w:rPr>
                <w:sz w:val="20"/>
                <w:szCs w:val="20"/>
                <w:color w:val="auto"/>
              </w:rPr>
            </w:pPr>
            <w:r>
              <w:rPr>
                <w:rFonts w:ascii="Arial" w:cs="Arial" w:eastAsia="Arial" w:hAnsi="Arial"/>
                <w:sz w:val="13"/>
                <w:szCs w:val="13"/>
                <w:color w:val="auto"/>
              </w:rPr>
              <w:t xml:space="preserve">Operating income </w:t>
            </w:r>
            <w:r>
              <w:rPr>
                <w:rFonts w:ascii="Arial" w:cs="Arial" w:eastAsia="Arial" w:hAnsi="Arial"/>
                <w:sz w:val="21"/>
                <w:szCs w:val="21"/>
                <w:color w:val="auto"/>
                <w:vertAlign w:val="superscript"/>
              </w:rPr>
              <w:t>(2)</w:t>
            </w: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3,397,502</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3,547,575</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3,640,326</w:t>
            </w: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10,132,978</w:t>
            </w:r>
          </w:p>
        </w:tc>
        <w:tc>
          <w:tcPr>
            <w:tcW w:w="7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10,665,741</w:t>
            </w:r>
          </w:p>
        </w:tc>
        <w:tc>
          <w:tcPr>
            <w:tcW w:w="26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1,484,220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1,555,626</w:t>
            </w:r>
          </w:p>
        </w:tc>
        <w:tc>
          <w:tcPr>
            <w:tcW w:w="2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1,582,920</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7"/>
                <w:szCs w:val="17"/>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6.6%</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4,367,076</w:t>
            </w:r>
          </w:p>
        </w:tc>
        <w:tc>
          <w:tcPr>
            <w:tcW w:w="760" w:type="dxa"/>
            <w:vAlign w:val="bottom"/>
          </w:tcPr>
          <w:p>
            <w:pPr>
              <w:jc w:val="right"/>
              <w:spacing w:after="0"/>
              <w:rPr>
                <w:sz w:val="20"/>
                <w:szCs w:val="20"/>
                <w:color w:val="auto"/>
              </w:rPr>
            </w:pPr>
            <w:r>
              <w:rPr>
                <w:rFonts w:ascii="Arial" w:cs="Arial" w:eastAsia="Arial" w:hAnsi="Arial"/>
                <w:sz w:val="14"/>
                <w:szCs w:val="14"/>
                <w:color w:val="auto"/>
              </w:rPr>
              <w:t>4,626,513</w:t>
            </w:r>
          </w:p>
        </w:tc>
        <w:tc>
          <w:tcPr>
            <w:tcW w:w="2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(4)</w:t>
            </w: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43.5%</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-40 bps</w:t>
            </w:r>
          </w:p>
        </w:tc>
        <w:tc>
          <w:tcPr>
            <w:tcW w:w="7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93"/>
              </w:rPr>
              <w:t>-20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1020" w:type="dxa"/>
            <w:vAlign w:val="bottom"/>
            <w:tcBorders>
              <w:left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43.4%</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 bps</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(5)</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gridSpan w:val="2"/>
            <w:vMerge w:val="continue"/>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3.62%</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3.77%</w:t>
            </w: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8 bps</w:t>
            </w: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15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3.64%</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 bps</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cost of Pacífico iIncludes net fees and underwriting expenses.</w:t>
      </w:r>
    </w:p>
    <w:p>
      <w:pPr>
        <w:spacing w:after="0" w:line="23" w:lineRule="exact"/>
        <w:rPr>
          <w:rFonts w:ascii="Arial" w:cs="Arial" w:eastAsia="Arial" w:hAnsi="Arial"/>
          <w:sz w:val="18"/>
          <w:szCs w:val="18"/>
          <w:color w:val="auto"/>
        </w:rPr>
      </w:pPr>
    </w:p>
    <w:p>
      <w:pPr>
        <w:ind w:firstLine="8"/>
        <w:spacing w:after="0" w:line="250"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 on derivatives+ Result on exchange difference.</w:t>
      </w: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expenses = Total expenses + Acquisition cost - Other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expenses / Operating income.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improvement in efficiency took place in a context in which the 2.6% increase in operating income outpaced 1.8% growth in operating expenses (1.8%). It is important to note that operating expenses are affected by seasonality and as such, the YoY analysis paints a cleared picture of the business result.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the efficiency ratio improved -20 bps, which was mainly attributable to the evolution of operating income, which reflects:</w:t>
      </w:r>
    </w:p>
    <w:p>
      <w:pPr>
        <w:spacing w:after="0" w:line="229" w:lineRule="exact"/>
        <w:rPr>
          <w:sz w:val="20"/>
          <w:szCs w:val="20"/>
          <w:color w:val="auto"/>
        </w:rPr>
      </w:pPr>
    </w:p>
    <w:p>
      <w:pPr>
        <w:ind w:left="900" w:hanging="514"/>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increase of the net interest income, as explained in section 4.1 Net interest income (NII)</w:t>
      </w:r>
    </w:p>
    <w:p>
      <w:pPr>
        <w:spacing w:after="0" w:line="225" w:lineRule="exact"/>
        <w:rPr>
          <w:rFonts w:ascii="Arial" w:cs="Arial" w:eastAsia="Arial" w:hAnsi="Arial"/>
          <w:sz w:val="18"/>
          <w:szCs w:val="18"/>
          <w:color w:val="auto"/>
        </w:rPr>
      </w:pPr>
    </w:p>
    <w:p>
      <w:pPr>
        <w:ind w:left="900" w:hanging="514"/>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increase in fee income for financial services, mainly at BCP and in the draft and transfer business.</w:t>
      </w:r>
    </w:p>
    <w:p>
      <w:pPr>
        <w:spacing w:after="0" w:line="225" w:lineRule="exact"/>
        <w:rPr>
          <w:rFonts w:ascii="Arial" w:cs="Arial" w:eastAsia="Arial" w:hAnsi="Arial"/>
          <w:sz w:val="18"/>
          <w:szCs w:val="18"/>
          <w:color w:val="auto"/>
        </w:rPr>
      </w:pPr>
    </w:p>
    <w:p>
      <w:pPr>
        <w:ind w:right="360" w:firstLine="386"/>
        <w:spacing w:after="0" w:line="501" w:lineRule="auto"/>
        <w:tabs>
          <w:tab w:leader="none" w:pos="8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Growth in net earned premiums at Pacifico was seen in P&amp;C and Life insurance businesses, as indicated in section 6.1 Net earned premiums. In terms of operating expenses, the YoY increase reflects:</w:t>
      </w:r>
    </w:p>
    <w:p>
      <w:pPr>
        <w:ind w:left="900" w:hanging="514"/>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higher employee salaries and benefits; which was primarily attributable to BCP Stand-alone and due to an increase in the variable income paid to employees through productivity and performance bonuses.</w:t>
      </w:r>
    </w:p>
    <w:p>
      <w:pPr>
        <w:spacing w:after="0" w:line="170" w:lineRule="exact"/>
        <w:rPr>
          <w:rFonts w:ascii="Arial" w:cs="Arial" w:eastAsia="Arial" w:hAnsi="Arial"/>
          <w:sz w:val="18"/>
          <w:szCs w:val="18"/>
          <w:color w:val="auto"/>
        </w:rPr>
      </w:pPr>
    </w:p>
    <w:p>
      <w:pPr>
        <w:ind w:left="900" w:hanging="51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Higher administrative and general expenses, which will be explained later in the text.</w:t>
      </w:r>
    </w:p>
    <w:p>
      <w:pPr>
        <w:spacing w:after="0" w:line="225" w:lineRule="exact"/>
        <w:rPr>
          <w:rFonts w:ascii="Arial" w:cs="Arial" w:eastAsia="Arial" w:hAnsi="Arial"/>
          <w:sz w:val="18"/>
          <w:szCs w:val="18"/>
          <w:color w:val="auto"/>
        </w:rPr>
      </w:pPr>
    </w:p>
    <w:p>
      <w:pPr>
        <w:ind w:left="900" w:hanging="51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increase in the acquisition cost due to factors explained in section 6.3 Acquisition Cost.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YTD analysis</w:t>
      </w:r>
      <w:r>
        <w:rPr>
          <w:rFonts w:ascii="Arial" w:cs="Arial" w:eastAsia="Arial" w:hAnsi="Arial"/>
          <w:sz w:val="18"/>
          <w:szCs w:val="18"/>
          <w:color w:val="auto"/>
        </w:rPr>
        <w:t xml:space="preserve"> reveals a deterioration of 30 bps, mainly due to an expansion in salaries and administrative and general expenses, mostly at BCP, and in acquisition cost from the insurance business.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Arial" w:cs="Arial" w:eastAsia="Arial" w:hAnsi="Arial"/>
                <w:sz w:val="14"/>
                <w:szCs w:val="14"/>
                <w:b w:val="1"/>
                <w:bCs w:val="1"/>
                <w:color w:val="auto"/>
                <w:w w:val="92"/>
              </w:rPr>
              <w:t>Administrative, general and tax expenses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40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96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3Q17</w:t>
            </w:r>
          </w:p>
        </w:tc>
        <w:tc>
          <w:tcPr>
            <w:tcW w:w="14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2Q18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3Q18</w:t>
            </w:r>
          </w:p>
        </w:tc>
        <w:tc>
          <w:tcPr>
            <w:tcW w:w="160" w:type="dxa"/>
            <w:vAlign w:val="bottom"/>
          </w:tcPr>
          <w:p>
            <w:pPr>
              <w:spacing w:after="0"/>
              <w:rPr>
                <w:sz w:val="14"/>
                <w:szCs w:val="14"/>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QoQ</w:t>
            </w:r>
          </w:p>
        </w:tc>
        <w:tc>
          <w:tcPr>
            <w:tcW w:w="22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18</w:t>
            </w:r>
          </w:p>
        </w:tc>
        <w:tc>
          <w:tcPr>
            <w:tcW w:w="8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Sep 18 / Sep 17</w:t>
            </w:r>
          </w:p>
        </w:tc>
        <w:tc>
          <w:tcPr>
            <w:tcW w:w="0" w:type="dxa"/>
            <w:vAlign w:val="bottom"/>
          </w:tcPr>
          <w:p>
            <w:pPr>
              <w:spacing w:after="0"/>
              <w:rPr>
                <w:sz w:val="1"/>
                <w:szCs w:val="1"/>
                <w:color w:val="auto"/>
              </w:rPr>
            </w:pPr>
          </w:p>
        </w:tc>
      </w:tr>
      <w:tr>
        <w:trPr>
          <w:trHeight w:val="20"/>
        </w:trPr>
        <w:tc>
          <w:tcPr>
            <w:tcW w:w="258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68,432</w:t>
            </w:r>
          </w:p>
        </w:tc>
        <w:tc>
          <w:tcPr>
            <w:tcW w:w="14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71,303</w:t>
            </w:r>
          </w:p>
        </w:tc>
        <w:tc>
          <w:tcPr>
            <w:tcW w:w="1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75,489</w:t>
            </w:r>
          </w:p>
        </w:tc>
        <w:tc>
          <w:tcPr>
            <w:tcW w:w="16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10.3%</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193,627</w:t>
            </w:r>
          </w:p>
        </w:tc>
        <w:tc>
          <w:tcPr>
            <w:tcW w:w="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210,599</w:t>
            </w:r>
          </w:p>
        </w:tc>
        <w:tc>
          <w:tcPr>
            <w:tcW w:w="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55,544</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59,295</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60,213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159,527</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175,755</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5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63,131</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70,408</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69,427</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193,139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201,422</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Arial" w:cs="Arial" w:eastAsia="Arial" w:hAnsi="Arial"/>
                <w:sz w:val="13"/>
                <w:szCs w:val="13"/>
                <w:color w:val="auto"/>
              </w:rPr>
              <w:t>Minor expenses</w:t>
            </w:r>
            <w:r>
              <w:rPr>
                <w:rFonts w:ascii="Arial" w:cs="Arial" w:eastAsia="Arial" w:hAnsi="Arial"/>
                <w:sz w:val="21"/>
                <w:szCs w:val="21"/>
                <w:color w:val="auto"/>
                <w:vertAlign w:val="superscript"/>
              </w:rPr>
              <w:t>(1)</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53,465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42,538</w:t>
            </w:r>
          </w:p>
        </w:tc>
        <w:tc>
          <w:tcPr>
            <w:tcW w:w="18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54,952</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29.2%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163,439</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133,747</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5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54,255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56,770</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58,283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164,896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165,889</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Programs and systems</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72,197</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62,295</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67,685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185,566</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188,789</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21,398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21,301</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19,816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62,821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60,365</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Rent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43,633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45,238</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44,605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133,457</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133,320</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5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25,958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36,888</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47,084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105,700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113,444</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Channels</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52,630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54,964</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58,127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144,632</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160,893</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3"/>
        </w:trPr>
        <w:tc>
          <w:tcPr>
            <w:tcW w:w="25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(1)(2)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23,562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39,513</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21,610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56,920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89,956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06"/>
        </w:trPr>
        <w:tc>
          <w:tcPr>
            <w:tcW w:w="2580" w:type="dxa"/>
            <w:vAlign w:val="bottom"/>
          </w:tcPr>
          <w:p>
            <w:pPr>
              <w:spacing w:after="0" w:line="106" w:lineRule="exact"/>
              <w:rPr>
                <w:sz w:val="20"/>
                <w:szCs w:val="20"/>
                <w:color w:val="auto"/>
              </w:rPr>
            </w:pPr>
            <w:r>
              <w:rPr>
                <w:rFonts w:ascii="Arial" w:cs="Arial" w:eastAsia="Arial" w:hAnsi="Arial"/>
                <w:sz w:val="12"/>
                <w:szCs w:val="12"/>
                <w:b w:val="1"/>
                <w:bCs w:val="1"/>
                <w:color w:val="auto"/>
              </w:rPr>
              <w:t>Total administrative, general and tax</w:t>
            </w: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534,204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560,514</w:t>
            </w:r>
          </w:p>
        </w:tc>
        <w:tc>
          <w:tcPr>
            <w:tcW w:w="1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577,291</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8.1%</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1,563,724</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1,634,180</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Since 1Q18, the minor expenses account has decreased because it no longer includes the transfer cost between Pacífico EPS and Pacífico Vida and the others account has increased because it no longer considers the elimination of those expenses..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increase</w:t>
      </w:r>
      <w:r>
        <w:rPr>
          <w:rFonts w:ascii="Arial" w:cs="Arial" w:eastAsia="Arial" w:hAnsi="Arial"/>
          <w:sz w:val="18"/>
          <w:szCs w:val="18"/>
          <w:color w:val="auto"/>
        </w:rPr>
        <w:t xml:space="preserve"> in administrative and general expenses and taxes was attributable to:</w:t>
      </w:r>
    </w:p>
    <w:p>
      <w:pPr>
        <w:spacing w:after="0" w:line="229" w:lineRule="exact"/>
        <w:rPr>
          <w:sz w:val="20"/>
          <w:szCs w:val="20"/>
          <w:color w:val="auto"/>
        </w:rPr>
      </w:pPr>
    </w:p>
    <w:p>
      <w:pPr>
        <w:jc w:val="both"/>
        <w:ind w:left="900" w:hanging="514"/>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minor expenses at BCP Stand-alone due to growth in expenses for legal advisory services and donations to the BCP scholarship program, which offers assistance to outstanding students throughout the country so that they can study at the country’s best universities and institutes.</w:t>
      </w:r>
    </w:p>
    <w:p>
      <w:pPr>
        <w:spacing w:after="0" w:line="181" w:lineRule="exact"/>
        <w:rPr>
          <w:rFonts w:ascii="Arial" w:cs="Arial" w:eastAsia="Arial" w:hAnsi="Arial"/>
          <w:sz w:val="18"/>
          <w:szCs w:val="18"/>
          <w:color w:val="auto"/>
        </w:rPr>
      </w:pPr>
    </w:p>
    <w:p>
      <w:pPr>
        <w:jc w:val="both"/>
        <w:ind w:left="900" w:hanging="514"/>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increase in expenses for consultants at BCP Stand-alone for three projects (i) to optimize the bank’s distribution model and improve the client’s experience, (ii) identify opportunities to optimize the bank’s processes reimagining them by using cutting-edge technology and (iii) the Digital Risk project to create new capacities to manage risk inherent to the process.</w:t>
      </w:r>
    </w:p>
    <w:p>
      <w:pPr>
        <w:spacing w:after="0" w:line="181"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 in expenses for programming and systems, mainly at Prima AFP given that last quarter, after a reversal was posted in the provisions expense. In this context, last quarter’s expenses were lower than usual.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increase was due primarily to:</w:t>
      </w:r>
    </w:p>
    <w:p>
      <w:pPr>
        <w:spacing w:after="0" w:line="229" w:lineRule="exact"/>
        <w:rPr>
          <w:sz w:val="20"/>
          <w:szCs w:val="20"/>
          <w:color w:val="auto"/>
        </w:rPr>
      </w:pPr>
    </w:p>
    <w:p>
      <w:pPr>
        <w:ind w:left="900" w:hanging="514"/>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in consultancy expenses at BCP Stand-alone (outlined above);</w:t>
      </w:r>
    </w:p>
    <w:p>
      <w:pPr>
        <w:spacing w:after="0" w:line="225"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Higher expenses for marketing at BCP Stand-alone due to an increase in expenses for the LATAM miles program and advertising expenses for different campaigns that took place during the quarter and, to a lesser extent, to advertising expenses at Mibanco;</w:t>
      </w:r>
    </w:p>
    <w:p>
      <w:pPr>
        <w:spacing w:after="0" w:line="170"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Higher expenses in the infrastructure account (which includes expenses for security personnel and maintenance) due to an increase in the minimum wage since May 2018.</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b w:val="1"/>
          <w:bCs w:val="1"/>
          <w:color w:val="auto"/>
        </w:rPr>
        <w:t>YTD terms</w:t>
      </w:r>
      <w:r>
        <w:rPr>
          <w:rFonts w:ascii="Arial" w:cs="Arial" w:eastAsia="Arial" w:hAnsi="Arial"/>
          <w:sz w:val="17"/>
          <w:szCs w:val="17"/>
          <w:color w:val="auto"/>
        </w:rPr>
        <w:t>, the increase was due to higher marketing expenses at BCP Stand-alone and to an increase in the payments that BCP makes for LATAM miles; higher expenses in the channels, particularly for commissions paid to Agentes BCP, which was in line with growth in income for drafts and transfers as explained in section 5.1.2; and, to a lesser extent, to an increase in infrastructure expenses as explained in the YoY analysis.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7.2. Operating Expenses / Total Average Assets Ratio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expenses/total average assets ratio increased QoQ due to seasonality in operating expenses and to a slight decrease in total average assets. In the annual analysis, the deterioration is due to a larger increase, proportionally speaking, in operating expenses versus growth in total average assets, for the reasons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154305</wp:posOffset>
            </wp:positionV>
            <wp:extent cx="4648200" cy="2160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4820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figure below shows the evolution of the variation of operating expenses with regard to average assets over the last 5 years. It is important to note that the levels obtained over the last few years have improved in comparison to 2014. This is mainly due to on-going control and management of operating expenses in a low-growth context for assets and for loans, particularly in 2016 and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154940</wp:posOffset>
            </wp:positionV>
            <wp:extent cx="4879340" cy="2212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7934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7.3. Efficiency Ratio</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9"/>
              </w:rPr>
              <w:t xml:space="preserve">Efficiency Ratio by Subsidiary </w:t>
            </w:r>
            <w:r>
              <w:rPr>
                <w:rFonts w:ascii="Arial" w:cs="Arial" w:eastAsia="Arial" w:hAnsi="Arial"/>
                <w:sz w:val="30"/>
                <w:szCs w:val="30"/>
                <w:b w:val="1"/>
                <w:bCs w:val="1"/>
                <w:color w:val="auto"/>
                <w:w w:val="99"/>
                <w:vertAlign w:val="superscript"/>
              </w:rPr>
              <w:t>(1)</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BCP</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BCP</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Grupo</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Credicorp</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3"/>
                <w:szCs w:val="23"/>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Stand-alone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Mibanco</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Bolivia</w:t>
            </w:r>
          </w:p>
        </w:tc>
        <w:tc>
          <w:tcPr>
            <w:tcW w:w="1040" w:type="dxa"/>
            <w:vAlign w:val="bottom"/>
            <w:gridSpan w:val="2"/>
          </w:tcPr>
          <w:p>
            <w:pPr>
              <w:jc w:val="right"/>
              <w:ind w:right="360"/>
              <w:spacing w:after="0" w:line="271" w:lineRule="exact"/>
              <w:rPr>
                <w:sz w:val="20"/>
                <w:szCs w:val="20"/>
                <w:color w:val="auto"/>
              </w:rPr>
            </w:pPr>
            <w:r>
              <w:rPr>
                <w:rFonts w:ascii="Arial" w:cs="Arial" w:eastAsia="Arial" w:hAnsi="Arial"/>
                <w:sz w:val="18"/>
                <w:szCs w:val="18"/>
                <w:b w:val="1"/>
                <w:bCs w:val="1"/>
                <w:color w:val="auto"/>
                <w:w w:val="97"/>
              </w:rPr>
              <w:t xml:space="preserve">ASB </w:t>
            </w:r>
            <w:r>
              <w:rPr>
                <w:rFonts w:ascii="Arial" w:cs="Arial" w:eastAsia="Arial" w:hAnsi="Arial"/>
                <w:sz w:val="30"/>
                <w:szCs w:val="30"/>
                <w:b w:val="1"/>
                <w:bCs w:val="1"/>
                <w:color w:val="auto"/>
                <w:w w:val="97"/>
                <w:vertAlign w:val="superscript"/>
              </w:rPr>
              <w:t>(2)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Pacifico</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040" w:type="dxa"/>
            <w:vAlign w:val="bottom"/>
            <w:gridSpan w:val="2"/>
          </w:tcPr>
          <w:p>
            <w:pPr>
              <w:jc w:val="right"/>
              <w:ind w:right="260"/>
              <w:spacing w:after="0" w:line="271" w:lineRule="exact"/>
              <w:rPr>
                <w:sz w:val="20"/>
                <w:szCs w:val="20"/>
                <w:color w:val="auto"/>
              </w:rPr>
            </w:pPr>
            <w:r>
              <w:rPr>
                <w:rFonts w:ascii="Arial" w:cs="Arial" w:eastAsia="Arial" w:hAnsi="Arial"/>
                <w:sz w:val="18"/>
                <w:szCs w:val="18"/>
                <w:b w:val="1"/>
                <w:bCs w:val="1"/>
                <w:color w:val="auto"/>
                <w:w w:val="84"/>
              </w:rPr>
              <w:t xml:space="preserve">Capital </w:t>
            </w:r>
            <w:r>
              <w:rPr>
                <w:rFonts w:ascii="Arial" w:cs="Arial" w:eastAsia="Arial" w:hAnsi="Arial"/>
                <w:sz w:val="30"/>
                <w:szCs w:val="30"/>
                <w:b w:val="1"/>
                <w:bCs w:val="1"/>
                <w:color w:val="auto"/>
                <w:w w:val="84"/>
                <w:vertAlign w:val="superscript"/>
              </w:rPr>
              <w:t>(3)</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Credicorp</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0"/>
              </w:rPr>
              <w:t>3Q17</w:t>
            </w:r>
          </w:p>
        </w:tc>
        <w:tc>
          <w:tcPr>
            <w:tcW w:w="4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43.7%</w:t>
            </w:r>
          </w:p>
        </w:tc>
        <w:tc>
          <w:tcPr>
            <w:tcW w:w="0" w:type="dxa"/>
            <w:vAlign w:val="bottom"/>
          </w:tcPr>
          <w:p>
            <w:pPr>
              <w:spacing w:after="0"/>
              <w:rPr>
                <w:sz w:val="1"/>
                <w:szCs w:val="1"/>
                <w:color w:val="auto"/>
              </w:rPr>
            </w:pPr>
          </w:p>
        </w:tc>
      </w:tr>
      <w:tr>
        <w:trPr>
          <w:trHeight w:val="216"/>
        </w:trPr>
        <w:tc>
          <w:tcPr>
            <w:tcW w:w="24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2Q18</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40.9%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93"/>
              </w:rPr>
              <w:t>43.9%</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0"/>
              </w:rPr>
              <w:t>3Q18</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43.5%</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CCEEFF"/>
            </w:tcBorders>
          </w:tcPr>
          <w:p>
            <w:pPr>
              <w:jc w:val="center"/>
              <w:ind w:left="290"/>
              <w:spacing w:after="0"/>
              <w:rPr>
                <w:sz w:val="20"/>
                <w:szCs w:val="20"/>
                <w:color w:val="auto"/>
              </w:rPr>
            </w:pPr>
            <w:r>
              <w:rPr>
                <w:rFonts w:ascii="Arial" w:cs="Arial" w:eastAsia="Arial" w:hAnsi="Arial"/>
                <w:sz w:val="18"/>
                <w:szCs w:val="18"/>
                <w:b w:val="1"/>
                <w:bCs w:val="1"/>
                <w:color w:val="auto"/>
                <w:w w:val="92"/>
              </w:rPr>
              <w:t>Var. QoQ</w:t>
            </w:r>
          </w:p>
        </w:tc>
        <w:tc>
          <w:tcPr>
            <w:tcW w:w="4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 bps</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7"/>
              </w:rPr>
              <w:t>-300 bps</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 bps</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 bps</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bps</w:t>
            </w:r>
          </w:p>
        </w:tc>
        <w:tc>
          <w:tcPr>
            <w:tcW w:w="2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 bps</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 bps</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 bps</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1"/>
              </w:rPr>
              <w:t>Var. YoY</w:t>
            </w:r>
          </w:p>
        </w:tc>
        <w:tc>
          <w:tcPr>
            <w:tcW w:w="4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 bps</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-240 bps</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 bps</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 bps</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bps</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 bps</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 bps</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bps</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4"/>
              </w:rPr>
              <w:t>YTD - Sep 17</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43.1%</w:t>
            </w:r>
          </w:p>
        </w:tc>
        <w:tc>
          <w:tcPr>
            <w:tcW w:w="0" w:type="dxa"/>
            <w:vAlign w:val="bottom"/>
          </w:tcPr>
          <w:p>
            <w:pPr>
              <w:spacing w:after="0"/>
              <w:rPr>
                <w:sz w:val="1"/>
                <w:szCs w:val="1"/>
                <w:color w:val="auto"/>
              </w:rPr>
            </w:pPr>
          </w:p>
        </w:tc>
      </w:tr>
      <w:tr>
        <w:trPr>
          <w:trHeight w:val="230"/>
        </w:trPr>
        <w:tc>
          <w:tcPr>
            <w:tcW w:w="246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YTD - Sep 18</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980" w:type="dxa"/>
            <w:vAlign w:val="bottom"/>
            <w:gridSpan w:val="2"/>
          </w:tcPr>
          <w:p>
            <w:pPr>
              <w:ind w:left="480"/>
              <w:spacing w:after="0"/>
              <w:rPr>
                <w:sz w:val="20"/>
                <w:szCs w:val="20"/>
                <w:color w:val="auto"/>
              </w:rPr>
            </w:pPr>
            <w:r>
              <w:rPr>
                <w:rFonts w:ascii="Arial" w:cs="Arial" w:eastAsia="Arial" w:hAnsi="Arial"/>
                <w:sz w:val="18"/>
                <w:szCs w:val="18"/>
                <w:b w:val="1"/>
                <w:bCs w:val="1"/>
                <w:color w:val="auto"/>
                <w:w w:val="93"/>
              </w:rPr>
              <w:t>43.4%</w:t>
            </w:r>
          </w:p>
        </w:tc>
        <w:tc>
          <w:tcPr>
            <w:tcW w:w="0" w:type="dxa"/>
            <w:vAlign w:val="bottom"/>
          </w:tcPr>
          <w:p>
            <w:pPr>
              <w:spacing w:after="0"/>
              <w:rPr>
                <w:sz w:val="1"/>
                <w:szCs w:val="1"/>
                <w:color w:val="auto"/>
              </w:rPr>
            </w:pPr>
          </w:p>
        </w:tc>
      </w:tr>
      <w:tr>
        <w:trPr>
          <w:trHeight w:val="178"/>
        </w:trPr>
        <w:tc>
          <w:tcPr>
            <w:tcW w:w="2460" w:type="dxa"/>
            <w:vAlign w:val="bottom"/>
            <w:tcBorders>
              <w:top w:val="single" w:sz="8" w:color="CCEEFF"/>
            </w:tcBorders>
            <w:shd w:val="clear" w:color="auto" w:fill="CCEEFF"/>
          </w:tcPr>
          <w:p>
            <w:pPr>
              <w:jc w:val="center"/>
              <w:ind w:left="290"/>
              <w:spacing w:after="0" w:line="178" w:lineRule="exact"/>
              <w:rPr>
                <w:sz w:val="20"/>
                <w:szCs w:val="20"/>
                <w:color w:val="auto"/>
              </w:rPr>
            </w:pPr>
            <w:r>
              <w:rPr>
                <w:rFonts w:ascii="Arial" w:cs="Arial" w:eastAsia="Arial" w:hAnsi="Arial"/>
                <w:sz w:val="18"/>
                <w:szCs w:val="18"/>
                <w:b w:val="1"/>
                <w:bCs w:val="1"/>
                <w:color w:val="auto"/>
                <w:w w:val="90"/>
              </w:rPr>
              <w:t>% change</w:t>
            </w:r>
          </w:p>
        </w:tc>
        <w:tc>
          <w:tcPr>
            <w:tcW w:w="4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88"/>
              </w:rPr>
              <w:t>Sep 18 / Sep 17</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bps</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-430 bps</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770 bps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 bps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300 bps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 bps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870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 bps</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8"/>
        <w:spacing w:after="0" w:line="258"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 expenses + acquisition cost - other expenses) / (Net interest income + fee income + Net gain on foreign exchange transactions + Result on exchange difference + Net gain on derivates + Net gain from associates + Net earned premiums).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figure of the 3Q17 differ from previously reported, please consider the data presented on this report.</w:t>
      </w:r>
    </w:p>
    <w:p>
      <w:pPr>
        <w:spacing w:after="0" w:line="9" w:lineRule="exact"/>
        <w:rPr>
          <w:rFonts w:ascii="Arial" w:cs="Arial" w:eastAsia="Arial" w:hAnsi="Arial"/>
          <w:sz w:val="18"/>
          <w:szCs w:val="18"/>
          <w:color w:val="auto"/>
        </w:rPr>
      </w:pPr>
    </w:p>
    <w:p>
      <w:pPr>
        <w:ind w:right="80" w:firstLine="8"/>
        <w:spacing w:after="0" w:line="255"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efficiency ratio of Credicorp Capital, under Credicorp´s methodology, is around 100% because it does not include all the components of its core income (operating income + net gain on sales of securities). If we include all of Credicorp Capital´s core income, the efficiency ratio will be situated between 75%-85% over the last few quarters.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marked seasonality of operating expenses, the QoQ analysis reflects an improvement in Credicorp’s operating efficiency given that growth in operating income outpaced growth in operating expenses, as explained above.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analysis, which eliminates the aforementioned seasonality, an improvement in Credicorp’s efficiency is also evident. This is due primarily to the improvement in operating efficiency at Mibanco, which was attributable to a drop expenses for consultants when expenses from last quarter were reversed. The aforementioned attenuated the deterioration in efficiency at BCP Stand-alone due to an increase in administrative and general expenses and in taxes for the reasons discussed in section 7.1. Credicorp – Administrative and general expenses and taxes and, to a lesser extent, due to an increase in employee salaries, mainly in the variable salary component.</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8. Regulatory Capital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8.1. Regulatory Capital – BAP</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 18</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18</w:t>
            </w:r>
          </w:p>
        </w:tc>
        <w:tc>
          <w:tcPr>
            <w:tcW w:w="22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Treasury Stocks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(208,968)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(208,754)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(207,994)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271,124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248,535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249,397.74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60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15,883,350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17,555,309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17,576,109</w:t>
            </w:r>
          </w:p>
        </w:tc>
        <w:tc>
          <w:tcPr>
            <w:tcW w:w="200" w:type="dxa"/>
            <w:vAlign w:val="bottom"/>
          </w:tcPr>
          <w:p>
            <w:pPr>
              <w:spacing w:after="0"/>
              <w:rPr>
                <w:sz w:val="22"/>
                <w:szCs w:val="22"/>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6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348,646</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313,149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311,469</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60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1,310,325</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1,389,348</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1,476,168</w:t>
            </w:r>
          </w:p>
        </w:tc>
        <w:tc>
          <w:tcPr>
            <w:tcW w:w="200" w:type="dxa"/>
            <w:vAlign w:val="bottom"/>
          </w:tcPr>
          <w:p>
            <w:pPr>
              <w:spacing w:after="0"/>
              <w:rPr>
                <w:sz w:val="22"/>
                <w:szCs w:val="22"/>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right"/>
              <w:spacing w:after="0"/>
              <w:rPr>
                <w:sz w:val="20"/>
                <w:szCs w:val="20"/>
                <w:color w:val="auto"/>
              </w:rPr>
            </w:pPr>
            <w:r>
              <w:rPr>
                <w:rFonts w:ascii="Arial" w:cs="Arial" w:eastAsia="Arial" w:hAnsi="Arial"/>
                <w:sz w:val="18"/>
                <w:szCs w:val="18"/>
                <w:color w:val="auto"/>
              </w:rPr>
              <w:t>5,013,769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4,479,672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4,680,739</w:t>
            </w: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 financial and insurance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(615,630)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(584,750)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(604,352)</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(636,671)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(635,829)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(635,968)</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7"/>
              </w:rPr>
              <w:t xml:space="preserve">Deduction for subordinated debt limit (50% of Tier I excluding deductions) </w:t>
            </w:r>
            <w:r>
              <w:rPr>
                <w:rFonts w:ascii="Arial" w:cs="Arial" w:eastAsia="Arial" w:hAnsi="Arial"/>
                <w:sz w:val="29"/>
                <w:szCs w:val="29"/>
                <w:color w:val="auto"/>
                <w:w w:val="97"/>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23,501,188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24,693,674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24,824,563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602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I </w:t>
            </w:r>
            <w:r>
              <w:rPr>
                <w:rFonts w:ascii="Arial" w:cs="Arial" w:eastAsia="Arial" w:hAnsi="Arial"/>
                <w:sz w:val="27"/>
                <w:szCs w:val="27"/>
                <w:color w:val="auto"/>
                <w:vertAlign w:val="superscript"/>
              </w:rPr>
              <w:t>(5)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12,669,949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13,632,682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13,464,685</w:t>
            </w:r>
          </w:p>
        </w:tc>
        <w:tc>
          <w:tcPr>
            <w:tcW w:w="20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10,831,239</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11,060,992</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11,359,878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Financial Consolidated Group (FCG) Regulatory Capital Requirements</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16,605,849</w:t>
            </w:r>
          </w:p>
        </w:tc>
        <w:tc>
          <w:tcPr>
            <w:tcW w:w="2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18,561,511</w:t>
            </w:r>
          </w:p>
        </w:tc>
        <w:tc>
          <w:tcPr>
            <w:tcW w:w="2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19,110,797</w:t>
            </w:r>
          </w:p>
        </w:tc>
        <w:tc>
          <w:tcPr>
            <w:tcW w:w="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903,684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952,127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60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FCG Capital Requirements related to operations w ith ICG </w:t>
            </w:r>
            <w:r>
              <w:rPr>
                <w:rFonts w:ascii="Arial" w:cs="Arial" w:eastAsia="Arial" w:hAnsi="Arial"/>
                <w:sz w:val="29"/>
                <w:szCs w:val="29"/>
                <w:color w:val="auto"/>
                <w:vertAlign w:val="superscript"/>
              </w:rPr>
              <w:t>(8)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(246,221)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(296,132)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(225,561)</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-23.8%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ICG Capital Requirements related to operations w ith FCG </w:t>
            </w:r>
            <w:r>
              <w:rPr>
                <w:rFonts w:ascii="Arial" w:cs="Arial" w:eastAsia="Arial" w:hAnsi="Arial"/>
                <w:sz w:val="30"/>
                <w:szCs w:val="30"/>
                <w:color w:val="auto"/>
                <w:vertAlign w:val="superscript"/>
              </w:rPr>
              <w:t>(9)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17,263,312</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19,217,507</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19,868,336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2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12,071 million) and optional capital reserves (S/ 5,505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Minority interest includes Tier I (S/ 311 million)</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Credicorp’s Total Regulatory Capital registered a slight increase of 0.5% QoQ, mainly due to growth of subordinated debt. However, YoY growth was situated at 5.6% as a result of the increase in legal and other capital reserves, which grow in March in every year with the capitalization of earnings.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With regards to the Regulatory Capital Ratio, Credicorp maintained a comfortable level at the end of 3Q18, which represented 1.25 times the capital required by the regulator in Peru. This ratio fell slightly QoQ due to an increase in the Total Regulatory Capital Requirement (+3.4% QoQ), which was primarily due to an expansion in the financial business due to favorable loan growth at BCP Consolidated.</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660" w:type="dxa"/>
            <w:vAlign w:val="bottom"/>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18</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18</w:t>
            </w:r>
          </w:p>
        </w:tc>
        <w:tc>
          <w:tcPr>
            <w:tcW w:w="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3,885,494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4,184,303</w:t>
            </w:r>
          </w:p>
        </w:tc>
        <w:tc>
          <w:tcPr>
            <w:tcW w:w="1000" w:type="dxa"/>
            <w:vAlign w:val="bottom"/>
          </w:tcPr>
          <w:p>
            <w:pPr>
              <w:jc w:val="right"/>
              <w:spacing w:after="0"/>
              <w:rPr>
                <w:sz w:val="20"/>
                <w:szCs w:val="20"/>
                <w:color w:val="auto"/>
              </w:rPr>
            </w:pPr>
            <w:r>
              <w:rPr>
                <w:rFonts w:ascii="Arial" w:cs="Arial" w:eastAsia="Arial" w:hAnsi="Arial"/>
                <w:sz w:val="18"/>
                <w:szCs w:val="18"/>
                <w:color w:val="auto"/>
              </w:rPr>
              <w:t>4,184,309</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1,157,365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1,175,836</w:t>
            </w:r>
          </w:p>
        </w:tc>
        <w:tc>
          <w:tcPr>
            <w:tcW w:w="1000" w:type="dxa"/>
            <w:vAlign w:val="bottom"/>
          </w:tcPr>
          <w:p>
            <w:pPr>
              <w:jc w:val="right"/>
              <w:spacing w:after="0"/>
              <w:rPr>
                <w:sz w:val="20"/>
                <w:szCs w:val="20"/>
                <w:color w:val="auto"/>
              </w:rPr>
            </w:pPr>
            <w:r>
              <w:rPr>
                <w:rFonts w:ascii="Arial" w:cs="Arial" w:eastAsia="Arial" w:hAnsi="Arial"/>
                <w:sz w:val="18"/>
                <w:szCs w:val="18"/>
                <w:color w:val="auto"/>
              </w:rPr>
              <w:t>1,190,912</w:t>
            </w:r>
          </w:p>
        </w:tc>
        <w:tc>
          <w:tcPr>
            <w:tcW w:w="26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734,625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654,400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Subordinated Debt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4,492,968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4,098,116</w:t>
            </w:r>
          </w:p>
        </w:tc>
        <w:tc>
          <w:tcPr>
            <w:tcW w:w="1000" w:type="dxa"/>
            <w:vAlign w:val="bottom"/>
          </w:tcPr>
          <w:p>
            <w:pPr>
              <w:jc w:val="right"/>
              <w:spacing w:after="0"/>
              <w:rPr>
                <w:sz w:val="20"/>
                <w:szCs w:val="20"/>
                <w:color w:val="auto"/>
              </w:rPr>
            </w:pPr>
            <w:r>
              <w:rPr>
                <w:rFonts w:ascii="Arial" w:cs="Arial" w:eastAsia="Arial" w:hAnsi="Arial"/>
                <w:sz w:val="18"/>
                <w:szCs w:val="18"/>
                <w:color w:val="auto"/>
              </w:rPr>
              <w:t>4,133,057</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w w:val="91"/>
              </w:rPr>
              <w:t>Investment in subsidiaries and others, net of unrealized profit and net income</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(1,240,854)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(1,323,742)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(1,323,808)</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subsidiaries and others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(1,478,915)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(1,728,854)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(1,845,441)</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Unrealized profit and net income in subsidiaries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238,060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405,113</w:t>
            </w:r>
          </w:p>
        </w:tc>
        <w:tc>
          <w:tcPr>
            <w:tcW w:w="1000" w:type="dxa"/>
            <w:vAlign w:val="bottom"/>
          </w:tcPr>
          <w:p>
            <w:pPr>
              <w:jc w:val="right"/>
              <w:spacing w:after="0"/>
              <w:rPr>
                <w:sz w:val="20"/>
                <w:szCs w:val="20"/>
                <w:color w:val="auto"/>
              </w:rPr>
            </w:pPr>
            <w:r>
              <w:rPr>
                <w:rFonts w:ascii="Arial" w:cs="Arial" w:eastAsia="Arial" w:hAnsi="Arial"/>
                <w:sz w:val="18"/>
                <w:szCs w:val="18"/>
                <w:color w:val="auto"/>
              </w:rPr>
              <w:t>521,633</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28.8%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Regulatory Capital</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16,840,857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17,437,194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17,492,752</w:t>
            </w:r>
          </w:p>
        </w:tc>
        <w:tc>
          <w:tcPr>
            <w:tcW w:w="26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0.3%</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31,827,183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81,688,289</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83,769,728</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660" w:type="dxa"/>
            <w:vAlign w:val="bottom"/>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11,810,950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12,825,113</w:t>
            </w:r>
          </w:p>
        </w:tc>
        <w:tc>
          <w:tcPr>
            <w:tcW w:w="1000" w:type="dxa"/>
            <w:vAlign w:val="bottom"/>
          </w:tcPr>
          <w:p>
            <w:pPr>
              <w:jc w:val="right"/>
              <w:spacing w:after="0"/>
              <w:rPr>
                <w:sz w:val="20"/>
                <w:szCs w:val="20"/>
                <w:color w:val="auto"/>
              </w:rPr>
            </w:pPr>
            <w:r>
              <w:rPr>
                <w:rFonts w:ascii="Arial" w:cs="Arial" w:eastAsia="Arial" w:hAnsi="Arial"/>
                <w:sz w:val="18"/>
                <w:szCs w:val="18"/>
                <w:color w:val="auto"/>
              </w:rPr>
              <w:t>12,830,686</w:t>
            </w:r>
          </w:p>
        </w:tc>
        <w:tc>
          <w:tcPr>
            <w:tcW w:w="26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5,029,906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4,612,081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4,662,065</w:t>
            </w:r>
          </w:p>
        </w:tc>
        <w:tc>
          <w:tcPr>
            <w:tcW w:w="260" w:type="dxa"/>
            <w:vAlign w:val="bottom"/>
            <w:tcBorders>
              <w:left w:val="single" w:sz="8" w:color="CCEEFF"/>
            </w:tcBorders>
            <w:shd w:val="clear" w:color="auto" w:fill="CCEEFF"/>
          </w:tcPr>
          <w:p>
            <w:pPr>
              <w:spacing w:after="0"/>
              <w:rPr>
                <w:sz w:val="23"/>
                <w:szCs w:val="23"/>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102,972,396</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115,681,027</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117,083,174</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660" w:type="dxa"/>
            <w:vAlign w:val="bottom"/>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1,757,740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1,118,132</w:t>
            </w:r>
          </w:p>
        </w:tc>
        <w:tc>
          <w:tcPr>
            <w:tcW w:w="1000" w:type="dxa"/>
            <w:vAlign w:val="bottom"/>
          </w:tcPr>
          <w:p>
            <w:pPr>
              <w:jc w:val="right"/>
              <w:spacing w:after="0"/>
              <w:rPr>
                <w:sz w:val="20"/>
                <w:szCs w:val="20"/>
                <w:color w:val="auto"/>
              </w:rPr>
            </w:pPr>
            <w:r>
              <w:rPr>
                <w:rFonts w:ascii="Arial" w:cs="Arial" w:eastAsia="Arial" w:hAnsi="Arial"/>
                <w:sz w:val="18"/>
                <w:szCs w:val="18"/>
                <w:color w:val="auto"/>
              </w:rPr>
              <w:t>1,256,762</w:t>
            </w:r>
          </w:p>
        </w:tc>
        <w:tc>
          <w:tcPr>
            <w:tcW w:w="26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12.4%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92,589,212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105,677,561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106,878,174</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Operational risk-weighted assets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8,625,445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8,885,333</w:t>
            </w:r>
          </w:p>
        </w:tc>
        <w:tc>
          <w:tcPr>
            <w:tcW w:w="1000" w:type="dxa"/>
            <w:vAlign w:val="bottom"/>
          </w:tcPr>
          <w:p>
            <w:pPr>
              <w:jc w:val="right"/>
              <w:spacing w:after="0"/>
              <w:rPr>
                <w:sz w:val="20"/>
                <w:szCs w:val="20"/>
                <w:color w:val="auto"/>
              </w:rPr>
            </w:pPr>
            <w:r>
              <w:rPr>
                <w:rFonts w:ascii="Arial" w:cs="Arial" w:eastAsia="Arial" w:hAnsi="Arial"/>
                <w:sz w:val="18"/>
                <w:szCs w:val="18"/>
                <w:color w:val="auto"/>
              </w:rPr>
              <w:t>8,948,239</w:t>
            </w:r>
          </w:p>
        </w:tc>
        <w:tc>
          <w:tcPr>
            <w:tcW w:w="26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Adjusted Risk-Weighted Assets</w:t>
            </w:r>
          </w:p>
        </w:tc>
        <w:tc>
          <w:tcPr>
            <w:tcW w:w="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102,362,554</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114,929,164</w:t>
            </w:r>
          </w:p>
        </w:tc>
        <w:tc>
          <w:tcPr>
            <w:tcW w:w="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116,212,161</w:t>
            </w:r>
          </w:p>
        </w:tc>
        <w:tc>
          <w:tcPr>
            <w:tcW w:w="2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102,972,396</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115,681,027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117,083,174</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609,842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1,334,862</w:t>
            </w:r>
          </w:p>
        </w:tc>
        <w:tc>
          <w:tcPr>
            <w:tcW w:w="1000" w:type="dxa"/>
            <w:vAlign w:val="bottom"/>
          </w:tcPr>
          <w:p>
            <w:pPr>
              <w:jc w:val="right"/>
              <w:spacing w:after="0"/>
              <w:rPr>
                <w:sz w:val="20"/>
                <w:szCs w:val="20"/>
                <w:color w:val="auto"/>
              </w:rPr>
            </w:pPr>
            <w:r>
              <w:rPr>
                <w:rFonts w:ascii="Arial" w:cs="Arial" w:eastAsia="Arial" w:hAnsi="Arial"/>
                <w:sz w:val="18"/>
                <w:szCs w:val="18"/>
                <w:color w:val="auto"/>
              </w:rPr>
              <w:t>1,426,100</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 RWA Deferred tax assets generated as a result of temporary differences</w:t>
            </w:r>
          </w:p>
        </w:tc>
        <w:tc>
          <w:tcPr>
            <w:tcW w:w="13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 income tax, in excess of 10% of CET1</w:t>
            </w:r>
          </w:p>
        </w:tc>
        <w:tc>
          <w:tcPr>
            <w:tcW w:w="1340" w:type="dxa"/>
            <w:vAlign w:val="bottom"/>
            <w:gridSpan w:val="3"/>
            <w:vMerge w:val="continue"/>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582,998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555,087</w:t>
            </w:r>
          </w:p>
        </w:tc>
        <w:tc>
          <w:tcPr>
            <w:tcW w:w="260" w:type="dxa"/>
            <w:vAlign w:val="bottom"/>
            <w:tcBorders>
              <w:lef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 RWA Deferred tax assets generated as a result of past losses</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12,778,437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14,402,739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15,012,149</w:t>
            </w:r>
          </w:p>
        </w:tc>
        <w:tc>
          <w:tcPr>
            <w:tcW w:w="260" w:type="dxa"/>
            <w:vAlign w:val="bottom"/>
            <w:tcBorders>
              <w:lef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175,774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111,813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125,676</w:t>
            </w:r>
          </w:p>
        </w:tc>
        <w:tc>
          <w:tcPr>
            <w:tcW w:w="26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12.4%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9,258,921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10,567,756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10,687,817</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Operational risk capital requirement</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862,544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888,533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894,824</w:t>
            </w:r>
          </w:p>
        </w:tc>
        <w:tc>
          <w:tcPr>
            <w:tcW w:w="26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2,481,198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2,834,636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3,303,831</w:t>
            </w:r>
          </w:p>
        </w:tc>
        <w:tc>
          <w:tcPr>
            <w:tcW w:w="260" w:type="dxa"/>
            <w:vAlign w:val="bottom"/>
            <w:tcBorders>
              <w:left w:val="single" w:sz="8" w:color="CCEEFF"/>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w:t>
            </w:r>
          </w:p>
        </w:tc>
        <w:tc>
          <w:tcPr>
            <w:tcW w:w="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11.93%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11.61%</w:t>
            </w: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Risk-weighted assets / Regulatory capital</w:t>
            </w:r>
          </w:p>
        </w:tc>
        <w:tc>
          <w:tcPr>
            <w:tcW w:w="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6.11</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"(7) Common Equity Tier I = Capital + Reserves – 100% of applicable deductions (investment in subsidiaries, goodwill, intangibles and net deferred taxes that rely on future profitability) + retained earnings + unrealized gains.</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rPr>
          <w:sz w:val="20"/>
          <w:szCs w:val="20"/>
          <w:color w:val="auto"/>
        </w:rPr>
      </w:pPr>
      <w:r>
        <w:rPr>
          <w:rFonts w:ascii="Arial" w:cs="Arial" w:eastAsia="Arial" w:hAnsi="Arial"/>
          <w:sz w:val="18"/>
          <w:szCs w:val="18"/>
          <w:color w:val="auto"/>
        </w:rPr>
        <w:t>(8) Regulatory Capital / Risk-weighted assets (legal minimum = 10% since July 2011)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right="240"/>
        <w:spacing w:after="0" w:line="302" w:lineRule="auto"/>
        <w:rPr>
          <w:sz w:val="20"/>
          <w:szCs w:val="20"/>
          <w:color w:val="auto"/>
        </w:rPr>
      </w:pPr>
      <w:r>
        <w:rPr>
          <w:rFonts w:ascii="Arial" w:cs="Arial" w:eastAsia="Arial" w:hAnsi="Arial"/>
          <w:sz w:val="16"/>
          <w:szCs w:val="16"/>
          <w:color w:val="auto"/>
        </w:rPr>
        <w:t>At the end of 3Q18, the BIS ratio was situated at 14.94%, which fell below the figure reported at the end of 2Q18 (15.07%). It is important to note that this ratio reaches its highest point every 1Q when the Annual General Meeting of Shareholders approves the capitalization of retained earnings and the constitution of special reserves and restricted special reserves as part of the plan to distribute the net income attained the previous year. The drop in the BIS ratio was due to the increase in risk-weighted assets (+1.2% QoQ) generated by loan growth; since regulatory capital only grew 0.3%.</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Tier 1 ratio dropped from 11.09% in 2Q18 to 10.96% in 3Q18 in a scenario in which Tier 1 posted no growth while RWAs posted significant expansion (1.2%). This ratio also reaches its highest level every 1Q as explained above.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Common equity tier 1 ratio (CET1), which is considered the most rigorous ratio to measure capitalization levels, posted growth of +50 bps QoQ, reaching 11.61% at the end of September. This increase was mainly due to 3Q18 earnings.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important to consider that from June and on the adjusted RWAs consider a new requirement from the Supervisor. The adjustment implies the inclusion of undrawn credit facilities for the calculation of RWAs. Without the adjustment required by the Supervisor, the BIS ratio would have decreased less than the reported figure and the CET1 ratio would have increased, as shown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Reported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6"/>
          </w:tcPr>
          <w:p>
            <w:pPr>
              <w:ind w:left="120"/>
              <w:spacing w:after="0"/>
              <w:rPr>
                <w:sz w:val="20"/>
                <w:szCs w:val="20"/>
                <w:color w:val="auto"/>
              </w:rPr>
            </w:pPr>
            <w:r>
              <w:rPr>
                <w:rFonts w:ascii="Arial" w:cs="Arial" w:eastAsia="Arial" w:hAnsi="Arial"/>
                <w:sz w:val="18"/>
                <w:szCs w:val="18"/>
                <w:b w:val="1"/>
                <w:bCs w:val="1"/>
                <w:color w:val="auto"/>
              </w:rPr>
              <w:t>Without SBS change requirement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4"/>
          </w:tcPr>
          <w:p>
            <w:pPr>
              <w:ind w:left="62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4"/>
          </w:tcPr>
          <w:p>
            <w:pPr>
              <w:ind w:left="640"/>
              <w:spacing w:after="0"/>
              <w:rPr>
                <w:sz w:val="20"/>
                <w:szCs w:val="20"/>
                <w:color w:val="auto"/>
              </w:rPr>
            </w:pPr>
            <w:r>
              <w:rPr>
                <w:rFonts w:ascii="Arial" w:cs="Arial" w:eastAsia="Arial" w:hAnsi="Arial"/>
                <w:sz w:val="18"/>
                <w:szCs w:val="18"/>
                <w:b w:val="1"/>
                <w:bCs w:val="1"/>
                <w:color w:val="auto"/>
              </w:rPr>
              <w:t>change</w:t>
            </w:r>
          </w:p>
        </w:tc>
      </w:tr>
      <w:tr>
        <w:trPr>
          <w:trHeight w:val="234"/>
        </w:trPr>
        <w:tc>
          <w:tcPr>
            <w:tcW w:w="12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 17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18</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YoY</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 17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 18</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ind w:left="240"/>
              <w:spacing w:after="0"/>
              <w:rPr>
                <w:sz w:val="20"/>
                <w:szCs w:val="20"/>
                <w:color w:val="auto"/>
              </w:rPr>
            </w:pPr>
            <w:r>
              <w:rPr>
                <w:rFonts w:ascii="Arial" w:cs="Arial" w:eastAsia="Arial" w:hAnsi="Arial"/>
                <w:sz w:val="18"/>
                <w:szCs w:val="18"/>
                <w:b w:val="1"/>
                <w:bCs w:val="1"/>
                <w:color w:val="auto"/>
              </w:rPr>
              <w:t>YoY</w:t>
            </w:r>
          </w:p>
        </w:tc>
      </w:tr>
      <w:tr>
        <w:trPr>
          <w:trHeight w:val="182"/>
        </w:trPr>
        <w:tc>
          <w:tcPr>
            <w:tcW w:w="1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w:t>
            </w: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Equity Tier 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ratio</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 bps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 bps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bps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bps</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BIS ratio</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 bps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-141 bps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15.42%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15.29%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 bps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 bps</w:t>
            </w:r>
          </w:p>
        </w:tc>
      </w:tr>
      <w:tr>
        <w:trPr>
          <w:trHeight w:val="20"/>
        </w:trPr>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10"/>
          </w:tcPr>
          <w:p>
            <w:pPr>
              <w:jc w:val="right"/>
              <w:ind w:right="880"/>
              <w:spacing w:after="0"/>
              <w:rPr>
                <w:sz w:val="20"/>
                <w:szCs w:val="20"/>
                <w:color w:val="auto"/>
              </w:rPr>
            </w:pPr>
            <w:r>
              <w:rPr>
                <w:rFonts w:ascii="Arial" w:cs="Arial" w:eastAsia="Arial" w:hAnsi="Arial"/>
                <w:sz w:val="18"/>
                <w:szCs w:val="18"/>
                <w:b w:val="1"/>
                <w:bCs w:val="1"/>
                <w:color w:val="auto"/>
              </w:rPr>
              <w:t>Common Equity Tier 1 Ratio – BCP Stand-alone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June 2018</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September 2018</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9. Distribution channels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distribution channels at BCP Stand-alone, Mibanco and BCP Bolivia totaled 10,347 points of access at the end of 3Q18; this level represents an increase of 186 points QoQ.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9.1 Points of contact – BCP Stand-alone</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5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 17</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18</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 18</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QoQ</w:t>
            </w: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color w:val="auto"/>
              </w:rPr>
              <w:t>YoY</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ATMs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2,332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2,326</w:t>
            </w:r>
          </w:p>
        </w:tc>
        <w:tc>
          <w:tcPr>
            <w:tcW w:w="640" w:type="dxa"/>
            <w:vAlign w:val="bottom"/>
          </w:tcPr>
          <w:p>
            <w:pPr>
              <w:jc w:val="right"/>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9"/>
                <w:szCs w:val="19"/>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BCP's Network</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8,954</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 Stand-alone posted a total of 9,370 points of contact at the end of 3Q18, which represented an increase of 153 points QoQ. The aforementioned was due primarily to an increase in the number of Agentes BCP (+190 QoQ), which was associated with the commercial strategy to increase points of contact through cost-efficient channels. The goal to top 6600 Agentes BCP by year-end was achieved this quarter.</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YoY analysis, the total number of points of contact at BCP Stand-alone increased by 416 units, mainly due to growth in Agentes BCP (+473). The number of branches fell by 19 YoY, in line with the banking penetration strategy and due to client migration to cost-efficient channels.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9.1.1 Points of contact by location – BCP Stand-alone</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5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 17</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Sep 18</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QoQ</w:t>
            </w: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color w:val="auto"/>
              </w:rPr>
              <w:t>YoY</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Provinces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Lima</w:t>
            </w: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2,326</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w:t>
            </w: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Provinces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2,753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3,105</w:t>
            </w:r>
          </w:p>
        </w:tc>
        <w:tc>
          <w:tcPr>
            <w:tcW w:w="640" w:type="dxa"/>
            <w:vAlign w:val="bottom"/>
          </w:tcPr>
          <w:p>
            <w:pPr>
              <w:jc w:val="right"/>
              <w:spacing w:after="0"/>
              <w:rPr>
                <w:sz w:val="20"/>
                <w:szCs w:val="20"/>
                <w:color w:val="auto"/>
              </w:rPr>
            </w:pPr>
            <w:r>
              <w:rPr>
                <w:rFonts w:ascii="Arial" w:cs="Arial" w:eastAsia="Arial" w:hAnsi="Arial"/>
                <w:sz w:val="18"/>
                <w:szCs w:val="18"/>
                <w:color w:val="auto"/>
              </w:rPr>
              <w:t>3,177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6,456</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8,954</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9,217</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quarter, BCP Stand-alone’s points of contact grew by 153; Lima registered an increase of 96 points and the provinces, 57.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significant growth in total points of contract was due primarily to Agentes BCP, which increased by 473 points: 49 in Lima and 424 in the provinces. It is important to note that growth has been planned according to the historical performance of this channel in each territory to ensure that we hit the target for nationwide growth. Credicorp is betting on higher growth in the provinces because it is more profitable.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drop in Branches and ATMs. Branch numbers fell both in Lima (-10) and in the provinces (-9) as clients migrated to cost-efficient channels. ATMS also reported a decline YoY (-66) after ATMs were disassembled at some branches. In the provinces, ATMs posted an increase (+28) after new machines were installed in offices and at neutral points.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9.1.2 Transactions per channel –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N° of Transactions per channel </w:t>
            </w:r>
            <w:r>
              <w:rPr>
                <w:rFonts w:ascii="Arial" w:cs="Arial" w:eastAsia="Arial" w:hAnsi="Arial"/>
                <w:sz w:val="23"/>
                <w:szCs w:val="23"/>
                <w:b w:val="1"/>
                <w:bCs w:val="1"/>
                <w:color w:val="auto"/>
                <w:w w:val="93"/>
                <w:vertAlign w:val="superscript"/>
              </w:rPr>
              <w:t>(1)</w:t>
            </w:r>
          </w:p>
        </w:tc>
        <w:tc>
          <w:tcPr>
            <w:tcW w:w="10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4"/>
              </w:rPr>
              <w:t>Monthly average in each quarter</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2Q18</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3Q18</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8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8,341,552</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8,029,752</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5.6%</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8,102,687</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5.3%</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0.9%</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23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Telephone banking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3,444,444</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4,738,082</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4,896,746</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Cost-efficient</w:t>
            </w:r>
          </w:p>
        </w:tc>
        <w:tc>
          <w:tcPr>
            <w:tcW w:w="2360" w:type="dxa"/>
            <w:vAlign w:val="bottom"/>
            <w:gridSpan w:val="3"/>
            <w:vMerge w:val="restart"/>
          </w:tcPr>
          <w:p>
            <w:pPr>
              <w:ind w:left="100"/>
              <w:spacing w:after="0" w:line="139" w:lineRule="exact"/>
              <w:rPr>
                <w:sz w:val="20"/>
                <w:szCs w:val="20"/>
                <w:color w:val="auto"/>
              </w:rPr>
            </w:pPr>
            <w:r>
              <w:rPr>
                <w:rFonts w:ascii="Arial" w:cs="Arial" w:eastAsia="Arial" w:hAnsi="Arial"/>
                <w:sz w:val="14"/>
                <w:szCs w:val="14"/>
                <w:color w:val="auto"/>
              </w:rPr>
              <w:t>Agentes BCP</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18,129,821</w:t>
            </w:r>
          </w:p>
        </w:tc>
        <w:tc>
          <w:tcPr>
            <w:tcW w:w="22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14.8%</w:t>
            </w:r>
          </w:p>
        </w:tc>
        <w:tc>
          <w:tcPr>
            <w:tcW w:w="80" w:type="dxa"/>
            <w:vAlign w:val="bottom"/>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20,936,116</w:t>
            </w:r>
          </w:p>
        </w:tc>
        <w:tc>
          <w:tcPr>
            <w:tcW w:w="220" w:type="dxa"/>
            <w:vAlign w:val="bottom"/>
            <w:vMerge w:val="continue"/>
          </w:tcPr>
          <w:p>
            <w:pPr>
              <w:spacing w:after="0"/>
              <w:rPr>
                <w:sz w:val="10"/>
                <w:szCs w:val="10"/>
                <w:color w:val="auto"/>
              </w:rPr>
            </w:pPr>
          </w:p>
        </w:tc>
        <w:tc>
          <w:tcPr>
            <w:tcW w:w="102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14.7%</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23,391,555</w:t>
            </w:r>
          </w:p>
        </w:tc>
        <w:tc>
          <w:tcPr>
            <w:tcW w:w="220" w:type="dxa"/>
            <w:vAlign w:val="bottom"/>
          </w:tcPr>
          <w:p>
            <w:pPr>
              <w:spacing w:after="0"/>
              <w:rPr>
                <w:sz w:val="10"/>
                <w:szCs w:val="10"/>
                <w:color w:val="auto"/>
              </w:rPr>
            </w:pPr>
          </w:p>
        </w:tc>
        <w:tc>
          <w:tcPr>
            <w:tcW w:w="104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15.4%</w:t>
            </w:r>
          </w:p>
        </w:tc>
        <w:tc>
          <w:tcPr>
            <w:tcW w:w="102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11.7%</w:t>
            </w:r>
          </w:p>
        </w:tc>
        <w:tc>
          <w:tcPr>
            <w:tcW w:w="2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85"/>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2360" w:type="dxa"/>
            <w:vAlign w:val="bottom"/>
            <w:gridSpan w:val="3"/>
          </w:tcPr>
          <w:p>
            <w:pPr>
              <w:ind w:left="100"/>
              <w:spacing w:after="0"/>
              <w:rPr>
                <w:sz w:val="20"/>
                <w:szCs w:val="20"/>
                <w:color w:val="auto"/>
              </w:rPr>
            </w:pPr>
            <w:r>
              <w:rPr>
                <w:rFonts w:ascii="Arial" w:cs="Arial" w:eastAsia="Arial" w:hAnsi="Arial"/>
                <w:sz w:val="14"/>
                <w:szCs w:val="14"/>
                <w:color w:val="auto"/>
              </w:rPr>
              <w:t>ATMs</w:t>
            </w:r>
          </w:p>
        </w:tc>
        <w:tc>
          <w:tcPr>
            <w:tcW w:w="840" w:type="dxa"/>
            <w:vAlign w:val="bottom"/>
          </w:tcPr>
          <w:p>
            <w:pPr>
              <w:jc w:val="right"/>
              <w:spacing w:after="0"/>
              <w:rPr>
                <w:sz w:val="20"/>
                <w:szCs w:val="20"/>
                <w:color w:val="auto"/>
              </w:rPr>
            </w:pPr>
            <w:r>
              <w:rPr>
                <w:rFonts w:ascii="Arial" w:cs="Arial" w:eastAsia="Arial" w:hAnsi="Arial"/>
                <w:sz w:val="14"/>
                <w:szCs w:val="14"/>
                <w:color w:val="auto"/>
              </w:rPr>
              <w:t>21,552,167</w:t>
            </w:r>
          </w:p>
        </w:tc>
        <w:tc>
          <w:tcPr>
            <w:tcW w:w="2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20,892,105</w:t>
            </w:r>
          </w:p>
        </w:tc>
        <w:tc>
          <w:tcPr>
            <w:tcW w:w="220" w:type="dxa"/>
            <w:vAlign w:val="bottom"/>
          </w:tcPr>
          <w:p>
            <w:pPr>
              <w:spacing w:after="0"/>
              <w:rPr>
                <w:sz w:val="16"/>
                <w:szCs w:val="16"/>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14.7%</w:t>
            </w:r>
          </w:p>
        </w:tc>
        <w:tc>
          <w:tcPr>
            <w:tcW w:w="840" w:type="dxa"/>
            <w:vAlign w:val="bottom"/>
          </w:tcPr>
          <w:p>
            <w:pPr>
              <w:jc w:val="right"/>
              <w:spacing w:after="0"/>
              <w:rPr>
                <w:sz w:val="20"/>
                <w:szCs w:val="20"/>
                <w:color w:val="auto"/>
              </w:rPr>
            </w:pPr>
            <w:r>
              <w:rPr>
                <w:rFonts w:ascii="Arial" w:cs="Arial" w:eastAsia="Arial" w:hAnsi="Arial"/>
                <w:sz w:val="14"/>
                <w:szCs w:val="14"/>
                <w:color w:val="auto"/>
              </w:rPr>
              <w:t>18,838,132</w:t>
            </w:r>
          </w:p>
        </w:tc>
        <w:tc>
          <w:tcPr>
            <w:tcW w:w="22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12.4%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3"/>
              </w:rPr>
              <w:t>Digital</w:t>
            </w:r>
          </w:p>
        </w:tc>
        <w:tc>
          <w:tcPr>
            <w:tcW w:w="2360" w:type="dxa"/>
            <w:vAlign w:val="bottom"/>
            <w:gridSpan w:val="3"/>
            <w:vMerge w:val="restart"/>
            <w:shd w:val="clear" w:color="auto" w:fill="CCEEFF"/>
          </w:tcPr>
          <w:p>
            <w:pPr>
              <w:ind w:left="100"/>
              <w:spacing w:after="0" w:line="139" w:lineRule="exact"/>
              <w:rPr>
                <w:sz w:val="20"/>
                <w:szCs w:val="20"/>
                <w:color w:val="auto"/>
              </w:rPr>
            </w:pPr>
            <w:r>
              <w:rPr>
                <w:rFonts w:ascii="Arial" w:cs="Arial" w:eastAsia="Arial" w:hAnsi="Arial"/>
                <w:sz w:val="14"/>
                <w:szCs w:val="14"/>
                <w:color w:val="auto"/>
              </w:rPr>
              <w:t>Mobile banking</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shd w:val="clear" w:color="auto" w:fill="CCEEFF"/>
          </w:tcPr>
          <w:p>
            <w:pPr>
              <w:spacing w:after="0"/>
              <w:rPr>
                <w:sz w:val="10"/>
                <w:szCs w:val="10"/>
                <w:color w:val="auto"/>
              </w:rPr>
            </w:pPr>
          </w:p>
        </w:tc>
        <w:tc>
          <w:tcPr>
            <w:tcW w:w="2360" w:type="dxa"/>
            <w:vAlign w:val="bottom"/>
            <w:gridSpan w:val="3"/>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26,914,282</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22.0%</w:t>
            </w:r>
          </w:p>
        </w:tc>
        <w:tc>
          <w:tcPr>
            <w:tcW w:w="8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41,967,471</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29.4%</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48,996,671</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32.3%</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16.7%</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53"/>
        </w:trPr>
        <w:tc>
          <w:tcPr>
            <w:tcW w:w="8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5"/>
              </w:rPr>
              <w:t>channels</w:t>
            </w:r>
          </w:p>
        </w:tc>
        <w:tc>
          <w:tcPr>
            <w:tcW w:w="10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Internet banking Via BCP</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18,968,107</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15.5%</w:t>
            </w:r>
          </w:p>
        </w:tc>
        <w:tc>
          <w:tcPr>
            <w:tcW w:w="9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18,571,866</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13.0%</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19,148,190</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12.6%</w:t>
            </w:r>
          </w:p>
        </w:tc>
        <w:tc>
          <w:tcPr>
            <w:tcW w:w="102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1"/>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inquiries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1,858,886</w:t>
            </w: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1,754,730</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1,569,552</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Telecrédito</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Others</w:t>
            </w:r>
          </w:p>
        </w:tc>
        <w:tc>
          <w:tcPr>
            <w:tcW w:w="10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10,190,057</w:t>
            </w:r>
          </w:p>
        </w:tc>
        <w:tc>
          <w:tcPr>
            <w:tcW w:w="220" w:type="dxa"/>
            <w:vAlign w:val="bottom"/>
          </w:tcPr>
          <w:p>
            <w:pPr>
              <w:spacing w:after="0"/>
              <w:rPr>
                <w:sz w:val="10"/>
                <w:szCs w:val="10"/>
                <w:color w:val="auto"/>
              </w:rPr>
            </w:pPr>
          </w:p>
        </w:tc>
        <w:tc>
          <w:tcPr>
            <w:tcW w:w="9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8.3%</w:t>
            </w:r>
          </w:p>
        </w:tc>
        <w:tc>
          <w:tcPr>
            <w:tcW w:w="80" w:type="dxa"/>
            <w:vAlign w:val="bottom"/>
            <w:vMerge w:val="continue"/>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10,744,973</w:t>
            </w:r>
          </w:p>
        </w:tc>
        <w:tc>
          <w:tcPr>
            <w:tcW w:w="220" w:type="dxa"/>
            <w:vAlign w:val="bottom"/>
          </w:tcPr>
          <w:p>
            <w:pPr>
              <w:spacing w:after="0"/>
              <w:rPr>
                <w:sz w:val="10"/>
                <w:szCs w:val="10"/>
                <w:color w:val="auto"/>
              </w:rPr>
            </w:pPr>
          </w:p>
        </w:tc>
        <w:tc>
          <w:tcPr>
            <w:tcW w:w="10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7.5%</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11,343,966</w:t>
            </w:r>
          </w:p>
        </w:tc>
        <w:tc>
          <w:tcPr>
            <w:tcW w:w="220" w:type="dxa"/>
            <w:vAlign w:val="bottom"/>
            <w:vMerge w:val="continue"/>
          </w:tcPr>
          <w:p>
            <w:pPr>
              <w:spacing w:after="0"/>
              <w:rPr>
                <w:sz w:val="10"/>
                <w:szCs w:val="10"/>
                <w:color w:val="auto"/>
              </w:rPr>
            </w:pPr>
          </w:p>
        </w:tc>
        <w:tc>
          <w:tcPr>
            <w:tcW w:w="104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7.5%</w:t>
            </w:r>
          </w:p>
        </w:tc>
        <w:tc>
          <w:tcPr>
            <w:tcW w:w="10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23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Direct debit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609,961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667,155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664,662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3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Points of sale P.O.S.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12,024,620</w:t>
            </w:r>
          </w:p>
        </w:tc>
        <w:tc>
          <w:tcPr>
            <w:tcW w:w="2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14,035,053</w:t>
            </w:r>
          </w:p>
        </w:tc>
        <w:tc>
          <w:tcPr>
            <w:tcW w:w="2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14,333,713</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2360" w:type="dxa"/>
            <w:vAlign w:val="bottom"/>
            <w:gridSpan w:val="3"/>
          </w:tcPr>
          <w:p>
            <w:pPr>
              <w:ind w:left="100"/>
              <w:spacing w:after="0"/>
              <w:rPr>
                <w:sz w:val="20"/>
                <w:szCs w:val="20"/>
                <w:color w:val="auto"/>
              </w:rPr>
            </w:pPr>
            <w:r>
              <w:rPr>
                <w:rFonts w:ascii="Arial" w:cs="Arial" w:eastAsia="Arial" w:hAnsi="Arial"/>
                <w:sz w:val="14"/>
                <w:szCs w:val="14"/>
                <w:color w:val="auto"/>
              </w:rPr>
              <w:t>Other ATMs network</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207,322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206,892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215,688</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88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gridSpan w:val="3"/>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Total transactions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122,241,218</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142,544,197</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151,501,562</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monthly average of transactions increased QoQ (+2.9%) and YoY (+10.5%). It is important to note that in 3Q18, the increase in the transactions volume was seen primarily in Mobile Banking (+16.7%), which continued to considerably increase its share of total transactions to reach a level of 36.3% in 3Q18 in accordance with our strategy to encourage clients to migrate to digital channels.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largest drop in transactions was posted by Internet banking via BCP (-62.2% QoQ) and, to a lesser extent, by ATMs (-9.8% QoQ).</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YoY analysis, which excludes the seasonal effect, reveals an increase in the monthly average of transactions, which was due primarily to growth in the volumes registered by the following channels:</w:t>
      </w:r>
    </w:p>
    <w:p>
      <w:pPr>
        <w:spacing w:after="0" w:line="170" w:lineRule="exact"/>
        <w:rPr>
          <w:sz w:val="20"/>
          <w:szCs w:val="20"/>
          <w:color w:val="auto"/>
        </w:rPr>
      </w:pPr>
    </w:p>
    <w:p>
      <w:pPr>
        <w:jc w:val="both"/>
        <w:ind w:left="880" w:hanging="494"/>
        <w:spacing w:after="0" w:line="25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Mobile Banking (+82.0% YoY) continues to grow its share of total transactions through the mobile applications “Banca Celular BCP” and “Tus Beneficios BCP”; through growth in time deposits; through an increase in digital token users, who can conduct operations safely and simply; and through loan or service payments. Different initiatives are also underway in Retail Banking to encourage use of this channel (such as campaigns in the social networks).</w:t>
      </w:r>
    </w:p>
    <w:p>
      <w:pPr>
        <w:spacing w:after="0" w:line="186" w:lineRule="exact"/>
        <w:rPr>
          <w:rFonts w:ascii="Arial" w:cs="Arial" w:eastAsia="Arial" w:hAnsi="Arial"/>
          <w:sz w:val="18"/>
          <w:szCs w:val="18"/>
          <w:color w:val="auto"/>
        </w:rPr>
      </w:pPr>
    </w:p>
    <w:p>
      <w:pPr>
        <w:jc w:val="both"/>
        <w:ind w:left="880" w:hanging="494"/>
        <w:spacing w:after="0" w:line="302"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Agentes BCP (+29.0% YoY) due to growth in drafts. It is important to note that the functionality of draft transactions has improved, and the transactions time has been reduced; this has boosted clients’ confidence levels and consequently, driven demand for transactions via this channel. Growth was also attributable, although to a lesser extent, to an increase in deposits, withdrawals and service payments. A large portion of the increase in transactions is due to expansion in the number of Agentes BCP (+473 YoY) and to growth in demand for this channel.</w:t>
      </w:r>
    </w:p>
    <w:p>
      <w:pPr>
        <w:spacing w:after="0" w:line="154" w:lineRule="exact"/>
        <w:rPr>
          <w:rFonts w:ascii="Arial" w:cs="Arial" w:eastAsia="Arial" w:hAnsi="Arial"/>
          <w:sz w:val="16"/>
          <w:szCs w:val="16"/>
          <w:color w:val="auto"/>
        </w:rPr>
      </w:pPr>
    </w:p>
    <w:p>
      <w:pPr>
        <w:ind w:left="880" w:hanging="494"/>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Points of sale P.O.S (+19.2% YoY). The increase was due primarily to growth in the penetration of Visanet. This channel’s share of the total monthly average of transactions rose to 10.6% in 3Q18 vs. 9.8% in 3Q17.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channel that posted a YoY decrease in transactions was ATMs (-12.6%) due to an increase in the use of Agentes BCP.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future growth in banking in the region will be concentrated mainly in digital channels; as such, Credicorp will continue to increase its strategic position in these cost-effective venues. This is in line with Credicorp’s Transformation Strategy and is the driving force behind the fact that Mobile Banking posted the highest growth in the total transactions volume.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9.2 Points of contact – Mibanco</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5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Sep 17</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Jun 18</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2"/>
              </w:rPr>
              <w:t>Sep 18</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80" w:type="dxa"/>
            <w:vAlign w:val="bottom"/>
            <w:tcBorders>
              <w:bottom w:val="single" w:sz="8" w:color="CCEEFF"/>
            </w:tcBorders>
          </w:tcPr>
          <w:p>
            <w:pPr>
              <w:spacing w:after="0"/>
              <w:rPr>
                <w:sz w:val="20"/>
                <w:szCs w:val="20"/>
                <w:color w:val="auto"/>
              </w:rPr>
            </w:pPr>
          </w:p>
        </w:tc>
      </w:tr>
      <w:tr>
        <w:trPr>
          <w:trHeight w:val="250"/>
        </w:trPr>
        <w:tc>
          <w:tcPr>
            <w:tcW w:w="5120" w:type="dxa"/>
            <w:vAlign w:val="bottom"/>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Total Mibanco's Network </w:t>
            </w:r>
            <w:r>
              <w:rPr>
                <w:rFonts w:ascii="Arial" w:cs="Arial" w:eastAsia="Arial" w:hAnsi="Arial"/>
                <w:sz w:val="29"/>
                <w:szCs w:val="29"/>
                <w:b w:val="1"/>
                <w:bCs w:val="1"/>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r>
      <w:tr>
        <w:trPr>
          <w:trHeight w:val="20"/>
        </w:trPr>
        <w:tc>
          <w:tcPr>
            <w:tcW w:w="5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Mibanco does not have Agentes or ATMs because it uses the BCP network. Mibanco branches include Banco de la Nacion branches, which in Sep 17, Jun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18 and Sep 18 were 39, 38 and 38 respectively.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branches at Mibanco remained stable QoQ. It is important to note that Mibanco has an agreement with the Banco de la Nacion that allows it to use their offices at the national level to reduce operating costs. At the end of 3Q18, these branches represented 12% (38 branches) of Mibanco’s total number of 326 branches.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Mibanco posted growth in its total number of branches (+2 YoY) due to on-going business expansion.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9.3 Points of contact – BCP Bolivia</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5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 17</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Jun 18</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 18</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QoQ</w:t>
            </w: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color w:val="auto"/>
              </w:rPr>
              <w:t>YoY</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ATMs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279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9"/>
                <w:szCs w:val="19"/>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651</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Bolivia posted a QoQ increase of 34 points of access in 3Q18; this was due to an increase in the number of Agentes BCP Bolivia, in line with the growth strategy to reach 300 Agentes at the end of 2018 (which was achieved in 3Q18).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BCP Bolivia reported an increase in its points of contact (+121 YoY), which was primarily due to growth in the Agentes component.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260" w:type="dxa"/>
            <w:vAlign w:val="bottom"/>
            <w:gridSpan w:val="2"/>
          </w:tcPr>
          <w:p>
            <w:pPr>
              <w:ind w:left="2900"/>
              <w:spacing w:after="0"/>
              <w:rPr>
                <w:sz w:val="20"/>
                <w:szCs w:val="20"/>
                <w:color w:val="auto"/>
              </w:rPr>
            </w:pPr>
            <w:r>
              <w:rPr>
                <w:rFonts w:ascii="Arial" w:cs="Arial" w:eastAsia="Arial" w:hAnsi="Arial"/>
                <w:sz w:val="18"/>
                <w:szCs w:val="18"/>
                <w:b w:val="1"/>
                <w:bCs w:val="1"/>
                <w:color w:val="auto"/>
              </w:rPr>
              <w:t>Peru</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192,353</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195,707</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215,411</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230,506</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57"/>
        </w:trPr>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Domestic demand (% change)</w:t>
            </w:r>
            <w:r>
              <w:rPr>
                <w:rFonts w:ascii="Arial" w:cs="Arial" w:eastAsia="Arial" w:hAnsi="Arial"/>
                <w:sz w:val="29"/>
                <w:szCs w:val="29"/>
                <w:color w:val="auto"/>
                <w:vertAlign w:val="superscript"/>
              </w:rPr>
              <w:t>(1)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Total consumption (% change)</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Gross fixed investment (as % GDP)</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Public Investment (% change)</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6260" w:type="dxa"/>
            <w:vAlign w:val="bottom"/>
            <w:gridSpan w:val="2"/>
          </w:tcPr>
          <w:p>
            <w:pPr>
              <w:spacing w:after="0" w:line="256" w:lineRule="exact"/>
              <w:rPr>
                <w:sz w:val="20"/>
                <w:szCs w:val="20"/>
                <w:color w:val="auto"/>
              </w:rPr>
            </w:pPr>
            <w:r>
              <w:rPr>
                <w:rFonts w:ascii="Arial" w:cs="Arial" w:eastAsia="Arial" w:hAnsi="Arial"/>
                <w:sz w:val="18"/>
                <w:szCs w:val="18"/>
                <w:color w:val="auto"/>
              </w:rPr>
              <w:t>Public Debt (as % GDP)</w:t>
            </w:r>
            <w:r>
              <w:rPr>
                <w:rFonts w:ascii="Arial" w:cs="Arial" w:eastAsia="Arial" w:hAnsi="Arial"/>
                <w:sz w:val="29"/>
                <w:szCs w:val="29"/>
                <w:color w:val="auto"/>
                <w:vertAlign w:val="superscript"/>
              </w:rPr>
              <w:t>(1)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0"/>
        </w:trPr>
        <w:tc>
          <w:tcPr>
            <w:tcW w:w="62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(3)</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gridSpan w:val="2"/>
            <w:vMerge w:val="continue"/>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3.25-</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Fiscal balance (% GDP)</w:t>
            </w:r>
            <w:r>
              <w:rPr>
                <w:rFonts w:ascii="Arial" w:cs="Arial" w:eastAsia="Arial" w:hAnsi="Arial"/>
                <w:sz w:val="30"/>
                <w:szCs w:val="30"/>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gridSpan w:val="2"/>
            <w:vMerge w:val="continue"/>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34,414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44,918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37,330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38,652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43,200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Current account balance (US$ Millions)</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Estimates by BCP Economic Research as of October 2018; INEI, BCRP, and SBS.</w:t>
      </w:r>
    </w:p>
    <w:p>
      <w:pPr>
        <w:spacing w:after="0" w:line="23"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154940</wp:posOffset>
            </wp:positionV>
            <wp:extent cx="3807460" cy="11322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0746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2Q18, GDP grew 5.4% YoY (1Q18: 3.1%), driven by a recovery in domestic demand of 6.3% YoY (1Q18: 4.2%). Both figures reached its maximum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levels for the past 5 years. Private investment increased 8.5% YoY (1Q18: 5.3%) and has remained in positive terrain for the past year.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3Q18, GDP grew around 2.4% YoY, the year’s lowest print. The primary sectors posted lower growth as expansion declined in the mining, primary resource manufacturing and hydrocarbon sectors. During this period, the non-primary sectors moderated their growth to under 3.5% YoY. Within these sectors, the downturn in the construction sector (in August, the print fell for the first time in 15 months), which was associated with a deceleration in public investment (in real terms, this component grew only 1% in 3Q18).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3764915" cy="1680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6491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inflation at the end of 3Q18 was situated at 1.3% YoY (2Q18: 1.4%). Annual inflation excluding food and energy closed at 2.1% YoY at the end of 3Q18 to accumulate almost 2 years within the BCRP’s target range.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3Q18, BCRP maintained its rate at 2.75% (after cutting its rate 50 bps in 1Q18). The entity believes that economic indicators show temporary signs of slower growth and that the economy continues to perform below its potential. As such, the Board of BCRP is maintaining monetary stimulus until inflation converges (at 2%) in a context where expectations for inflation are anchored to the target range and the economy is close to performing at its potential.</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154940</wp:posOffset>
            </wp:positionV>
            <wp:extent cx="3653155" cy="1852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531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annualized fiscal deficit at the end of 3Q18 was situated at 2.0% of GDP (2Q18: 2.2%). The drop in the fiscal deficit as mainly attributable to an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fiscal revenues, which accounted for 19.4% of GDP (2Q18: 19.0%) and increased for the fourth consecutive quarter. In the first nine months of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revenues increased 17% YoY. The components that saw that largest increase in collections were: (i) Income Tax (+20%), (ii) VAT (+12%) and (iii)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Selective Consumption Tax (+9%). In contrast, non-financial expenses at the General Government level increased slightly to 20.1% of GDP (2T18: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January and September 2018, current expenditure increased 7.9% YoY while public investment increased +10.8% YoY.</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August 2018, the 12-month rolling trade balance reported a surplus of US$ 7,801 million. It is important to note that in annualized terms, exports totaled US$ 49.5 thousand million, which represents a historical maximum level. The solid trade surplus is mainly attributable to the increase in exports (+15.0%) in general and in copper deliveries in particular (+20.9%). Non-traditional exports also accelerated and grew 16.4% YoY. During this same period, imports increased 12.0% YoY, mainly due to higher imports of inputs (+19.5%), while imports of capital goods grew 5.9% YoY.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154940</wp:posOffset>
            </wp:positionV>
            <wp:extent cx="3404870" cy="2143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0487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SBS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76" w:lineRule="auto"/>
        <w:rPr>
          <w:sz w:val="20"/>
          <w:szCs w:val="20"/>
          <w:color w:val="auto"/>
        </w:rPr>
      </w:pPr>
      <w:r>
        <w:rPr>
          <w:rFonts w:ascii="Arial" w:cs="Arial" w:eastAsia="Arial" w:hAnsi="Arial"/>
          <w:sz w:val="17"/>
          <w:szCs w:val="17"/>
          <w:color w:val="auto"/>
        </w:rPr>
        <w:t>In 3T18, the exchange rate closed at 3.300 Soles per US Dollar. With this result, the Sol depreciated 0.9% with regards to the figure at the end of 2Q18 and accumulated depreciation of 1.8% vis a vis the figure posted at the close of 2017 (3.241 Soles per US Dollar). Since May, the exchange rate has oscillated within a range of 3.25-3.30 Soles per US Dollar due to different factors in the international environment, the most noteworthy of which are: the reversal of capital flows to emerging markets in May and the mounting trade tensions between the USA and China. In September, the exchange rate continued to rise in the face of an increase in US Treasury Rates at 10 years (the rate topped 3.0% in September).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3Q18, almost all of the region’s currencies depreciated. The sole exception was the Mexican Peso, which appreciated (+6.0%) while the Chilean Peso (0.4%), Peruvian Sol (0.9%), Colombian Peso (1.2%) and Brazilian Real (4.5%) all depreciated. In 3Q18, BCRP intervened very little in the exchange market via Cross-Currency Swap for a total of US$421 million in a context marked by depreciations in the region’s currencies and the expiration of previously placed Swaps.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3Q17</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2Q18</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4,557,709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5,271,950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5,430,994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22,822,994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19,558,113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17,983,724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27,380,703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24,830,063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23,414,718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5,010,358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4,986,068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4,559,897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95,142,268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102,766,633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105,028,343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92,268,197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99,653,619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101,839,950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2,874,071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(4,419,769)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(4,819,704)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(4,920,319)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90,722,499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97,946,929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100,108,024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other comprehensive income investments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26,380,715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23,291,981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23,516,932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Amortized cost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4,267,588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4,156,770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4,106,966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691,786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706,419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602,291</w:t>
            </w:r>
          </w:p>
        </w:tc>
        <w:tc>
          <w:tcPr>
            <w:tcW w:w="1000" w:type="dxa"/>
            <w:vAlign w:val="bottom"/>
          </w:tcPr>
          <w:p>
            <w:pPr>
              <w:jc w:val="right"/>
              <w:spacing w:after="0"/>
              <w:rPr>
                <w:sz w:val="20"/>
                <w:szCs w:val="20"/>
                <w:color w:val="auto"/>
              </w:rPr>
            </w:pPr>
            <w:r>
              <w:rPr>
                <w:rFonts w:ascii="Arial" w:cs="Arial" w:eastAsia="Arial" w:hAnsi="Arial"/>
                <w:sz w:val="18"/>
                <w:szCs w:val="18"/>
                <w:color w:val="auto"/>
              </w:rPr>
              <w:t>709,294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741,316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1,631,641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1,564,188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512,833</w:t>
            </w:r>
          </w:p>
        </w:tc>
        <w:tc>
          <w:tcPr>
            <w:tcW w:w="1000" w:type="dxa"/>
            <w:vAlign w:val="bottom"/>
          </w:tcPr>
          <w:p>
            <w:pPr>
              <w:jc w:val="right"/>
              <w:spacing w:after="0"/>
              <w:rPr>
                <w:sz w:val="20"/>
                <w:szCs w:val="20"/>
                <w:color w:val="auto"/>
              </w:rPr>
            </w:pPr>
            <w:r>
              <w:rPr>
                <w:rFonts w:ascii="Arial" w:cs="Arial" w:eastAsia="Arial" w:hAnsi="Arial"/>
                <w:sz w:val="18"/>
                <w:szCs w:val="18"/>
                <w:color w:val="auto"/>
              </w:rPr>
              <w:t>801,248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969,702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690,661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714,836</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736,044</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7,460,731</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7,449,443</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7,943,426</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165,351,806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167,157,239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168,455,597</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24,506,234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24,630,138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24,975,666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68,387,681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72,914,097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72,399,745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92,893,915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97,544,235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97,375,411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8,107,103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4,578,878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4,806,219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29"/>
                <w:szCs w:val="29"/>
                <w:color w:val="auto"/>
                <w:vertAlign w:val="superscript"/>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2,471,814</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2,710,701</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2,785,216</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20" w:type="dxa"/>
            <w:vAlign w:val="bottom"/>
          </w:tcPr>
          <w:p>
            <w:pPr>
              <w:jc w:val="right"/>
              <w:spacing w:after="0"/>
              <w:rPr>
                <w:sz w:val="20"/>
                <w:szCs w:val="20"/>
                <w:color w:val="auto"/>
              </w:rPr>
            </w:pPr>
            <w:r>
              <w:rPr>
                <w:rFonts w:ascii="Arial" w:cs="Arial" w:eastAsia="Arial" w:hAnsi="Arial"/>
                <w:sz w:val="18"/>
                <w:szCs w:val="18"/>
                <w:color w:val="auto"/>
              </w:rPr>
              <w:t>8,867,185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8,057,222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7,509,183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15,236,054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15,283,893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15,194,775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512,833</w:t>
            </w:r>
          </w:p>
        </w:tc>
        <w:tc>
          <w:tcPr>
            <w:tcW w:w="1000" w:type="dxa"/>
            <w:vAlign w:val="bottom"/>
          </w:tcPr>
          <w:p>
            <w:pPr>
              <w:jc w:val="right"/>
              <w:spacing w:after="0"/>
              <w:rPr>
                <w:sz w:val="20"/>
                <w:szCs w:val="20"/>
                <w:color w:val="auto"/>
              </w:rPr>
            </w:pPr>
            <w:r>
              <w:rPr>
                <w:rFonts w:ascii="Arial" w:cs="Arial" w:eastAsia="Arial" w:hAnsi="Arial"/>
                <w:sz w:val="18"/>
                <w:szCs w:val="18"/>
                <w:color w:val="auto"/>
              </w:rPr>
              <w:t>801,248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969,702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1,160,390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1,244,312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020" w:type="dxa"/>
            <w:vAlign w:val="bottom"/>
          </w:tcPr>
          <w:p>
            <w:pPr>
              <w:jc w:val="right"/>
              <w:spacing w:after="0"/>
              <w:rPr>
                <w:sz w:val="20"/>
                <w:szCs w:val="20"/>
                <w:color w:val="auto"/>
              </w:rPr>
            </w:pPr>
            <w:r>
              <w:rPr>
                <w:rFonts w:ascii="Arial" w:cs="Arial" w:eastAsia="Arial" w:hAnsi="Arial"/>
                <w:sz w:val="18"/>
                <w:szCs w:val="18"/>
                <w:color w:val="auto"/>
              </w:rPr>
              <w:t>6,093,439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6,617,540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6,834,070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435,841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7,157,432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7,581,544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7,720,422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142,912,039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144,855,414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145,018,430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21,964,556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21,889,218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23,006,133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(208,968)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(208,754)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(207,994)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271,124</w:t>
            </w:r>
          </w:p>
        </w:tc>
        <w:tc>
          <w:tcPr>
            <w:tcW w:w="1000" w:type="dxa"/>
            <w:vAlign w:val="bottom"/>
          </w:tcPr>
          <w:p>
            <w:pPr>
              <w:jc w:val="right"/>
              <w:spacing w:after="0"/>
              <w:rPr>
                <w:sz w:val="20"/>
                <w:szCs w:val="20"/>
                <w:color w:val="auto"/>
              </w:rPr>
            </w:pPr>
            <w:r>
              <w:rPr>
                <w:rFonts w:ascii="Arial" w:cs="Arial" w:eastAsia="Arial" w:hAnsi="Arial"/>
                <w:sz w:val="18"/>
                <w:szCs w:val="18"/>
                <w:color w:val="auto"/>
              </w:rPr>
              <w:t>248,535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249,398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15,883,350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17,555,308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17,576,109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Unrealized gains (losses)</w:t>
            </w:r>
          </w:p>
        </w:tc>
        <w:tc>
          <w:tcPr>
            <w:tcW w:w="1020" w:type="dxa"/>
            <w:vAlign w:val="bottom"/>
          </w:tcPr>
          <w:p>
            <w:pPr>
              <w:jc w:val="right"/>
              <w:spacing w:after="0"/>
              <w:rPr>
                <w:sz w:val="20"/>
                <w:szCs w:val="20"/>
                <w:color w:val="auto"/>
              </w:rPr>
            </w:pPr>
            <w:r>
              <w:rPr>
                <w:rFonts w:ascii="Arial" w:cs="Arial" w:eastAsia="Arial" w:hAnsi="Arial"/>
                <w:sz w:val="18"/>
                <w:szCs w:val="18"/>
                <w:color w:val="auto"/>
              </w:rPr>
              <w:t>1,496,389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816,708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899,547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3,203,668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2,158,428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3,170,080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475,211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412,607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22,439,767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22,301,825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23,437,167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165,351,806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167,157,239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168,455,597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65,810,312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114,863,672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120,784,835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18,363,023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18,891,761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18,723,556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Undraw n credit lines, advised but not committed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24,266,177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72,238,593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74,633,738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23,181,112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23,733,318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27,427,541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JV between Grupo Pacifico and Banmedica.</w:t>
      </w:r>
    </w:p>
    <w:p>
      <w:pPr>
        <w:sectPr>
          <w:pgSz w:w="11900" w:h="16838" w:orient="portrait"/>
          <w:cols w:equalWidth="0" w:num="1">
            <w:col w:w="11420"/>
          </w:cols>
          <w:pgMar w:left="240" w:top="904" w:right="239" w:bottom="0" w:gutter="0" w:footer="0" w:header="0"/>
        </w:sectPr>
      </w:pPr>
    </w:p>
    <w:bookmarkStart w:id="56" w:name="page57"/>
    <w:bookmarkEnd w:id="56"/>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2Q18, repurchase agreements is excluded from Other liabilities and shown in a individual account.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3"/>
          </w:tcPr>
          <w:p>
            <w:pPr>
              <w:ind w:left="800"/>
              <w:spacing w:after="0"/>
              <w:rPr>
                <w:sz w:val="20"/>
                <w:szCs w:val="20"/>
                <w:color w:val="auto"/>
              </w:rPr>
            </w:pPr>
            <w:r>
              <w:rPr>
                <w:rFonts w:ascii="Arial" w:cs="Arial" w:eastAsia="Arial" w:hAnsi="Arial"/>
                <w:sz w:val="18"/>
                <w:szCs w:val="18"/>
                <w:b w:val="1"/>
                <w:bCs w:val="1"/>
                <w:color w:val="auto"/>
                <w:w w:val="99"/>
              </w:rPr>
              <w:t>YTD</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3Q17</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YoY</w:t>
            </w: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Sep 17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Sep 18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Sep 18 / Sep 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2,768,798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2,812,623</w:t>
            </w:r>
          </w:p>
        </w:tc>
        <w:tc>
          <w:tcPr>
            <w:tcW w:w="860" w:type="dxa"/>
            <w:vAlign w:val="bottom"/>
          </w:tcPr>
          <w:p>
            <w:pPr>
              <w:jc w:val="right"/>
              <w:spacing w:after="0"/>
              <w:rPr>
                <w:sz w:val="20"/>
                <w:szCs w:val="20"/>
                <w:color w:val="auto"/>
              </w:rPr>
            </w:pPr>
            <w:r>
              <w:rPr>
                <w:rFonts w:ascii="Arial" w:cs="Arial" w:eastAsia="Arial" w:hAnsi="Arial"/>
                <w:sz w:val="18"/>
                <w:szCs w:val="18"/>
                <w:color w:val="auto"/>
              </w:rPr>
              <w:t>2,894,654</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8,224,478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8,497,204</w:t>
            </w:r>
          </w:p>
        </w:tc>
        <w:tc>
          <w:tcPr>
            <w:tcW w:w="1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(744,282)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(749,805)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(748,193)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(2,218,964)</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(2,244,238)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2,024,516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2,062,818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2,146,461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6,005,514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6,252,966</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80" w:type="dxa"/>
            <w:vAlign w:val="bottom"/>
          </w:tcPr>
          <w:p>
            <w:pPr>
              <w:spacing w:after="0" w:line="198" w:lineRule="exact"/>
              <w:rPr>
                <w:sz w:val="20"/>
                <w:szCs w:val="20"/>
                <w:color w:val="auto"/>
              </w:rPr>
            </w:pPr>
            <w:r>
              <w:rPr>
                <w:rFonts w:ascii="Arial" w:cs="Arial" w:eastAsia="Arial" w:hAnsi="Arial"/>
                <w:sz w:val="18"/>
                <w:szCs w:val="18"/>
                <w:b w:val="1"/>
                <w:bCs w:val="1"/>
                <w:color w:val="auto"/>
              </w:rPr>
              <w:t>Provision for loan losses, net of</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recoveries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(378,202)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(313,172)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(439,558)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(1,347,915)</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(1,123,754)</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719,539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766,994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773,529</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2,122,570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2,290,215</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ind w:left="160"/>
              <w:spacing w:after="0" w:line="206" w:lineRule="exact"/>
              <w:rPr>
                <w:sz w:val="20"/>
                <w:szCs w:val="20"/>
                <w:color w:val="auto"/>
              </w:rPr>
            </w:pPr>
            <w:r>
              <w:rPr>
                <w:rFonts w:ascii="Arial" w:cs="Arial" w:eastAsia="Arial" w:hAnsi="Arial"/>
                <w:sz w:val="18"/>
                <w:szCs w:val="18"/>
                <w:color w:val="auto"/>
              </w:rPr>
              <w:t>Net gains on foreign exchange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8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30"/>
                <w:szCs w:val="30"/>
                <w:color w:val="auto"/>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150,777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180,669</w:t>
            </w:r>
          </w:p>
        </w:tc>
        <w:tc>
          <w:tcPr>
            <w:tcW w:w="860" w:type="dxa"/>
            <w:vAlign w:val="bottom"/>
          </w:tcPr>
          <w:p>
            <w:pPr>
              <w:jc w:val="right"/>
              <w:spacing w:after="0"/>
              <w:rPr>
                <w:sz w:val="20"/>
                <w:szCs w:val="20"/>
                <w:color w:val="auto"/>
              </w:rPr>
            </w:pPr>
            <w:r>
              <w:rPr>
                <w:rFonts w:ascii="Arial" w:cs="Arial" w:eastAsia="Arial" w:hAnsi="Arial"/>
                <w:sz w:val="18"/>
                <w:szCs w:val="18"/>
                <w:color w:val="auto"/>
              </w:rPr>
              <w:t>182,777</w:t>
            </w:r>
          </w:p>
        </w:tc>
        <w:tc>
          <w:tcPr>
            <w:tcW w:w="2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477,519</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525,741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sales of securities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346,122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47,877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487,094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131,510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from associates </w:t>
            </w:r>
            <w:r>
              <w:rPr>
                <w:rFonts w:ascii="Arial" w:cs="Arial" w:eastAsia="Arial" w:hAnsi="Arial"/>
                <w:sz w:val="29"/>
                <w:szCs w:val="29"/>
                <w:color w:val="auto"/>
                <w:vertAlign w:val="superscript"/>
              </w:rPr>
              <w:t>(3)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9,506</w:t>
            </w:r>
          </w:p>
        </w:tc>
        <w:tc>
          <w:tcPr>
            <w:tcW w:w="860" w:type="dxa"/>
            <w:vAlign w:val="bottom"/>
          </w:tcPr>
          <w:p>
            <w:pPr>
              <w:jc w:val="right"/>
              <w:spacing w:after="0"/>
              <w:rPr>
                <w:sz w:val="20"/>
                <w:szCs w:val="20"/>
                <w:color w:val="auto"/>
              </w:rPr>
            </w:pPr>
            <w:r>
              <w:rPr>
                <w:rFonts w:ascii="Arial" w:cs="Arial" w:eastAsia="Arial" w:hAnsi="Arial"/>
                <w:sz w:val="18"/>
                <w:szCs w:val="18"/>
                <w:color w:val="auto"/>
              </w:rPr>
              <w:t>4,974</w:t>
            </w:r>
          </w:p>
        </w:tc>
        <w:tc>
          <w:tcPr>
            <w:tcW w:w="2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-1042.0%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22,867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Net gains on derivatives </w:t>
            </w:r>
            <w:r>
              <w:rPr>
                <w:rFonts w:ascii="Arial" w:cs="Arial" w:eastAsia="Arial" w:hAnsi="Arial"/>
                <w:sz w:val="29"/>
                <w:szCs w:val="29"/>
                <w:color w:val="auto"/>
                <w:vertAlign w:val="superscript"/>
              </w:rPr>
              <w:t>(4)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95,367</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ind w:left="160"/>
              <w:spacing w:after="0" w:line="256" w:lineRule="exact"/>
              <w:rPr>
                <w:sz w:val="20"/>
                <w:szCs w:val="20"/>
                <w:color w:val="auto"/>
              </w:rPr>
            </w:pPr>
            <w:r>
              <w:rPr>
                <w:rFonts w:ascii="Arial" w:cs="Arial" w:eastAsia="Arial" w:hAnsi="Arial"/>
                <w:sz w:val="18"/>
                <w:szCs w:val="18"/>
                <w:color w:val="auto"/>
                <w:w w:val="99"/>
              </w:rPr>
              <w:t xml:space="preserve">Result on exchange difference </w:t>
            </w:r>
            <w:r>
              <w:rPr>
                <w:rFonts w:ascii="Arial" w:cs="Arial" w:eastAsia="Arial" w:hAnsi="Arial"/>
                <w:sz w:val="29"/>
                <w:szCs w:val="29"/>
                <w:color w:val="auto"/>
                <w:w w:val="99"/>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4,028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1,031</w:t>
            </w:r>
          </w:p>
        </w:tc>
        <w:tc>
          <w:tcPr>
            <w:tcW w:w="860" w:type="dxa"/>
            <w:vAlign w:val="bottom"/>
          </w:tcPr>
          <w:p>
            <w:pPr>
              <w:jc w:val="right"/>
              <w:spacing w:after="0"/>
              <w:rPr>
                <w:sz w:val="20"/>
                <w:szCs w:val="20"/>
                <w:color w:val="auto"/>
              </w:rPr>
            </w:pPr>
            <w:r>
              <w:rPr>
                <w:rFonts w:ascii="Arial" w:cs="Arial" w:eastAsia="Arial" w:hAnsi="Arial"/>
                <w:sz w:val="18"/>
                <w:szCs w:val="18"/>
                <w:color w:val="auto"/>
              </w:rPr>
              <w:t>8,834</w:t>
            </w:r>
          </w:p>
        </w:tc>
        <w:tc>
          <w:tcPr>
            <w:tcW w:w="2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756.8%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15,754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84,009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67,174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183,248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Total non-financial income, net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1,290,384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1,048,050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1,085,839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3,392,670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3,235,105</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Insurance underwriting result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earned premiums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473,457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511,960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523,077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1,405,136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1,543,239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Net claims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(275,722)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(300,845)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(318,644)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(834,951)</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(914,234)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(74,776)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(98,556)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(96,382)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(292,486)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Total insurance underwriting</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result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122,959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112,559</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108,051</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371,683</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336,519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social benefits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(760,441)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(780,827)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(794,634)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(2,260,206)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(2,352,806)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160"/>
              <w:spacing w:after="0" w:line="201" w:lineRule="exact"/>
              <w:rPr>
                <w:sz w:val="20"/>
                <w:szCs w:val="20"/>
                <w:color w:val="auto"/>
              </w:rPr>
            </w:pPr>
            <w:r>
              <w:rPr>
                <w:rFonts w:ascii="Arial" w:cs="Arial" w:eastAsia="Arial" w:hAnsi="Arial"/>
                <w:sz w:val="18"/>
                <w:szCs w:val="18"/>
                <w:color w:val="auto"/>
              </w:rPr>
              <w:t>Administrative, general and tax</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(534,204)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(560,514)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(577,291)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(1,563,724)</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(1,634,180)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(114,799)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(115,729)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(344,644)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(347,041)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(35,693)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(66,770)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(136,860)</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(136,101)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(1,445,137)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(1,523,840)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(1,506,544)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(4,305,434)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(4,470,128)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1,614,520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1,386,415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1,394,249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4,116,518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4,230,708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(371,563)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(388,011)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(363,154)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(1,022,002)</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(1,136,557)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1,242,957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998,404</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1,031,095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3,094,516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3,094,151</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24,656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20,566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19,809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67,219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w w:val="96"/>
              </w:rPr>
              <w:t>Net income attributed to Credicorp</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1,218,301</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977,838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1,011,286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3,028,096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3,026,932</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firstLine="8"/>
        <w:spacing w:after="0" w:line="250" w:lineRule="auto"/>
        <w:tabs>
          <w:tab w:leader="none" w:pos="28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20"/>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18</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18</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4,177,459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4,848,683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5,011,137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21,225,323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17,844,584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16,696,793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25,402,782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22,693,267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21,707,930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2,932,379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796,848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350,710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86,209,416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93,710,313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95,616,875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83,454,177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90,728,345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92,568,501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2,755,239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2,981,968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3,048,374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(4,193,824)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(4,590,459)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(4,684,448)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82,015,592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89,119,854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90,932,427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other comprehensive income investments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14,342,250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12,640,745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12,310,693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Amortized cost investments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3,942,207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3,854,695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3,799,355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1,430,994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1,360,172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1,333,907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512,833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801,248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969,702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3,319,191</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3,230,582</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3,832,235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133,898,228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134,497,411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135,236,959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81,675,702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85,925,517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85,915,042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26,282,548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25,739,587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25,992,849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 deposits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24,975,134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27,730,886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28,400,733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23,620,907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24,990,143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24,399,519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indemnity deposits (CTS)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6,609,242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7,275,824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6,923,829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187,871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189,077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198,112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8,107,103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4,578,878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4,806,219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Repurchase agreements </w:t>
            </w:r>
            <w:r>
              <w:rPr>
                <w:rFonts w:ascii="Arial" w:cs="Arial" w:eastAsia="Arial" w:hAnsi="Arial"/>
                <w:sz w:val="29"/>
                <w:szCs w:val="29"/>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2,234,159</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1,977,911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1,946,985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9,302,864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8,368,396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7,666,566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14,254,656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14,524,087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14,450,969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512,833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801,248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969,702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3,032,772</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2,860,226</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3,164,550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119,120,089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119,036,263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118,920,033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14,632,576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15,326,366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16,177,667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7,639,962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8,476,984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8,476,984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000" w:type="dxa"/>
            <w:vAlign w:val="bottom"/>
          </w:tcPr>
          <w:p>
            <w:pPr>
              <w:jc w:val="right"/>
              <w:spacing w:after="0"/>
              <w:rPr>
                <w:sz w:val="20"/>
                <w:szCs w:val="20"/>
                <w:color w:val="auto"/>
              </w:rPr>
            </w:pPr>
            <w:r>
              <w:rPr>
                <w:rFonts w:ascii="Arial" w:cs="Arial" w:eastAsia="Arial" w:hAnsi="Arial"/>
                <w:sz w:val="18"/>
                <w:szCs w:val="18"/>
                <w:color w:val="auto"/>
              </w:rPr>
              <w:t>3,666,632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3,965,441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3,965,447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54,952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28,364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jc w:val="right"/>
              <w:spacing w:after="0"/>
              <w:rPr>
                <w:sz w:val="20"/>
                <w:szCs w:val="20"/>
                <w:color w:val="auto"/>
              </w:rPr>
            </w:pPr>
            <w:r>
              <w:rPr>
                <w:rFonts w:ascii="Arial" w:cs="Arial" w:eastAsia="Arial" w:hAnsi="Arial"/>
                <w:sz w:val="18"/>
                <w:szCs w:val="18"/>
                <w:color w:val="auto"/>
              </w:rPr>
              <w:t>1,007,086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1,126,930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1,127,119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for the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2,263,944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1,728,647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2,558,422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jc w:val="right"/>
              <w:spacing w:after="0"/>
              <w:rPr>
                <w:sz w:val="20"/>
                <w:szCs w:val="20"/>
                <w:color w:val="auto"/>
              </w:rPr>
            </w:pPr>
            <w:r>
              <w:rPr>
                <w:rFonts w:ascii="Arial" w:cs="Arial" w:eastAsia="Arial" w:hAnsi="Arial"/>
                <w:sz w:val="18"/>
                <w:szCs w:val="18"/>
                <w:color w:val="auto"/>
              </w:rPr>
              <w:t>145,563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134,782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139,259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equity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14,778,139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15,461,148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16,316,926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133,898,228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134,497,411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135,236,959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53,694,069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103,835,732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109,893,889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17,066,867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17,380,910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17,051,392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Undraw n credit lines, advised but not committed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15,065,364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64,520,719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66,950,168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21,561,838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21,934,103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25,892,329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Since 2Q18, repurchase agreements is excluded from Other liabilities and shown in an individual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94"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3Q17</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2Q18</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3Q18</w:t>
            </w: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 17</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18</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18 / Sep 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2,448,857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2,494,735</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2,553,311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7,282,598</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7,527,500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(659,316)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(648,776)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(647,701)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(1,988,527)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(1,948,132)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1,789,541</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1,845,959</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1,905,610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5,294,071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5,579,368</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(349,597)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(306,993)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(422,473)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37.6%</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(1,289,647)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(1,084,584)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588,762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613,102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624,494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1,724,982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1,835,021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gains on foreign exchange transactions </w:t>
            </w:r>
            <w:r>
              <w:rPr>
                <w:rFonts w:ascii="Arial" w:cs="Arial" w:eastAsia="Arial" w:hAnsi="Arial"/>
                <w:sz w:val="21"/>
                <w:szCs w:val="21"/>
                <w:color w:val="auto"/>
                <w:vertAlign w:val="superscript"/>
              </w:rPr>
              <w:t>(1)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152,473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171,602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174,330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456,915</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500,951</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gains on sales of securities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20,413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(30,665)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63,155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9,028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gains on derivatives </w:t>
            </w:r>
            <w:r>
              <w:rPr>
                <w:rFonts w:ascii="Arial" w:cs="Arial" w:eastAsia="Arial" w:hAnsi="Arial"/>
                <w:sz w:val="21"/>
                <w:szCs w:val="21"/>
                <w:color w:val="auto"/>
                <w:vertAlign w:val="superscript"/>
              </w:rPr>
              <w:t>(2)</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17,092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6,165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(7,316)</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-218.7%</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-142.8%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88,762</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(4,546)</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7,638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6,838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14,735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20,204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Other income</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19,542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64,259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58,706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106,323</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186,895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801,377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832,101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858,457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2,454,872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2,547,553</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expenses</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Salaries and social benefits</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(576,407)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(591,780)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(606,897)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(1,726,594)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(1,784,525)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(419,409)</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(441,698)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(474,723)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(1,245,925)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(1,304,761)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(88,049)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(89,953)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(89,181)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(263,954)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(270,451)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(28,175)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(54,064)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(24,460)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(101,474)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(117,117)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(1,112,040)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(1,177,495)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(1,195,261)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(3,337,947)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(3,476,854)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1,129,281</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1,193,572</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1,146,333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3,121,349</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3,565,483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(313,591)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(340,186)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(311,995)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(842,106)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(988,689)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(6,693)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(15,299)</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(18,372)</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808,997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847,127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829,775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2,263,944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2,558,422</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income discontinuing operations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808,997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847,127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829,775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2,263,944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2,558,422</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8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 "</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Since 1Q17, “Net gain on derivatives” is reported as non-financial income rather than net interest income, as was the case in the past.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BANCO DE CREDITO DEL PERU AND SUBSIDIARIES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3180"/>
              <w:spacing w:after="0"/>
              <w:rPr>
                <w:sz w:val="20"/>
                <w:szCs w:val="20"/>
                <w:color w:val="auto"/>
              </w:rPr>
            </w:pPr>
            <w:r>
              <w:rPr>
                <w:rFonts w:ascii="Arial" w:cs="Arial" w:eastAsia="Arial" w:hAnsi="Arial"/>
                <w:sz w:val="18"/>
                <w:szCs w:val="18"/>
                <w:b w:val="1"/>
                <w:bCs w:val="1"/>
                <w:color w:val="auto"/>
              </w:rPr>
              <w:t>SELECTED FINANCIAL INDICATORS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ind w:left="720"/>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3Q17</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3Q18</w:t>
            </w: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 17</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 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0.092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0.097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0.095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0.258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0.292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ROAA (2)(3)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ROAE (2)(3)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Operating efficiency</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 regulatory capital (S/ Million)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16,841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17,437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17,493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16,841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11,811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11.61%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8,770.36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8,770.36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8,770.36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8,770.36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8,770.36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outstanding of 8,770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firstLine="8"/>
        <w:spacing w:after="0" w:line="265" w:lineRule="auto"/>
        <w:tabs>
          <w:tab w:leader="none" w:pos="27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firstLine="8"/>
        <w:spacing w:after="0" w:line="265" w:lineRule="auto"/>
        <w:tabs>
          <w:tab w:leader="none" w:pos="29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jc w:val="both"/>
        <w:ind w:firstLine="8"/>
        <w:spacing w:after="0" w:line="265" w:lineRule="auto"/>
        <w:tabs>
          <w:tab w:leader="none" w:pos="29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2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11.3. Mibanco</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MIBANCO</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11"/>
          </w:tcPr>
          <w:p>
            <w:pPr>
              <w:jc w:val="right"/>
              <w:ind w:right="240"/>
              <w:spacing w:after="0"/>
              <w:rPr>
                <w:sz w:val="20"/>
                <w:szCs w:val="20"/>
                <w:color w:val="auto"/>
              </w:rPr>
            </w:pPr>
            <w:r>
              <w:rPr>
                <w:rFonts w:ascii="Arial" w:cs="Arial" w:eastAsia="Arial" w:hAnsi="Arial"/>
                <w:sz w:val="18"/>
                <w:szCs w:val="18"/>
                <w:b w:val="1"/>
                <w:bCs w:val="1"/>
                <w:color w:val="auto"/>
                <w:w w:val="91"/>
              </w:rPr>
              <w:t>(In S/ thousands, IFRS)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 change</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Sep 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Jun 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Sep 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QoQ</w:t>
            </w:r>
          </w:p>
        </w:tc>
        <w:tc>
          <w:tcPr>
            <w:tcW w:w="11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w w:val="96"/>
              </w:rPr>
              <w:t>YoY</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1,062,337</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891,262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922,284</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1,891,857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2,062,243</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2,008,445</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9,126,393</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9,804,137</w:t>
            </w:r>
          </w:p>
        </w:tc>
        <w:tc>
          <w:tcPr>
            <w:tcW w:w="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9,785,229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-0.2%</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8,579,731</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9,146,397</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9,133,812</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425,163</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530,593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531,585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121,499</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127,147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119,832</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-831,710</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-894,680</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-913,037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8,294,683</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8,909,457</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8,872,192</w:t>
            </w: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194,425</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177,891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174,519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560,223</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541,482</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600,903</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12,003,526</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12,582,334</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12,578,342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NET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7,020,563</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7,871,279</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8,135,187</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1,936,049</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1,760,587</w:t>
            </w:r>
          </w:p>
        </w:tc>
        <w:tc>
          <w:tcPr>
            <w:tcW w:w="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1,591,869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642,441</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467,469</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367,867</w:t>
            </w:r>
          </w:p>
        </w:tc>
        <w:tc>
          <w:tcPr>
            <w:tcW w:w="8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Other liabilities</w:t>
            </w: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829,033</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662,248</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559,591</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-15.5%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10,428,087</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10,761,582</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10,654,513</w:t>
            </w: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1,575,439</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1,820,752</w:t>
            </w:r>
          </w:p>
        </w:tc>
        <w:tc>
          <w:tcPr>
            <w:tcW w:w="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1,923,829</w:t>
            </w: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1"/>
                <w:szCs w:val="21"/>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w w:val="95"/>
              </w:rPr>
              <w:t>12,003,526</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12,582,334</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12,578,342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3"/>
          </w:tcPr>
          <w:p>
            <w:pPr>
              <w:ind w:left="76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2Q18</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5"/>
              </w:rPr>
              <w:t>3Q18</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7"/>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 17</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Sep 18</w:t>
            </w:r>
          </w:p>
        </w:tc>
        <w:tc>
          <w:tcPr>
            <w:tcW w:w="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18 / Sep 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462,950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490,270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495,385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1,341,940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1,471,557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Provision for loan losses, net of</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-86,260</w:t>
            </w:r>
          </w:p>
        </w:tc>
        <w:tc>
          <w:tcPr>
            <w:tcW w:w="1060" w:type="dxa"/>
            <w:vAlign w:val="bottom"/>
            <w:gridSpan w:val="6"/>
          </w:tcPr>
          <w:p>
            <w:pPr>
              <w:jc w:val="right"/>
              <w:ind w:right="260"/>
              <w:spacing w:after="0"/>
              <w:rPr>
                <w:sz w:val="20"/>
                <w:szCs w:val="20"/>
                <w:color w:val="auto"/>
              </w:rPr>
            </w:pPr>
            <w:r>
              <w:rPr>
                <w:rFonts w:ascii="Arial" w:cs="Arial" w:eastAsia="Arial" w:hAnsi="Arial"/>
                <w:sz w:val="18"/>
                <w:szCs w:val="18"/>
                <w:color w:val="auto"/>
              </w:rPr>
              <w:t>-102,861</w:t>
            </w: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-138,001</w:t>
            </w:r>
          </w:p>
        </w:tc>
        <w:tc>
          <w:tcPr>
            <w:tcW w:w="14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34.2%</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60.0%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-296,164</w:t>
            </w:r>
          </w:p>
        </w:tc>
        <w:tc>
          <w:tcPr>
            <w:tcW w:w="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-319,814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interest income after</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376,690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2"/>
              </w:rPr>
              <w:t>387,409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357,384</w:t>
            </w:r>
          </w:p>
        </w:tc>
        <w:tc>
          <w:tcPr>
            <w:tcW w:w="14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1,045,776</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1,151,742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24,147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60,365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26,589</w:t>
            </w: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-56.0%</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74,269</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115,801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-237,317</w:t>
            </w:r>
          </w:p>
        </w:tc>
        <w:tc>
          <w:tcPr>
            <w:tcW w:w="106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-270,950</w:t>
            </w:r>
          </w:p>
        </w:tc>
        <w:tc>
          <w:tcPr>
            <w:tcW w:w="10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-240,347</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-744,623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-768,770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Translation result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-44,960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-51,168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-38,868</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-98,862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-138,725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118,560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125,655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104,758</w:t>
            </w: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276,560</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360,049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Efficiency ratio</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46.0%</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w w:val="99"/>
              </w:rPr>
              <w:t>-300 bps</w:t>
            </w: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-240 bps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-620 bps</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-890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ROAE incl. goow dill</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20.8%</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w w:val="99"/>
              </w:rPr>
              <w:t>-560 bps</w:t>
            </w: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-770 bps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-770 bps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L/D ratio</w:t>
            </w:r>
          </w:p>
        </w:tc>
        <w:tc>
          <w:tcPr>
            <w:tcW w:w="94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120.3%</w:t>
            </w:r>
          </w:p>
        </w:tc>
        <w:tc>
          <w:tcPr>
            <w:tcW w:w="1000" w:type="dxa"/>
            <w:vAlign w:val="bottom"/>
            <w:tcBorders>
              <w:top w:val="single" w:sz="8" w:color="CCEEFF"/>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-430 bps</w:t>
            </w:r>
          </w:p>
        </w:tc>
        <w:tc>
          <w:tcPr>
            <w:tcW w:w="1100" w:type="dxa"/>
            <w:vAlign w:val="bottom"/>
            <w:tcBorders>
              <w:top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-970 bps</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IOL ratio</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0 bps</w:t>
            </w: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70 bps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0 bps</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70 bps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Coverage of IOLs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320 bps</w:t>
            </w: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w w:val="99"/>
              </w:rPr>
              <w:t>-2380 bps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420 bps</w:t>
            </w: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-1190 bps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2"/>
                <w:szCs w:val="22"/>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-100.0%</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September 17 were 39, in June 18 were 38 and in September 18 were 38.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11.4. BCP Bolivia</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10"/>
          </w:tcPr>
          <w:p>
            <w:pPr>
              <w:spacing w:after="0"/>
              <w:rPr>
                <w:sz w:val="20"/>
                <w:szCs w:val="20"/>
                <w:color w:val="auto"/>
              </w:rPr>
            </w:pPr>
            <w:r>
              <w:rPr>
                <w:rFonts w:ascii="Arial" w:cs="Arial" w:eastAsia="Arial" w:hAnsi="Arial"/>
                <w:sz w:val="18"/>
                <w:szCs w:val="18"/>
                <w:b w:val="1"/>
                <w:bCs w:val="1"/>
                <w:color w:val="auto"/>
              </w:rPr>
              <w:t>BCP BOLIVIA</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00" w:type="dxa"/>
            <w:vAlign w:val="bottom"/>
            <w:gridSpan w:val="12"/>
          </w:tcPr>
          <w:p>
            <w:pPr>
              <w:ind w:left="520"/>
              <w:spacing w:after="0"/>
              <w:rPr>
                <w:sz w:val="20"/>
                <w:szCs w:val="20"/>
                <w:color w:val="auto"/>
              </w:rPr>
            </w:pPr>
            <w:r>
              <w:rPr>
                <w:rFonts w:ascii="Arial" w:cs="Arial" w:eastAsia="Arial" w:hAnsi="Arial"/>
                <w:sz w:val="18"/>
                <w:szCs w:val="18"/>
                <w:b w:val="1"/>
                <w:bCs w:val="1"/>
                <w:color w:val="auto"/>
              </w:rPr>
              <w:t>(In S/ thousands, IFRS)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As of</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1"/>
          </w:tcPr>
          <w:p>
            <w:pPr>
              <w:ind w:left="200"/>
              <w:spacing w:after="0"/>
              <w:rPr>
                <w:sz w:val="20"/>
                <w:szCs w:val="20"/>
                <w:color w:val="auto"/>
              </w:rPr>
            </w:pPr>
            <w:r>
              <w:rPr>
                <w:rFonts w:ascii="Arial" w:cs="Arial" w:eastAsia="Arial" w:hAnsi="Arial"/>
                <w:sz w:val="18"/>
                <w:szCs w:val="18"/>
                <w:b w:val="1"/>
                <w:bCs w:val="1"/>
                <w:color w:val="auto"/>
              </w:rPr>
              <w:t>% change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Sep 17</w:t>
            </w:r>
          </w:p>
        </w:tc>
        <w:tc>
          <w:tcPr>
            <w:tcW w:w="80" w:type="dxa"/>
            <w:vAlign w:val="bottom"/>
          </w:tcPr>
          <w:p>
            <w:pPr>
              <w:spacing w:after="0"/>
              <w:rPr>
                <w:sz w:val="20"/>
                <w:szCs w:val="20"/>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Jun 18</w:t>
            </w:r>
          </w:p>
        </w:tc>
        <w:tc>
          <w:tcPr>
            <w:tcW w:w="820" w:type="dxa"/>
            <w:vAlign w:val="bottom"/>
            <w:gridSpan w:val="4"/>
          </w:tcPr>
          <w:p>
            <w:pPr>
              <w:ind w:left="140"/>
              <w:spacing w:after="0"/>
              <w:rPr>
                <w:sz w:val="20"/>
                <w:szCs w:val="20"/>
                <w:color w:val="auto"/>
              </w:rPr>
            </w:pPr>
            <w:r>
              <w:rPr>
                <w:rFonts w:ascii="Arial" w:cs="Arial" w:eastAsia="Arial" w:hAnsi="Arial"/>
                <w:sz w:val="18"/>
                <w:szCs w:val="18"/>
                <w:b w:val="1"/>
                <w:bCs w:val="1"/>
                <w:color w:val="auto"/>
              </w:rPr>
              <w:t>Sep 18</w:t>
            </w:r>
          </w:p>
        </w:tc>
        <w:tc>
          <w:tcPr>
            <w:tcW w:w="100" w:type="dxa"/>
            <w:vAlign w:val="bottom"/>
          </w:tcPr>
          <w:p>
            <w:pPr>
              <w:spacing w:after="0"/>
              <w:rPr>
                <w:sz w:val="20"/>
                <w:szCs w:val="20"/>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QoQ</w:t>
            </w:r>
          </w:p>
        </w:tc>
        <w:tc>
          <w:tcPr>
            <w:tcW w:w="1300" w:type="dxa"/>
            <w:vAlign w:val="bottom"/>
            <w:gridSpan w:val="8"/>
          </w:tcPr>
          <w:p>
            <w:pPr>
              <w:ind w:left="60"/>
              <w:spacing w:after="0"/>
              <w:rPr>
                <w:sz w:val="20"/>
                <w:szCs w:val="20"/>
                <w:color w:val="auto"/>
              </w:rPr>
            </w:pPr>
            <w:r>
              <w:rPr>
                <w:rFonts w:ascii="Arial" w:cs="Arial" w:eastAsia="Arial" w:hAnsi="Arial"/>
                <w:sz w:val="18"/>
                <w:szCs w:val="18"/>
                <w:b w:val="1"/>
                <w:bCs w:val="1"/>
                <w:color w:val="auto"/>
              </w:rPr>
              <w:t>YoY</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1,496,787</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1,437,539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1,131,992</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7"/>
              </w:rPr>
              <w:t>-24.4%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1,233,424</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1,304,908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1,393,722</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Total loans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6,203,300</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6,836,296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7"/>
              </w:rPr>
              <w:t>7,059,563</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13.8%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6,062,137</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6,685,572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6,903,039</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Internal overdue loans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115,241</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127,607</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136,115</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18.1%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Refinanced</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25,922</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23,117</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Allowance for loan losses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-218,838</w:t>
            </w: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-220,997</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-226,682</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5,984,461</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6,615,299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6,832,881</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56,094</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76,561</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77,069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37.4%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80,790</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90,140</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91,372</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ind w:left="32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8,851,556</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9,524,447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7"/>
              </w:rPr>
              <w:t>9,527,036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7.6%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LIABILITIES AND NET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7,819,169</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8,511,654</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8,457,011</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Due to banks and correspondents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39,639</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30,156</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30,026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87"/>
              </w:rPr>
              <w:t>-24.3%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101,822</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102,337</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102,925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264,757</w:t>
            </w: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247,139</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272,694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8,225,387</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8,891,285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8,862,656</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626,170</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633,162</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664,380</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SHAREHOLDERS' EQUITY</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8,851,556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9,524,447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9,527,036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7.6%</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b w:val="1"/>
                <w:bCs w:val="1"/>
                <w:color w:val="auto"/>
              </w:rPr>
              <w:t>Quarter</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1"/>
          </w:tcPr>
          <w:p>
            <w:pPr>
              <w:ind w:left="420"/>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4"/>
          </w:tcPr>
          <w:p>
            <w:pPr>
              <w:ind w:left="68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2Q18</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3Q18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QoQ</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 18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18 / Sep 17</w:t>
            </w:r>
          </w:p>
        </w:tc>
        <w:tc>
          <w:tcPr>
            <w:tcW w:w="18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78,294</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73,589</w:t>
            </w: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82,737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w w:val="95"/>
              </w:rPr>
              <w:t>Provision for loan losses, net of recoveries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-27,479</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-5,072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-15,325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-54,623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-35,270</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50,814</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68,517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67,412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180,403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191,844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29,257</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34,833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22,775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86,202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92,846</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-60,730</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-69,929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-64,798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-179,556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-197,570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Translation result</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-8,888</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-31,566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10,371</w:t>
            </w:r>
          </w:p>
        </w:tc>
        <w:tc>
          <w:tcPr>
            <w:tcW w:w="6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21,544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15,360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b w:val="1"/>
                <w:bCs w:val="1"/>
                <w:color w:val="auto"/>
              </w:rPr>
              <w:t>-28.7%</w:t>
            </w:r>
          </w:p>
        </w:tc>
        <w:tc>
          <w:tcPr>
            <w:tcW w:w="1080" w:type="dxa"/>
            <w:vAlign w:val="bottom"/>
            <w:gridSpan w:val="5"/>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56,635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55,384</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Efficiency ratio</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-503 pbs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8"/>
                <w:szCs w:val="18"/>
                <w:color w:val="auto"/>
                <w:w w:val="84"/>
              </w:rPr>
              <w:t>529 pbs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900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ROAE</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-435 pbs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4"/>
              </w:rPr>
              <w:t>279 pbs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 bps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L/D ratio</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316 pbs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8"/>
                <w:szCs w:val="18"/>
                <w:color w:val="auto"/>
                <w:w w:val="84"/>
              </w:rPr>
              <w:t>415 pbs</w:t>
            </w: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IOL ratio</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 pbs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 pbs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NPL ratio</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 pbs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8"/>
                <w:szCs w:val="18"/>
                <w:color w:val="auto"/>
              </w:rPr>
              <w:t>-6 pbs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-665 pbs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w w:val="97"/>
              </w:rPr>
              <w:t>-2336 pbs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Coverage of NPLs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146.6%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-180 pbs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80"/>
              <w:spacing w:after="0"/>
              <w:rPr>
                <w:sz w:val="20"/>
                <w:szCs w:val="20"/>
                <w:color w:val="auto"/>
              </w:rPr>
            </w:pPr>
            <w:r>
              <w:rPr>
                <w:rFonts w:ascii="Arial" w:cs="Arial" w:eastAsia="Arial" w:hAnsi="Arial"/>
                <w:sz w:val="18"/>
                <w:szCs w:val="18"/>
                <w:color w:val="auto"/>
                <w:w w:val="97"/>
              </w:rPr>
              <w:t>-1021 pbs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Branches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Agentes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ATMs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Employees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1,709</w:t>
            </w:r>
          </w:p>
        </w:tc>
        <w:tc>
          <w:tcPr>
            <w:tcW w:w="6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1,726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9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2Q18</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3Q18</w:t>
            </w: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Sep 18</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18 / Sep 17</w:t>
            </w:r>
          </w:p>
        </w:tc>
        <w:tc>
          <w:tcPr>
            <w:tcW w:w="18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127,258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142,357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141,301</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401,621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433,200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Fee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94,802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102,284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95,200</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282,173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299,443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520" w:type="dxa"/>
            <w:vAlign w:val="bottom"/>
            <w:gridSpan w:val="2"/>
          </w:tcPr>
          <w:p>
            <w:pPr>
              <w:ind w:left="300"/>
              <w:spacing w:after="0"/>
              <w:rPr>
                <w:sz w:val="20"/>
                <w:szCs w:val="20"/>
                <w:color w:val="auto"/>
              </w:rPr>
            </w:pPr>
            <w:r>
              <w:rPr>
                <w:rFonts w:ascii="Arial" w:cs="Arial" w:eastAsia="Arial" w:hAnsi="Arial"/>
                <w:sz w:val="18"/>
                <w:szCs w:val="18"/>
                <w:color w:val="auto"/>
                <w:w w:val="94"/>
              </w:rPr>
              <w:t>Net gain on foreign exchange transactions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-4,374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9,576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8,414</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-292.4%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15,352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23,768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gain on sales of securities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30,110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27,379</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84,681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20" w:type="dxa"/>
            <w:vAlign w:val="bottom"/>
            <w:gridSpan w:val="2"/>
          </w:tcPr>
          <w:p>
            <w:pPr>
              <w:ind w:left="300"/>
              <w:spacing w:after="0"/>
              <w:rPr>
                <w:sz w:val="20"/>
                <w:szCs w:val="20"/>
                <w:color w:val="auto"/>
              </w:rPr>
            </w:pPr>
            <w:r>
              <w:rPr>
                <w:rFonts w:ascii="Arial" w:cs="Arial" w:eastAsia="Arial" w:hAnsi="Arial"/>
                <w:sz w:val="18"/>
                <w:szCs w:val="18"/>
                <w:color w:val="auto"/>
              </w:rPr>
              <w:t>Derivative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6,379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8,886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7,396</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-16.8%</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15.9%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7,261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18,819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159.2%</w:t>
            </w:r>
          </w:p>
        </w:tc>
      </w:tr>
      <w:tr>
        <w:trPr>
          <w:trHeight w:val="216"/>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Result from exposure to the exchange rate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-117.6%</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397.4%</w:t>
            </w:r>
          </w:p>
        </w:tc>
      </w:tr>
      <w:tr>
        <w:trPr>
          <w:trHeight w:val="216"/>
        </w:trPr>
        <w:tc>
          <w:tcPr>
            <w:tcW w:w="3520" w:type="dxa"/>
            <w:vAlign w:val="bottom"/>
            <w:gridSpan w:val="2"/>
          </w:tcPr>
          <w:p>
            <w:pPr>
              <w:ind w:left="300"/>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4,496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1,804</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-59.9%</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101.6%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12,198</w:t>
            </w:r>
          </w:p>
        </w:tc>
        <w:tc>
          <w:tcPr>
            <w:tcW w:w="740" w:type="dxa"/>
            <w:vAlign w:val="bottom"/>
          </w:tcPr>
          <w:p>
            <w:pPr>
              <w:jc w:val="right"/>
              <w:spacing w:after="0"/>
              <w:rPr>
                <w:sz w:val="20"/>
                <w:szCs w:val="20"/>
                <w:color w:val="auto"/>
              </w:rPr>
            </w:pPr>
            <w:r>
              <w:rPr>
                <w:rFonts w:ascii="Arial" w:cs="Arial" w:eastAsia="Arial" w:hAnsi="Arial"/>
                <w:sz w:val="18"/>
                <w:szCs w:val="18"/>
                <w:color w:val="auto"/>
              </w:rPr>
              <w:t>11,896</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35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-103,334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-112,857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-102,396</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-317,156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19,664</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18,504</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26,716</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82,436</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71,999</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35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85.6%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10"/>
        </w:trPr>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11,129</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61,707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49,973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280" w:firstLine="8"/>
        <w:spacing w:after="0" w:line="250"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Since 4Q17 Credicorp Capital Holding Colombia and Credicorp Capital Holding Chile have 100% percentage of Correval and IM Trust, respectively.</w:t>
      </w:r>
    </w:p>
    <w:p>
      <w:pPr>
        <w:spacing w:after="0" w:line="200" w:lineRule="exact"/>
        <w:rPr>
          <w:sz w:val="20"/>
          <w:szCs w:val="20"/>
          <w:color w:val="auto"/>
        </w:rPr>
      </w:pPr>
    </w:p>
    <w:p>
      <w:pPr>
        <w:spacing w:after="0" w:line="23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11.6. Atlantic Security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Millions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from 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interest earning assets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Excludes investments in equities and mutual funds.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5"/>
          </w:tcPr>
          <w:p>
            <w:pPr>
              <w:ind w:left="4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3Q17</w:t>
            </w:r>
          </w:p>
        </w:tc>
        <w:tc>
          <w:tcPr>
            <w:tcW w:w="1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2Q18</w:t>
            </w:r>
          </w:p>
        </w:tc>
        <w:tc>
          <w:tcPr>
            <w:tcW w:w="16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YoY</w:t>
            </w:r>
          </w:p>
        </w:tc>
        <w:tc>
          <w:tcPr>
            <w:tcW w:w="180" w:type="dxa"/>
            <w:vAlign w:val="bottom"/>
            <w:gridSpan w:val="2"/>
          </w:tcPr>
          <w:p>
            <w:pPr>
              <w:spacing w:after="0"/>
              <w:rPr>
                <w:sz w:val="20"/>
                <w:szCs w:val="20"/>
                <w:color w:val="auto"/>
              </w:rPr>
            </w:pPr>
          </w:p>
        </w:tc>
      </w:tr>
      <w:tr>
        <w:trPr>
          <w:trHeight w:val="195"/>
        </w:trPr>
        <w:tc>
          <w:tcPr>
            <w:tcW w:w="6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826.2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764.6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766.4</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0.2%</w:t>
            </w:r>
          </w:p>
        </w:tc>
        <w:tc>
          <w:tcPr>
            <w:tcW w:w="7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-7.2%</w:t>
            </w:r>
          </w:p>
        </w:tc>
      </w:tr>
      <w:tr>
        <w:trPr>
          <w:trHeight w:val="216"/>
        </w:trPr>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996.2</w:t>
            </w:r>
          </w:p>
        </w:tc>
        <w:tc>
          <w:tcPr>
            <w:tcW w:w="4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968.7</w:t>
            </w: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1,018.7</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2,026.9</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2,069.5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1,921.0</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1,652.4</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1,590.3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1,367.3</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-14.0%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-17.3%</w:t>
            </w:r>
          </w:p>
        </w:tc>
      </w:tr>
      <w:tr>
        <w:trPr>
          <w:trHeight w:val="244"/>
        </w:trPr>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262.9</w:t>
            </w:r>
          </w:p>
        </w:tc>
        <w:tc>
          <w:tcPr>
            <w:tcW w:w="40" w:type="dxa"/>
            <w:vAlign w:val="bottom"/>
          </w:tcPr>
          <w:p>
            <w:pPr>
              <w:spacing w:after="0"/>
              <w:rPr>
                <w:sz w:val="21"/>
                <w:szCs w:val="21"/>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238.1</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7.3%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20" w:type="dxa"/>
            <w:vAlign w:val="bottom"/>
            <w:tcBorders>
              <w:top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853"/>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ind w:left="6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12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3Q17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2Q18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YoY</w:t>
            </w:r>
          </w:p>
        </w:tc>
        <w:tc>
          <w:tcPr>
            <w:tcW w:w="180" w:type="dxa"/>
            <w:vAlign w:val="bottom"/>
            <w:gridSpan w:val="2"/>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73</w:t>
            </w: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-72.3%</w:t>
            </w:r>
          </w:p>
        </w:tc>
        <w:tc>
          <w:tcPr>
            <w:tcW w:w="7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-50.5%</w:t>
            </w:r>
          </w:p>
        </w:tc>
      </w:tr>
      <w:tr>
        <w:trPr>
          <w:trHeight w:val="216"/>
        </w:trPr>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766</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765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826</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244"/>
        </w:trPr>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972</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936</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964</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0.9%</w:t>
            </w:r>
          </w:p>
        </w:tc>
      </w:tr>
      <w:tr>
        <w:trPr>
          <w:trHeight w:val="210"/>
        </w:trPr>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1,811</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-1851660</wp:posOffset>
            </wp:positionV>
            <wp:extent cx="542861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-1577340</wp:posOffset>
            </wp:positionV>
            <wp:extent cx="542861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-2134870</wp:posOffset>
            </wp:positionV>
            <wp:extent cx="542861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-299720</wp:posOffset>
            </wp:positionV>
            <wp:extent cx="542861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-582295</wp:posOffset>
            </wp:positionV>
            <wp:extent cx="542861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60"/>
              <w:spacing w:after="0"/>
              <w:rPr>
                <w:sz w:val="20"/>
                <w:szCs w:val="20"/>
                <w:color w:val="auto"/>
              </w:rPr>
            </w:pPr>
            <w:r>
              <w:rPr>
                <w:rFonts w:ascii="Arial" w:cs="Arial" w:eastAsia="Arial" w:hAnsi="Arial"/>
                <w:sz w:val="18"/>
                <w:szCs w:val="18"/>
                <w:b w:val="1"/>
                <w:bCs w:val="1"/>
                <w:color w:val="auto"/>
              </w:rPr>
              <w:t>Quarter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YoY</w:t>
            </w:r>
          </w:p>
        </w:tc>
        <w:tc>
          <w:tcPr>
            <w:tcW w:w="180" w:type="dxa"/>
            <w:vAlign w:val="bottom"/>
            <w:gridSpan w:val="2"/>
          </w:tcPr>
          <w:p>
            <w:pPr>
              <w:spacing w:after="0"/>
              <w:rPr>
                <w:sz w:val="20"/>
                <w:szCs w:val="20"/>
                <w:color w:val="auto"/>
              </w:rPr>
            </w:pPr>
          </w:p>
        </w:tc>
      </w:tr>
      <w:tr>
        <w:trPr>
          <w:trHeight w:val="195"/>
        </w:trPr>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1,367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1,590</w:t>
            </w:r>
          </w:p>
        </w:tc>
        <w:tc>
          <w:tcPr>
            <w:tcW w:w="16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1,652</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-14.0%</w:t>
            </w:r>
          </w:p>
        </w:tc>
        <w:tc>
          <w:tcPr>
            <w:tcW w:w="7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216"/>
        </w:trPr>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197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38.1%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44"/>
        </w:trPr>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-27.7%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-15.6%</w:t>
            </w:r>
          </w:p>
        </w:tc>
      </w:tr>
      <w:tr>
        <w:trPr>
          <w:trHeight w:val="210"/>
        </w:trPr>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-299720</wp:posOffset>
            </wp:positionV>
            <wp:extent cx="542861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-582295</wp:posOffset>
            </wp:positionV>
            <wp:extent cx="542861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905" w:right="239" w:bottom="1440" w:gutter="0" w:footer="0" w:header="0"/>
        </w:sectPr>
      </w:pPr>
    </w:p>
    <w:p>
      <w:pPr>
        <w:spacing w:after="0" w:line="2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5" w:name="page66"/>
    <w:bookmarkEnd w:id="65"/>
    <w:p>
      <w:pPr>
        <w:jc w:val="center"/>
        <w:ind w:right="1180"/>
        <w:spacing w:after="0"/>
        <w:rPr>
          <w:sz w:val="20"/>
          <w:szCs w:val="20"/>
          <w:color w:val="auto"/>
        </w:rPr>
      </w:pPr>
      <w:r>
        <w:rPr>
          <w:rFonts w:ascii="Arial" w:cs="Arial" w:eastAsia="Arial" w:hAnsi="Arial"/>
          <w:sz w:val="17"/>
          <w:szCs w:val="17"/>
          <w:b w:val="1"/>
          <w:bCs w:val="1"/>
          <w:color w:val="auto"/>
        </w:rPr>
        <w:t>Assets under management and Deposits</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142875</wp:posOffset>
            </wp:positionV>
            <wp:extent cx="3730625" cy="2487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3062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Portfolio distribution as of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154940</wp:posOffset>
            </wp:positionV>
            <wp:extent cx="3456305" cy="2109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563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11.7. Grupo Pacifico</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GRUPO PACIFICO *</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87"/>
              </w:rPr>
              <w:t>(S/ in thousands)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27"/>
        </w:trPr>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17</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18</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QoQ</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YoY</w:t>
            </w:r>
          </w:p>
        </w:tc>
        <w:tc>
          <w:tcPr>
            <w:tcW w:w="140" w:type="dxa"/>
            <w:vAlign w:val="bottom"/>
            <w:tcBorders>
              <w:bottom w:val="single" w:sz="8" w:color="CCEEFF"/>
            </w:tcBorders>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11,013,777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11,491,618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11,996,954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3160" w:type="dxa"/>
            <w:vAlign w:val="bottom"/>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8,087,030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8,324,108</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8,861,566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Technical reserves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7,263,527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7,880,089</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8,192,100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2,711,176</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2,479,023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2,596,213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 change</w:t>
            </w:r>
          </w:p>
        </w:tc>
        <w:tc>
          <w:tcPr>
            <w:tcW w:w="1200" w:type="dxa"/>
            <w:vAlign w:val="bottom"/>
            <w:gridSpan w:val="3"/>
          </w:tcPr>
          <w:p>
            <w:pPr>
              <w:ind w:left="780"/>
              <w:spacing w:after="0"/>
              <w:rPr>
                <w:sz w:val="20"/>
                <w:szCs w:val="20"/>
                <w:color w:val="auto"/>
              </w:rPr>
            </w:pPr>
            <w:r>
              <w:rPr>
                <w:rFonts w:ascii="Arial" w:cs="Arial" w:eastAsia="Arial" w:hAnsi="Arial"/>
                <w:sz w:val="18"/>
                <w:szCs w:val="18"/>
                <w:b w:val="1"/>
                <w:bCs w:val="1"/>
                <w:color w:val="auto"/>
              </w:rPr>
              <w:t>YTD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3Q17</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3Q18</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 17</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Sep 18</w:t>
            </w:r>
          </w:p>
        </w:tc>
        <w:tc>
          <w:tcPr>
            <w:tcW w:w="2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18 / Sep 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477,263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512,847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1,563,448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claims</w:t>
            </w:r>
          </w:p>
        </w:tc>
        <w:tc>
          <w:tcPr>
            <w:tcW w:w="680" w:type="dxa"/>
            <w:vAlign w:val="bottom"/>
          </w:tcPr>
          <w:p>
            <w:pPr>
              <w:jc w:val="right"/>
              <w:spacing w:after="0"/>
              <w:rPr>
                <w:sz w:val="20"/>
                <w:szCs w:val="20"/>
                <w:color w:val="auto"/>
              </w:rPr>
            </w:pPr>
            <w:r>
              <w:rPr>
                <w:rFonts w:ascii="Arial" w:cs="Arial" w:eastAsia="Arial" w:hAnsi="Arial"/>
                <w:sz w:val="18"/>
                <w:szCs w:val="18"/>
                <w:color w:val="auto"/>
              </w:rPr>
              <w:t>275,721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300,846</w:t>
            </w: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318,645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834,951</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914,235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141,979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380,363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424,756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25,273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33,204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28,767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52,115</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95,244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51,100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36,202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49,351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149,548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129,213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financial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143,191</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119,643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142,449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388,486</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382,118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93,601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307,941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302,129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8,643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9,393</w:t>
            </w: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-6,779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-178.4%</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26,455</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14,086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Gain (loss) from Grupo Pacifico and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Banmedica agreement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700" w:type="dxa"/>
            <w:vAlign w:val="bottom"/>
          </w:tcPr>
          <w:p>
            <w:pPr>
              <w:jc w:val="right"/>
              <w:spacing w:after="0"/>
              <w:rPr>
                <w:sz w:val="20"/>
                <w:szCs w:val="20"/>
                <w:color w:val="auto"/>
              </w:rPr>
            </w:pPr>
            <w:r>
              <w:rPr>
                <w:rFonts w:ascii="Arial" w:cs="Arial" w:eastAsia="Arial" w:hAnsi="Arial"/>
                <w:sz w:val="18"/>
                <w:szCs w:val="18"/>
                <w:color w:val="auto"/>
              </w:rPr>
              <w:t>9,506</w:t>
            </w:r>
          </w:p>
        </w:tc>
        <w:tc>
          <w:tcPr>
            <w:tcW w:w="2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4,974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-1042.3%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11,469</w:t>
            </w:r>
          </w:p>
        </w:tc>
        <w:tc>
          <w:tcPr>
            <w:tcW w:w="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22,867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83,605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69,891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98,429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243,456</w:t>
            </w: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246,537</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97,232</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67,542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95,839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238,375</w:t>
            </w: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239,573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-200 bps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 bps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 bps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 underwriting expenses, net /</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bps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 bps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Underwriting results / net earned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-150 bps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-230 bps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 / net earned</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premiums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-570 bps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ROAE (3)(4)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460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230 bps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 bps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-250 bps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 bps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00" w:type="dxa"/>
            <w:vAlign w:val="bottom"/>
          </w:tcPr>
          <w:p>
            <w:pPr>
              <w:spacing w:after="0" w:line="269"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30"/>
                <w:szCs w:val="30"/>
                <w:color w:val="auto"/>
                <w:vertAlign w:val="superscript"/>
              </w:rPr>
              <w:t>(5)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-520 bps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190 bps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96.5%</w:t>
            </w:r>
          </w:p>
        </w:tc>
        <w:tc>
          <w:tcPr>
            <w:tcW w:w="8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56"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 change</w:t>
            </w:r>
          </w:p>
        </w:tc>
        <w:tc>
          <w:tcPr>
            <w:tcW w:w="112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3Q17</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2Q18</w:t>
            </w: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3Q18</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Sep 17</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Sep 18</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6"/>
              </w:rPr>
              <w:t>Sep 18 / Sep 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earned premiums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234,486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249,216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255,104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691,594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744,745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-220,993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-572,316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-623,847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fees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-10,348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-10,918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-11,740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-31,416</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-33,483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24,385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26,852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78,875</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78,464</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financial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1,349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1,169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-795.2%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142.8%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Income tax</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-3,555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income before Medical services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7,210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16,008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19,299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19,448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43,304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55,766</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20,655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26,509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21,290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63,714</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74,204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11.8. Prima AFP</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3"/>
          </w:tcPr>
          <w:p>
            <w:pPr>
              <w:ind w:left="740"/>
              <w:spacing w:after="0"/>
              <w:rPr>
                <w:sz w:val="20"/>
                <w:szCs w:val="20"/>
                <w:color w:val="auto"/>
              </w:rPr>
            </w:pPr>
            <w:r>
              <w:rPr>
                <w:rFonts w:ascii="Arial" w:cs="Arial" w:eastAsia="Arial" w:hAnsi="Arial"/>
                <w:sz w:val="18"/>
                <w:szCs w:val="18"/>
                <w:b w:val="1"/>
                <w:bCs w:val="1"/>
                <w:color w:val="auto"/>
              </w:rPr>
              <w:t>YTD</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3Q17</w:t>
            </w: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2Q18</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3Q18</w:t>
            </w:r>
          </w:p>
        </w:tc>
        <w:tc>
          <w:tcPr>
            <w:tcW w:w="3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Sep 17</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Sep 18</w:t>
            </w: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18 / Sep 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commissions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89,136</w:t>
            </w:r>
          </w:p>
        </w:tc>
        <w:tc>
          <w:tcPr>
            <w:tcW w:w="2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98,816</w:t>
            </w:r>
          </w:p>
        </w:tc>
        <w:tc>
          <w:tcPr>
            <w:tcW w:w="2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94,417</w:t>
            </w:r>
          </w:p>
        </w:tc>
        <w:tc>
          <w:tcPr>
            <w:tcW w:w="3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(39,840)</w:t>
            </w:r>
          </w:p>
        </w:tc>
        <w:tc>
          <w:tcPr>
            <w:tcW w:w="1040" w:type="dxa"/>
            <w:vAlign w:val="bottom"/>
            <w:gridSpan w:val="4"/>
          </w:tcPr>
          <w:p>
            <w:pPr>
              <w:jc w:val="right"/>
              <w:ind w:right="130"/>
              <w:spacing w:after="0"/>
              <w:rPr>
                <w:sz w:val="20"/>
                <w:szCs w:val="20"/>
                <w:color w:val="auto"/>
              </w:rPr>
            </w:pPr>
            <w:r>
              <w:rPr>
                <w:rFonts w:ascii="Arial" w:cs="Arial" w:eastAsia="Arial" w:hAnsi="Arial"/>
                <w:sz w:val="18"/>
                <w:szCs w:val="18"/>
                <w:color w:val="auto"/>
              </w:rPr>
              <w:t>(37,650)</w:t>
            </w:r>
          </w:p>
        </w:tc>
        <w:tc>
          <w:tcPr>
            <w:tcW w:w="1100" w:type="dxa"/>
            <w:vAlign w:val="bottom"/>
            <w:gridSpan w:val="5"/>
          </w:tcPr>
          <w:p>
            <w:pPr>
              <w:jc w:val="right"/>
              <w:ind w:right="300"/>
              <w:spacing w:after="0"/>
              <w:rPr>
                <w:sz w:val="20"/>
                <w:szCs w:val="20"/>
                <w:color w:val="auto"/>
              </w:rPr>
            </w:pPr>
            <w:r>
              <w:rPr>
                <w:rFonts w:ascii="Arial" w:cs="Arial" w:eastAsia="Arial" w:hAnsi="Arial"/>
                <w:sz w:val="18"/>
                <w:szCs w:val="18"/>
                <w:color w:val="auto"/>
              </w:rPr>
              <w:t>(38,229)</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-116,861</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-117,318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(5,843)</w:t>
            </w:r>
          </w:p>
        </w:tc>
        <w:tc>
          <w:tcPr>
            <w:tcW w:w="104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(4,816)</w:t>
            </w:r>
          </w:p>
        </w:tc>
        <w:tc>
          <w:tcPr>
            <w:tcW w:w="1100" w:type="dxa"/>
            <w:vAlign w:val="bottom"/>
            <w:tcBorders>
              <w:right w:val="single" w:sz="8" w:color="CCEEFF"/>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(4,464)</w:t>
            </w:r>
          </w:p>
        </w:tc>
        <w:tc>
          <w:tcPr>
            <w:tcW w:w="900" w:type="dxa"/>
            <w:vAlign w:val="bottom"/>
            <w:tcBorders>
              <w:left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-14,024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43,453</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56,350</w:t>
            </w:r>
          </w:p>
        </w:tc>
        <w:tc>
          <w:tcPr>
            <w:tcW w:w="280" w:type="dxa"/>
            <w:vAlign w:val="bottom"/>
          </w:tcPr>
          <w:p>
            <w:pPr>
              <w:spacing w:after="0"/>
              <w:rPr>
                <w:sz w:val="18"/>
                <w:szCs w:val="18"/>
                <w:color w:val="auto"/>
              </w:rPr>
            </w:pPr>
          </w:p>
        </w:tc>
        <w:tc>
          <w:tcPr>
            <w:tcW w:w="11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51,724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-8.2%</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156,856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154,296</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income and expenses, net</w:t>
            </w:r>
          </w:p>
        </w:tc>
        <w:tc>
          <w:tcPr>
            <w:tcW w:w="7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(profitability of lace)</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1,354</w:t>
            </w:r>
          </w:p>
        </w:tc>
        <w:tc>
          <w:tcPr>
            <w:tcW w:w="104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(8,045)</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8,655</w:t>
            </w:r>
          </w:p>
        </w:tc>
        <w:tc>
          <w:tcPr>
            <w:tcW w:w="900" w:type="dxa"/>
            <w:vAlign w:val="bottom"/>
            <w:tcBorders>
              <w:left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-207.6%</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539.3%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Income tax</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(15,377)</w:t>
            </w:r>
          </w:p>
        </w:tc>
        <w:tc>
          <w:tcPr>
            <w:tcW w:w="1040" w:type="dxa"/>
            <w:vAlign w:val="bottom"/>
            <w:gridSpan w:val="4"/>
          </w:tcPr>
          <w:p>
            <w:pPr>
              <w:jc w:val="right"/>
              <w:ind w:right="130"/>
              <w:spacing w:after="0"/>
              <w:rPr>
                <w:sz w:val="20"/>
                <w:szCs w:val="20"/>
                <w:color w:val="auto"/>
              </w:rPr>
            </w:pPr>
            <w:r>
              <w:rPr>
                <w:rFonts w:ascii="Arial" w:cs="Arial" w:eastAsia="Arial" w:hAnsi="Arial"/>
                <w:sz w:val="18"/>
                <w:szCs w:val="18"/>
                <w:color w:val="auto"/>
              </w:rPr>
              <w:t>(15,877)</w:t>
            </w:r>
          </w:p>
        </w:tc>
        <w:tc>
          <w:tcPr>
            <w:tcW w:w="1100" w:type="dxa"/>
            <w:vAlign w:val="bottom"/>
            <w:gridSpan w:val="5"/>
          </w:tcPr>
          <w:p>
            <w:pPr>
              <w:jc w:val="right"/>
              <w:ind w:right="300"/>
              <w:spacing w:after="0"/>
              <w:rPr>
                <w:sz w:val="20"/>
                <w:szCs w:val="20"/>
                <w:color w:val="auto"/>
              </w:rPr>
            </w:pPr>
            <w:r>
              <w:rPr>
                <w:rFonts w:ascii="Arial" w:cs="Arial" w:eastAsia="Arial" w:hAnsi="Arial"/>
                <w:sz w:val="18"/>
                <w:szCs w:val="18"/>
                <w:color w:val="auto"/>
              </w:rPr>
              <w:t>(18,729)</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18.0%</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21.8%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-48,353</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-50,374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before translation</w:t>
            </w:r>
          </w:p>
        </w:tc>
        <w:tc>
          <w:tcPr>
            <w:tcW w:w="7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29,429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32,429</w:t>
            </w:r>
          </w:p>
        </w:tc>
        <w:tc>
          <w:tcPr>
            <w:tcW w:w="28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41,650</w:t>
            </w:r>
          </w:p>
        </w:tc>
        <w:tc>
          <w:tcPr>
            <w:tcW w:w="900" w:type="dxa"/>
            <w:vAlign w:val="bottom"/>
            <w:tcBorders>
              <w:left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28.4%</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109,662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109,344</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Translations results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40" w:type="dxa"/>
            <w:vAlign w:val="bottom"/>
            <w:gridSpan w:val="4"/>
          </w:tcPr>
          <w:p>
            <w:pPr>
              <w:jc w:val="right"/>
              <w:ind w:right="13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(175)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277.3%</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536.0%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4666.7%</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29,401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32,383</w:t>
            </w:r>
          </w:p>
        </w:tc>
        <w:tc>
          <w:tcPr>
            <w:tcW w:w="28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41,475</w:t>
            </w:r>
          </w:p>
        </w:tc>
        <w:tc>
          <w:tcPr>
            <w:tcW w:w="900" w:type="dxa"/>
            <w:vAlign w:val="bottom"/>
            <w:tcBorders>
              <w:left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28.1%</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109,657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109,115</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vMerge w:val="continue"/>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10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23.0%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27.6%</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453 pbs</w:t>
            </w:r>
          </w:p>
        </w:tc>
        <w:tc>
          <w:tcPr>
            <w:tcW w:w="80" w:type="dxa"/>
            <w:vAlign w:val="bottom"/>
          </w:tcPr>
          <w:p>
            <w:pPr>
              <w:spacing w:after="0"/>
              <w:rPr>
                <w:sz w:val="21"/>
                <w:szCs w:val="21"/>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652 pbs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 pbs</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Sep 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Jun 18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Sep 18</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QoQ</w:t>
            </w: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c>
          <w:tcPr>
            <w:tcW w:w="50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79"/>
              </w:rPr>
              <w:t>830,346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791,528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82"/>
              </w:rPr>
              <w:t>854,996</w:t>
            </w:r>
          </w:p>
        </w:tc>
        <w:tc>
          <w:tcPr>
            <w:tcW w:w="14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249,885</w:t>
            </w:r>
          </w:p>
        </w:tc>
        <w:tc>
          <w:tcPr>
            <w:tcW w:w="8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w w:val="89"/>
              </w:rPr>
              <w:t>210,632</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w w:val="82"/>
              </w:rPr>
              <w:t>232,544</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7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580,461</w:t>
            </w: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580,896</w:t>
            </w:r>
          </w:p>
        </w:tc>
        <w:tc>
          <w:tcPr>
            <w:tcW w:w="78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82"/>
              </w:rPr>
              <w:t>622,452</w:t>
            </w:r>
          </w:p>
        </w:tc>
        <w:tc>
          <w:tcPr>
            <w:tcW w:w="9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7"/>
              </w:rPr>
              <w:t>Funds under management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7"/>
              </w:rPr>
              <w:t>Funds under management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Jun 18</w:t>
            </w:r>
          </w:p>
        </w:tc>
        <w:tc>
          <w:tcPr>
            <w:tcW w:w="10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 share</w:t>
            </w:r>
          </w:p>
        </w:tc>
        <w:tc>
          <w:tcPr>
            <w:tcW w:w="7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 18</w:t>
            </w: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 share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10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Fund 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ind w:left="940"/>
              <w:spacing w:after="0"/>
              <w:rPr>
                <w:sz w:val="20"/>
                <w:szCs w:val="20"/>
                <w:color w:val="auto"/>
              </w:rPr>
            </w:pPr>
            <w:r>
              <w:rPr>
                <w:rFonts w:ascii="Arial" w:cs="Arial" w:eastAsia="Arial" w:hAnsi="Arial"/>
                <w:sz w:val="18"/>
                <w:szCs w:val="18"/>
                <w:color w:val="auto"/>
                <w:w w:val="88"/>
              </w:rPr>
              <w:t>5,291</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10.8%</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5,343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35,452</w:t>
            </w:r>
          </w:p>
        </w:tc>
        <w:tc>
          <w:tcPr>
            <w:tcW w:w="9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7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36,332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Fund 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ind w:left="940"/>
              <w:spacing w:after="0"/>
              <w:rPr>
                <w:sz w:val="20"/>
                <w:szCs w:val="20"/>
                <w:color w:val="auto"/>
              </w:rPr>
            </w:pPr>
            <w:r>
              <w:rPr>
                <w:rFonts w:ascii="Arial" w:cs="Arial" w:eastAsia="Arial" w:hAnsi="Arial"/>
                <w:sz w:val="18"/>
                <w:szCs w:val="18"/>
                <w:color w:val="auto"/>
                <w:w w:val="88"/>
              </w:rPr>
              <w:t>7,519</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15.4%</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7,474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48,798</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49,735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2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8"/>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9"/>
              </w:rPr>
              <w:t>Jun 18 / Jun 17</w:t>
            </w:r>
          </w:p>
        </w:tc>
        <w:tc>
          <w:tcPr>
            <w:tcW w:w="166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85"/>
              </w:rPr>
              <w:t>Sep 18 / Sep 17</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ind w:left="940"/>
              <w:spacing w:after="0"/>
              <w:rPr>
                <w:sz w:val="20"/>
                <w:szCs w:val="20"/>
                <w:color w:val="auto"/>
              </w:rPr>
            </w:pPr>
            <w:r>
              <w:rPr>
                <w:rFonts w:ascii="Arial" w:cs="Arial" w:eastAsia="Arial" w:hAnsi="Arial"/>
                <w:sz w:val="18"/>
                <w:szCs w:val="18"/>
                <w:color w:val="auto"/>
                <w:w w:val="97"/>
              </w:rPr>
              <w:t>3.8%</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Fund 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ind w:left="940"/>
              <w:spacing w:after="0"/>
              <w:rPr>
                <w:sz w:val="20"/>
                <w:szCs w:val="20"/>
                <w:color w:val="auto"/>
              </w:rPr>
            </w:pPr>
            <w:r>
              <w:rPr>
                <w:rFonts w:ascii="Arial" w:cs="Arial" w:eastAsia="Arial" w:hAnsi="Arial"/>
                <w:sz w:val="18"/>
                <w:szCs w:val="18"/>
                <w:color w:val="auto"/>
                <w:w w:val="97"/>
              </w:rPr>
              <w:t>4.2%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7"/>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ind w:left="940"/>
              <w:spacing w:after="0"/>
              <w:rPr>
                <w:sz w:val="20"/>
                <w:szCs w:val="20"/>
                <w:color w:val="auto"/>
              </w:rPr>
            </w:pPr>
            <w:r>
              <w:rPr>
                <w:rFonts w:ascii="Arial" w:cs="Arial" w:eastAsia="Arial" w:hAnsi="Arial"/>
                <w:sz w:val="18"/>
                <w:szCs w:val="18"/>
                <w:color w:val="auto"/>
                <w:w w:val="97"/>
              </w:rPr>
              <w:t>6.9%</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Fund 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ind w:left="940"/>
              <w:spacing w:after="0"/>
              <w:rPr>
                <w:sz w:val="20"/>
                <w:szCs w:val="20"/>
                <w:color w:val="auto"/>
              </w:rPr>
            </w:pPr>
            <w:r>
              <w:rPr>
                <w:rFonts w:ascii="Arial" w:cs="Arial" w:eastAsia="Arial" w:hAnsi="Arial"/>
                <w:sz w:val="18"/>
                <w:szCs w:val="18"/>
                <w:color w:val="auto"/>
                <w:w w:val="97"/>
              </w:rPr>
              <w:t>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7"/>
              </w:rPr>
              <w:t>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Fee based on flow</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Arial" w:cs="Arial" w:eastAsia="Arial" w:hAnsi="Arial"/>
                <w:sz w:val="18"/>
                <w:szCs w:val="18"/>
                <w:color w:val="auto"/>
              </w:rPr>
              <w:t>Applied to the affiliates' monthly remuneration.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Mixed fee</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Flow</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420" w:type="dxa"/>
            <w:vAlign w:val="bottom"/>
          </w:tcPr>
          <w:p>
            <w:pPr>
              <w:spacing w:after="0"/>
              <w:rPr>
                <w:sz w:val="18"/>
                <w:szCs w:val="18"/>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auto"/>
                <w:w w:val="99"/>
              </w:rPr>
              <w:t>Applied to the affiliates' monthly remuneration since June 2017. Feb 17- may 17 =0.87%.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5"/>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5"/>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8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1.25%</w:t>
            </w:r>
          </w:p>
        </w:tc>
        <w:tc>
          <w:tcPr>
            <w:tcW w:w="420" w:type="dxa"/>
            <w:vAlign w:val="bottom"/>
          </w:tcPr>
          <w:p>
            <w:pPr>
              <w:spacing w:after="0"/>
              <w:rPr>
                <w:sz w:val="17"/>
                <w:szCs w:val="17"/>
                <w:color w:val="auto"/>
              </w:rPr>
            </w:pPr>
          </w:p>
        </w:tc>
        <w:tc>
          <w:tcPr>
            <w:tcW w:w="7980" w:type="dxa"/>
            <w:vAlign w:val="bottom"/>
            <w:gridSpan w:val="24"/>
          </w:tcPr>
          <w:p>
            <w:pPr>
              <w:spacing w:after="0" w:line="201" w:lineRule="exact"/>
              <w:rPr>
                <w:sz w:val="20"/>
                <w:szCs w:val="20"/>
                <w:color w:val="auto"/>
              </w:rPr>
            </w:pPr>
            <w:r>
              <w:rPr>
                <w:rFonts w:ascii="Arial" w:cs="Arial" w:eastAsia="Arial" w:hAnsi="Arial"/>
                <w:sz w:val="18"/>
                <w:szCs w:val="18"/>
                <w:color w:val="auto"/>
                <w:w w:val="94"/>
              </w:rPr>
              <w:t>Applies annualy to the new balance since February 2013 for new affiliates to the system and beginning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20"/>
          </w:tcPr>
          <w:p>
            <w:pPr>
              <w:spacing w:after="0"/>
              <w:rPr>
                <w:sz w:val="20"/>
                <w:szCs w:val="20"/>
                <w:color w:val="auto"/>
              </w:rPr>
            </w:pPr>
            <w:r>
              <w:rPr>
                <w:rFonts w:ascii="Arial" w:cs="Arial" w:eastAsia="Arial" w:hAnsi="Arial"/>
                <w:sz w:val="18"/>
                <w:szCs w:val="18"/>
                <w:color w:val="auto"/>
              </w:rPr>
              <w:t>June 2013 for old affiliates who have chosen this commission scheme.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5"/>
              </w:rPr>
              <w:t>Prima</w:t>
            </w:r>
          </w:p>
        </w:tc>
        <w:tc>
          <w:tcPr>
            <w:tcW w:w="200" w:type="dxa"/>
            <w:vAlign w:val="bottom"/>
          </w:tcPr>
          <w:p>
            <w:pPr>
              <w:spacing w:after="0"/>
              <w:rPr>
                <w:sz w:val="24"/>
                <w:szCs w:val="2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 share</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Prima</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 share</w:t>
            </w:r>
          </w:p>
        </w:tc>
        <w:tc>
          <w:tcPr>
            <w:tcW w:w="0" w:type="dxa"/>
            <w:vAlign w:val="bottom"/>
          </w:tcPr>
          <w:p>
            <w:pPr>
              <w:spacing w:after="0"/>
              <w:rPr>
                <w:sz w:val="1"/>
                <w:szCs w:val="1"/>
                <w:color w:val="auto"/>
              </w:rPr>
            </w:pPr>
          </w:p>
        </w:tc>
      </w:tr>
      <w:tr>
        <w:trPr>
          <w:trHeight w:val="234"/>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5"/>
              </w:rPr>
              <w:t>2Q18</w:t>
            </w:r>
          </w:p>
        </w:tc>
        <w:tc>
          <w:tcPr>
            <w:tcW w:w="20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2Q18</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2Q18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3Q18</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CEEFF"/>
            </w:tcBorders>
            <w:gridSpan w:val="4"/>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1,907,497</w:t>
            </w:r>
          </w:p>
        </w:tc>
        <w:tc>
          <w:tcPr>
            <w:tcW w:w="200" w:type="dxa"/>
            <w:vAlign w:val="bottom"/>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6,813,590</w:t>
            </w:r>
          </w:p>
        </w:tc>
        <w:tc>
          <w:tcPr>
            <w:tcW w:w="2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2,020,139</w:t>
            </w:r>
          </w:p>
        </w:tc>
        <w:tc>
          <w:tcPr>
            <w:tcW w:w="2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6,918,412</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0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101,038</w:t>
            </w: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101,038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110,289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110,289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Funds under management (S/ Millions)</w:t>
            </w: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48,798</w:t>
            </w:r>
          </w:p>
        </w:tc>
        <w:tc>
          <w:tcPr>
            <w:tcW w:w="12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156,009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Collections (S/ Millions)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1,070</w:t>
            </w: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3,162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12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2,563</w:t>
            </w: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7,767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7,715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-75565</wp:posOffset>
            </wp:positionV>
            <wp:extent cx="38417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75"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April and May AFP Habitat had exclusivity of affiliation. From June Prima AFP it has exclusivity for being a winner of bidding.</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8"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6886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46115" cy="688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subordinated debt.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11.10. Disclosure about the impact of IFRS 9</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the IASB issued the complete version of IFRS 9, which combines the phases of classification and measurement, impairment and hedging accounting of the IASB project to replaces IAS 39 “Financial instruments: Measurement and Recognition”. The new requirements were applied adjusting Credicorp’s consolidated financial statements as of January 1st, 2018, the date of IFRS9 application, without re-stating the information for the year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regards to the classification and measurement defined by IFRS 9, the requirements defined three categories of classification: Amortized cost, fair value through other comprehensive income and fair value through profit or loss. An instrument is classified depending on the objective of its business model, and if the contractual cash flows of the instrument only represent the payment of the principal and interest of the debt.</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combined application of the tests of the characteristics of the contractual cash flows and business models as of January 1</w:t>
      </w:r>
      <w:r>
        <w:rPr>
          <w:rFonts w:ascii="Arial" w:cs="Arial" w:eastAsia="Arial" w:hAnsi="Arial"/>
          <w:sz w:val="30"/>
          <w:szCs w:val="30"/>
          <w:color w:val="auto"/>
          <w:vertAlign w:val="superscript"/>
        </w:rPr>
        <w:t>st</w:t>
      </w:r>
      <w:r>
        <w:rPr>
          <w:rFonts w:ascii="Arial" w:cs="Arial" w:eastAsia="Arial" w:hAnsi="Arial"/>
          <w:sz w:val="18"/>
          <w:szCs w:val="18"/>
          <w:color w:val="auto"/>
        </w:rPr>
        <w:t>, 2018 resulted in certain differences when comparing the financial assets classified under IAS 39 with the same financial assets classified under IFRS 9.</w:t>
      </w:r>
    </w:p>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Approximately S/ 1,593.4 million of financial assets previously classified as available for sale under IAS 39 have been classified as fair value through profit or loss under IFRS 9. These assets had unrealized gains, which have been reclassified as retained earnings in the statement of changes in net equity.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IFRS 9 introduces a new model of impairment based on expected losses of the credit portfolio and other instruments which differ significantly from the current model under IAS 39 of credit losses incurred. In order to comply with the new model, it is necessary to classify each asset in one of the following phases of expected credit losses:</w:t>
      </w:r>
    </w:p>
    <w:p>
      <w:pPr>
        <w:spacing w:after="0" w:line="181" w:lineRule="exact"/>
        <w:rPr>
          <w:sz w:val="20"/>
          <w:szCs w:val="20"/>
          <w:color w:val="auto"/>
        </w:rPr>
      </w:pPr>
    </w:p>
    <w:p>
      <w:pPr>
        <w:ind w:firstLine="8"/>
        <w:spacing w:after="0" w:line="277" w:lineRule="auto"/>
        <w:tabs>
          <w:tab w:leader="none" w:pos="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right="20" w:firstLine="8"/>
        <w:spacing w:after="0" w:line="277" w:lineRule="auto"/>
        <w:tabs>
          <w:tab w:leader="none" w:pos="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ind w:firstLine="8"/>
        <w:spacing w:after="0" w:line="308" w:lineRule="auto"/>
        <w:tabs>
          <w:tab w:leader="none" w:pos="103" w:val="left"/>
        </w:tabs>
        <w:numPr>
          <w:ilvl w:val="0"/>
          <w:numId w:val="91"/>
        </w:numPr>
        <w:rPr>
          <w:rFonts w:ascii="Arial" w:cs="Arial" w:eastAsia="Arial" w:hAnsi="Arial"/>
          <w:sz w:val="17"/>
          <w:szCs w:val="17"/>
          <w:color w:val="auto"/>
        </w:rPr>
      </w:pPr>
      <w:r>
        <w:rPr>
          <w:rFonts w:ascii="Arial" w:cs="Arial" w:eastAsia="Arial" w:hAnsi="Arial"/>
          <w:sz w:val="17"/>
          <w:szCs w:val="17"/>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measurement of expected credit loss is mainly based on the product of the probability of default (PD), the loss given default (LGD) and the exposure at the time of default (EAD), discounted at the reporting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for the estimation of the parameters, the current macroeconomic condition is taken into account, as well as the expected macroeconomic conditions, based on three scenarios (base, optimistic and pessimistic), which are weighted to estimate the expected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application of the new model of impairment produced an increase in the reserve for credit losses. The most significant impacts that were recognized 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1</w:t>
      </w:r>
      <w:r>
        <w:rPr>
          <w:rFonts w:ascii="Arial" w:cs="Arial" w:eastAsia="Arial" w:hAnsi="Arial"/>
          <w:sz w:val="30"/>
          <w:szCs w:val="30"/>
          <w:color w:val="auto"/>
          <w:vertAlign w:val="superscript"/>
        </w:rPr>
        <w:t>st</w:t>
      </w:r>
      <w:r>
        <w:rPr>
          <w:rFonts w:ascii="Arial" w:cs="Arial" w:eastAsia="Arial" w:hAnsi="Arial"/>
          <w:sz w:val="18"/>
          <w:szCs w:val="18"/>
          <w:color w:val="auto"/>
        </w:rPr>
        <w:t>, 2018 are the following:</w:t>
      </w:r>
    </w:p>
    <w:p>
      <w:pPr>
        <w:spacing w:after="0" w:line="140" w:lineRule="exact"/>
        <w:rPr>
          <w:sz w:val="20"/>
          <w:szCs w:val="20"/>
          <w:color w:val="auto"/>
        </w:rPr>
      </w:pPr>
    </w:p>
    <w:p>
      <w:pPr>
        <w:ind w:firstLine="8"/>
        <w:spacing w:after="0" w:line="277" w:lineRule="auto"/>
        <w:tabs>
          <w:tab w:leader="none" w:pos="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S/320.7 millions in the provision for credit losses and the correspondent deferred income tax of S/ 94.6 million; resulting in a reduction in retained earnings of S/226.1 millions.</w:t>
      </w:r>
    </w:p>
    <w:p>
      <w:pPr>
        <w:spacing w:after="0" w:line="170" w:lineRule="exact"/>
        <w:rPr>
          <w:rFonts w:ascii="Arial" w:cs="Arial" w:eastAsia="Arial" w:hAnsi="Arial"/>
          <w:sz w:val="18"/>
          <w:szCs w:val="18"/>
          <w:color w:val="auto"/>
        </w:rPr>
      </w:pPr>
    </w:p>
    <w:p>
      <w:pPr>
        <w:ind w:firstLine="8"/>
        <w:spacing w:after="0" w:line="277" w:lineRule="auto"/>
        <w:tabs>
          <w:tab w:leader="none" w:pos="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of S/68.0 millions in the provisions for investments and the correspondent deferred income tax, which is considered non-material, resulting in a reduction in retained earnings.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model of hedging accounting according to IFRS 9 seeks to simplify hedging accounting, aligning the accounting of the hedging relationships more closely with the risk management activities of an entity.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auto"/>
        </w:rPr>
        <w:t>For more detail about IFRS 9 implementation in Credicorp, please refer to the note 3(ad)(i) of the consolidated financial statements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International Financial Reporting Standards issued but not yet effective -</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Group decided not to early adopt the following standards and interpretations that were issued but are not effective as of December 31, 2017:</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IFRS 9 “Financial Instruments”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2014, the IASB issued the complete version of IFRS 9, which combines the phases of classification and measurement, impairment and hedging accounting of the IASB project to replaces IAS 39 “Financial instruments: Measurement and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Classification and measurement: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IFRS 9 establishes three categories of classification: Amortized cost, fair value through other comprehensive income and fair value through profit or loss.</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debt instrument is classified and measured at amortized cost if: a) the objective of the business model is to maintain the financial asset, to collect the contractual cash flows, and b) the contractual cash flows of the instrument only represent the payment of the principal and interest of the debt.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Likewise, a debt instrument is classified and measured at fair value through other comprehensive income if: a) the objective of the business model is to maintain the financial asset, both to collect the contractual cash flows, as well as to sell them, and b) the contractual cash flows of the instrument only represent the payment of the principal and interest of the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other debt instruments that do not satisfy the above-mentioned conditions must be classified and measured at fair value through profit or loss.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equity instrument is classified at fair value through profit or loss, unless it is not maintained for trading purposes, in which case, an entity may make an irrevocable choice at its initial recognition, to classify it at fair value through other comprehensive income, without subsequently having to reclassify it to profit or loss.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application of the tests on the characteristics of contractual cash flows and business models as of January 1, 2018, resulted in certain differences when comparing financial assets classified under IAS 39 with financial assets classified under IFRS 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S/1,593.4 million of financial assets previously classified as available for sale under IAS 39, have been classified as investments at fair value through profit or loss under IFRS 9. These financial assets held unrealized gains, which have been reclassified to the item retained earnings of the consolidated statement of changes in equity.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With regard to liabilities, most pre-existing requirements for classification and measurement previously included in IAS 39, have not changed in IFRS 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IFRS 9 introduces a new model of impairment based on expected losses of the credit portfolio and other instruments which differ significantly from the current model “under IAS 39 of credit losses incurred”, and it is expected to result in the early recognition of credit losses.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assets classified or designated at fair value through profit or loss and the capital instruments designated at fair value through other comprehensive income, are not subject to impairment assessment.</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Model of impairment of expected credit losses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IFRS 9, provisions for credit losses will be measured at each reporting date, following a three phase model of expected credit losses:</w:t>
      </w:r>
    </w:p>
    <w:p>
      <w:pPr>
        <w:spacing w:after="0" w:line="225" w:lineRule="exact"/>
        <w:rPr>
          <w:sz w:val="20"/>
          <w:szCs w:val="20"/>
          <w:color w:val="auto"/>
        </w:rPr>
      </w:pPr>
    </w:p>
    <w:p>
      <w:pPr>
        <w:ind w:firstLine="8"/>
        <w:spacing w:after="0" w:line="277" w:lineRule="auto"/>
        <w:tabs>
          <w:tab w:leader="none" w:pos="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right="20" w:firstLine="8"/>
        <w:spacing w:after="0" w:line="277" w:lineRule="auto"/>
        <w:tabs>
          <w:tab w:leader="none" w:pos="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ind w:firstLine="8"/>
        <w:spacing w:after="0" w:line="308" w:lineRule="auto"/>
        <w:tabs>
          <w:tab w:leader="none" w:pos="103" w:val="left"/>
        </w:tabs>
        <w:numPr>
          <w:ilvl w:val="0"/>
          <w:numId w:val="93"/>
        </w:numPr>
        <w:rPr>
          <w:rFonts w:ascii="Arial" w:cs="Arial" w:eastAsia="Arial" w:hAnsi="Arial"/>
          <w:sz w:val="17"/>
          <w:szCs w:val="17"/>
          <w:color w:val="auto"/>
        </w:rPr>
      </w:pPr>
      <w:r>
        <w:rPr>
          <w:rFonts w:ascii="Arial" w:cs="Arial" w:eastAsia="Arial" w:hAnsi="Arial"/>
          <w:sz w:val="17"/>
          <w:szCs w:val="17"/>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reserves for credit losses of Phase 1 and Phase 2 effectively replace the general reserve determined for loans not yet identified as impaired under IAS 39, although the reserves for credit losses of Phase 3 effectively replace the general reserves determined for impaired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Measurement -</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measurement of expected credit loss is mainly based on the product of the probability of default (PD), the loss given default (LGD) and the exposure at the time of default (EAD), discounted at the reporting date and considering the expected macroeconomic effects, all according to the new regulation.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fundamental difference between the credit loss considered as Phase 1 and Phase 2 is the horizon of PD. The estimates of Phase 1 use a 12-month horizon, while those in Phase 2 use an expected loss calculated with the remaining term of the asset and it considers the effect of the significant increase in the risk. Finally, in Phase 3, the expected loss will be estimated based on the best estimate (“ELBE” from its initials in English), given the situation of the collection process of each asset.</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above method applies to all the portfolios, with the exception of some portfolios of reduced materiality and of which there is insufficient historical depth and/or loss experience.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these cases, simplified approaches will be applied, based on the reality of each portfolio and with reasonable supported and documented criteria.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Changes from one phase to another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classification of an instrument as phase 1 or phase 2 depends on the concept of “significant impairment” on the reporting date in comparison with the origination date. In this sense, the definition used considers the following criteria:</w:t>
      </w:r>
    </w:p>
    <w:p>
      <w:pPr>
        <w:spacing w:after="0" w:line="170"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account is classified in phase 2 if it has been more than N days in arrears.</w:t>
      </w:r>
    </w:p>
    <w:p>
      <w:pPr>
        <w:spacing w:after="0" w:line="225" w:lineRule="exact"/>
        <w:rPr>
          <w:rFonts w:ascii="Arial" w:cs="Arial" w:eastAsia="Arial" w:hAnsi="Arial"/>
          <w:sz w:val="18"/>
          <w:szCs w:val="18"/>
          <w:color w:val="auto"/>
        </w:rPr>
      </w:pPr>
    </w:p>
    <w:p>
      <w:pPr>
        <w:ind w:firstLine="8"/>
        <w:spacing w:after="0" w:line="277" w:lineRule="auto"/>
        <w:tabs>
          <w:tab w:leader="none" w:pos="2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Risk thresholds have been established based on the internal models and on relative thresholds of differences (by portfolio and risk level) in which the instrument originated.</w:t>
      </w:r>
    </w:p>
    <w:p>
      <w:pPr>
        <w:spacing w:after="0" w:line="170" w:lineRule="exact"/>
        <w:rPr>
          <w:rFonts w:ascii="Arial" w:cs="Arial" w:eastAsia="Arial" w:hAnsi="Arial"/>
          <w:sz w:val="18"/>
          <w:szCs w:val="18"/>
          <w:color w:val="auto"/>
        </w:rPr>
      </w:pPr>
    </w:p>
    <w:p>
      <w:pPr>
        <w:ind w:firstLine="8"/>
        <w:spacing w:after="0" w:line="277" w:lineRule="auto"/>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 up, warning and monitoring systems of the risk portfolios which depend on the current risk policy in Wholesale and Retail Banking, are integrated.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Additionally, all those accounts which are classified as in default at the reporting date are considered as phase 3. The evaluations of significant risk increase, and credit impairment are carried out independently at each reporting date. Assets can move in both directions from one phase to another.</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Prospective information -</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measurement of expected credit losses for each phase and the evaluation of significant increases in credit risk must consider information regarding previous events and current conditions, as well as forecasts of future economic events and conditions. For the estimation of the risk parameters (PD, LGD, EAD), used in the calculation of the provision in phases 1 and 2, macroeconomic variables were included which vary between portfolios. These forecasts are for a three-year period and, additionally, there is a long-term forecast.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estimation of the expected loss for phases 1, 2 and 3 will be a weighted estimate which considers three future macroeconomic scenarios. The basic, optimistic and pessimistic scenarios are based on macroeconomic forecasts provided by the in-house economic studies team and approved by Senior Management. This same team also provides the probability of occurrence of each scenario. It should be pointed out that the scenario design is adjusted at least once a year and this can be done more frequently if the conditions of the environment require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Expected life -</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instruments in Phase 2 or 3, the reserves for losses will cover the expected credit losses during the lifetime of the instrument. For most of the instruments, the expected lifetime is limited to the remaining life of the product, adjusted for expected future payments. In the case of revolving products, an analysis was made in order to determine what would be the expected period of life.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application of the new impairment model generated increases in the reserve for credit losses under the new requirements. Below we present the most significant impacts that were recognized on January 1, 2018:</w:t>
      </w:r>
    </w:p>
    <w:p>
      <w:pPr>
        <w:spacing w:after="0" w:line="170" w:lineRule="exact"/>
        <w:rPr>
          <w:sz w:val="20"/>
          <w:szCs w:val="20"/>
          <w:color w:val="auto"/>
        </w:rPr>
      </w:pPr>
    </w:p>
    <w:p>
      <w:pPr>
        <w:ind w:right="20" w:firstLine="8"/>
        <w:spacing w:after="0" w:line="277" w:lineRule="auto"/>
        <w:tabs>
          <w:tab w:leader="none" w:pos="2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 in the allowance for loan losses for S/320.7 million and its corresponding deferred income tax for S/94.6 million; resulting in a reduction in the retained earnings of S/226.1 million.</w:t>
      </w:r>
    </w:p>
    <w:p>
      <w:pPr>
        <w:spacing w:after="0" w:line="170" w:lineRule="exact"/>
        <w:rPr>
          <w:rFonts w:ascii="Arial" w:cs="Arial" w:eastAsia="Arial" w:hAnsi="Arial"/>
          <w:sz w:val="18"/>
          <w:szCs w:val="18"/>
          <w:color w:val="auto"/>
        </w:rPr>
      </w:pPr>
    </w:p>
    <w:p>
      <w:pPr>
        <w:ind w:right="20" w:firstLine="8"/>
        <w:spacing w:after="0" w:line="277" w:lineRule="auto"/>
        <w:tabs>
          <w:tab w:leader="none" w:pos="2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 in the provision for investments for S/68.1 million and its corresponding deferred income tax, which was immaterial, resulting in a reduction in the retained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Hedging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model of hedging accounting according to IFRS 9 seeks to simplify hedging accounting, align the accounting of the hedging relationships more closely with the risk management activities of an entity and permit hedging accounting to be applied more widely to a greater variety of hedging instruments and risks suitable for hedging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IFRS 9 is effective for accounting periods beginning on or after 1 January 2018. Early adoption is permitted.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classification, measurement and impairment requirements will be applied adjusting our consolidated statement of financial position at January 1, 2018, date of initial application, without restating the financial information of the comparative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2"/>
    </w:lvl>
  </w:abstractNum>
  <w:abstractNum w:abstractNumId="5">
    <w:nsid w:val="3DC240FB"/>
    <w:multiLevelType w:val="hybridMultilevel"/>
    <w:lvl w:ilvl="0">
      <w:lvlJc w:val="left"/>
      <w:lvlText w:val="(%1)"/>
      <w:numFmt w:val="lowerRoman"/>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lowerRoman"/>
      <w:start w:val="1"/>
    </w:lvl>
  </w:abstractNum>
  <w:abstractNum w:abstractNumId="8">
    <w:nsid w:val="75C6C33A"/>
    <w:multiLevelType w:val="hybridMultilevel"/>
    <w:lvl w:ilvl="0">
      <w:lvlJc w:val="left"/>
      <w:lvlText w:val="(%1)"/>
      <w:numFmt w:val="lowerRoman"/>
      <w:start w:val="1"/>
    </w:lvl>
  </w:abstractNum>
  <w:abstractNum w:abstractNumId="9">
    <w:nsid w:val="12E685FB"/>
    <w:multiLevelType w:val="hybridMultilevel"/>
    <w:lvl w:ilvl="0">
      <w:lvlJc w:val="left"/>
      <w:lvlText w:val="(%1)"/>
      <w:numFmt w:val="lowerRoman"/>
      <w:start w:val="3"/>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lowerRoman"/>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lowerRoman"/>
      <w:start w:val="1"/>
    </w:lvl>
  </w:abstractNum>
  <w:abstractNum w:abstractNumId="17">
    <w:nsid w:val="39386575"/>
    <w:multiLevelType w:val="hybridMultilevel"/>
    <w:lvl w:ilvl="0">
      <w:lvlJc w:val="left"/>
      <w:lvlText w:val="(%1)"/>
      <w:numFmt w:val="lowerRoman"/>
      <w:start w:val="1"/>
    </w:lvl>
    <w:lvl w:ilvl="1">
      <w:lvlJc w:val="left"/>
      <w:lvlText w:val="%2."/>
      <w:numFmt w:val="lowerLetter"/>
      <w:start w:val="1"/>
    </w:lvl>
  </w:abstractNum>
  <w:abstractNum w:abstractNumId="18">
    <w:nsid w:val="1CF10FD8"/>
    <w:multiLevelType w:val="hybridMultilevel"/>
    <w:lvl w:ilvl="0">
      <w:lvlJc w:val="left"/>
      <w:lvlText w:val="(%1)"/>
      <w:numFmt w:val="lowerRoman"/>
      <w:start w:val="1"/>
    </w:lvl>
  </w:abstractNum>
  <w:abstractNum w:abstractNumId="19">
    <w:nsid w:val="180115BE"/>
    <w:multiLevelType w:val="hybridMultilevel"/>
    <w:lvl w:ilvl="0">
      <w:lvlJc w:val="left"/>
      <w:lvlText w:val="(%1)"/>
      <w:numFmt w:val="lowerRoman"/>
      <w:start w:val="3"/>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lowerRoman"/>
      <w:start w:val="1"/>
    </w:lvl>
  </w:abstractNum>
  <w:abstractNum w:abstractNumId="23">
    <w:nsid w:val="15B5AF5C"/>
    <w:multiLevelType w:val="hybridMultilevel"/>
    <w:lvl w:ilvl="0">
      <w:lvlJc w:val="left"/>
      <w:lvlText w:val="(%1)"/>
      <w:numFmt w:val="lowerRoman"/>
      <w:start w:val="1"/>
    </w:lvl>
  </w:abstractNum>
  <w:abstractNum w:abstractNumId="24">
    <w:nsid w:val="741226BB"/>
    <w:multiLevelType w:val="hybridMultilevel"/>
    <w:lvl w:ilvl="0">
      <w:lvlJc w:val="left"/>
      <w:lvlText w:val="%1"/>
      <w:numFmt w:val="decimal"/>
      <w:start w:val="1"/>
    </w:lvl>
    <w:lvl w:ilvl="1">
      <w:lvlJc w:val="left"/>
      <w:lvlText w:val="(%2)"/>
      <w:numFmt w:val="lowerRoman"/>
      <w:start w:val="1"/>
    </w:lvl>
  </w:abstractNum>
  <w:abstractNum w:abstractNumId="25">
    <w:nsid w:val="D34B6A8"/>
    <w:multiLevelType w:val="hybridMultilevel"/>
    <w:lvl w:ilvl="0">
      <w:lvlJc w:val="left"/>
      <w:lvlText w:val="(%1)"/>
      <w:numFmt w:val="decimal"/>
      <w:start w:val="2"/>
    </w:lvl>
    <w:lvl w:ilvl="1">
      <w:lvlJc w:val="left"/>
      <w:lvlText w:val="%2"/>
      <w:numFmt w:val="lowerRoman"/>
      <w:start w:val="1"/>
    </w:lvl>
  </w:abstractNum>
  <w:abstractNum w:abstractNumId="26">
    <w:nsid w:val="10233C99"/>
    <w:multiLevelType w:val="hybridMultilevel"/>
    <w:lvl w:ilvl="0">
      <w:lvlJc w:val="left"/>
      <w:lvlText w:val="%1."/>
      <w:numFmt w:val="decimal"/>
      <w:start w:val="3"/>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Roman"/>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lowerRoman"/>
      <w:start w:val="1"/>
    </w:lvl>
  </w:abstractNum>
  <w:abstractNum w:abstractNumId="32">
    <w:nsid w:val="310C50B3"/>
    <w:multiLevelType w:val="hybridMultilevel"/>
    <w:lvl w:ilvl="0">
      <w:lvlJc w:val="left"/>
      <w:lvlText w:val="(%1)"/>
      <w:numFmt w:val="lowerRoman"/>
      <w:start w:val="2"/>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lowerRoman"/>
      <w:start w:val="1"/>
    </w:lvl>
  </w:abstractNum>
  <w:abstractNum w:abstractNumId="35">
    <w:nsid w:val="25A70BF7"/>
    <w:multiLevelType w:val="hybridMultilevel"/>
    <w:lvl w:ilvl="0">
      <w:lvlJc w:val="left"/>
      <w:lvlText w:val="(%1)"/>
      <w:numFmt w:val="lowerRoman"/>
      <w:start w:val="2"/>
    </w:lvl>
  </w:abstractNum>
  <w:abstractNum w:abstractNumId="36">
    <w:nsid w:val="1DBABF00"/>
    <w:multiLevelType w:val="hybridMultilevel"/>
    <w:lvl w:ilvl="0">
      <w:lvlJc w:val="left"/>
      <w:lvlText w:val="(%1)"/>
      <w:numFmt w:val="lowerRoman"/>
      <w:start w:val="3"/>
    </w:lvl>
  </w:abstractNum>
  <w:abstractNum w:abstractNumId="37">
    <w:nsid w:val="4AD084E9"/>
    <w:multiLevelType w:val="hybridMultilevel"/>
    <w:lvl w:ilvl="0">
      <w:lvlJc w:val="left"/>
      <w:lvlText w:val="(%1)"/>
      <w:numFmt w:val="lowerRoman"/>
      <w:start w:val="4"/>
    </w:lvl>
  </w:abstractNum>
  <w:abstractNum w:abstractNumId="38">
    <w:nsid w:val="1F48EAA1"/>
    <w:multiLevelType w:val="hybridMultilevel"/>
    <w:lvl w:ilvl="0">
      <w:lvlJc w:val="left"/>
      <w:lvlText w:val="(%1)"/>
      <w:numFmt w:val="lowerRoman"/>
      <w:start w:val="5"/>
    </w:lvl>
  </w:abstractNum>
  <w:abstractNum w:abstractNumId="39">
    <w:nsid w:val="1381823A"/>
    <w:multiLevelType w:val="hybridMultilevel"/>
    <w:lvl w:ilvl="0">
      <w:lvlJc w:val="left"/>
      <w:lvlText w:val="(%1)"/>
      <w:numFmt w:val="lowerRoman"/>
      <w:start w:val="6"/>
    </w:lvl>
  </w:abstractNum>
  <w:abstractNum w:abstractNumId="40">
    <w:nsid w:val="5DB70AE5"/>
    <w:multiLevelType w:val="hybridMultilevel"/>
    <w:lvl w:ilvl="0">
      <w:lvlJc w:val="left"/>
      <w:lvlText w:val="(%1)"/>
      <w:numFmt w:val="lowerRoman"/>
      <w:start w:val="7"/>
    </w:lvl>
  </w:abstractNum>
  <w:abstractNum w:abstractNumId="41">
    <w:nsid w:val="100F8FCA"/>
    <w:multiLevelType w:val="hybridMultilevel"/>
    <w:lvl w:ilvl="0">
      <w:lvlJc w:val="left"/>
      <w:lvlText w:val="(%1)"/>
      <w:numFmt w:val="lowerRoman"/>
      <w:start w:val="8"/>
    </w:lvl>
  </w:abstractNum>
  <w:abstractNum w:abstractNumId="42">
    <w:nsid w:val="6590700B"/>
    <w:multiLevelType w:val="hybridMultilevel"/>
    <w:lvl w:ilvl="0">
      <w:lvlJc w:val="left"/>
      <w:lvlText w:val="%1."/>
      <w:numFmt w:val="decimal"/>
      <w:start w:val="4"/>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lowerRoman"/>
      <w:start w:val="1"/>
    </w:lvl>
  </w:abstractNum>
  <w:abstractNum w:abstractNumId="45">
    <w:nsid w:val="98A3148"/>
    <w:multiLevelType w:val="hybridMultilevel"/>
    <w:lvl w:ilvl="0">
      <w:lvlJc w:val="left"/>
      <w:lvlText w:val="(%1)"/>
      <w:numFmt w:val="lowerRoman"/>
      <w:start w:val="2"/>
    </w:lvl>
  </w:abstractNum>
  <w:abstractNum w:abstractNumId="46">
    <w:nsid w:val="799D0247"/>
    <w:multiLevelType w:val="hybridMultilevel"/>
    <w:lvl w:ilvl="0">
      <w:lvlJc w:val="left"/>
      <w:lvlText w:val="(%1)"/>
      <w:numFmt w:val="lowerRoman"/>
      <w:start w:val="1"/>
    </w:lvl>
  </w:abstractNum>
  <w:abstractNum w:abstractNumId="47">
    <w:nsid w:val="6B94764"/>
    <w:multiLevelType w:val="hybridMultilevel"/>
    <w:lvl w:ilvl="0">
      <w:lvlJc w:val="left"/>
      <w:lvlText w:val="(%1)"/>
      <w:numFmt w:val="lowerRoman"/>
      <w:start w:val="1"/>
    </w:lvl>
  </w:abstractNum>
  <w:abstractNum w:abstractNumId="48">
    <w:nsid w:val="42C296BD"/>
    <w:multiLevelType w:val="hybridMultilevel"/>
    <w:lvl w:ilvl="0">
      <w:lvlJc w:val="left"/>
      <w:lvlText w:val="(%1)"/>
      <w:numFmt w:val="lowerRoman"/>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lowerRoman"/>
      <w:start w:val="1"/>
    </w:lvl>
  </w:abstractNum>
  <w:abstractNum w:abstractNumId="51">
    <w:nsid w:val="661E3F1E"/>
    <w:multiLevelType w:val="hybridMultilevel"/>
    <w:lvl w:ilvl="0">
      <w:lvlJc w:val="left"/>
      <w:lvlText w:val="(%1)"/>
      <w:numFmt w:val="decimal"/>
      <w:start w:val="3"/>
    </w:lvl>
  </w:abstractNum>
  <w:abstractNum w:abstractNumId="52">
    <w:nsid w:val="5DC79EA8"/>
    <w:multiLevelType w:val="hybridMultilevel"/>
    <w:lvl w:ilvl="0">
      <w:lvlJc w:val="left"/>
      <w:lvlText w:val="%1."/>
      <w:numFmt w:val="decimal"/>
      <w:start w:val="5"/>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lowerRoman"/>
      <w:start w:val="1"/>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1)"/>
      <w:numFmt w:val="lowerRoman"/>
      <w:start w:val="1"/>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Roman"/>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lowerRoman"/>
      <w:start w:val="1"/>
    </w:lvl>
  </w:abstractNum>
  <w:abstractNum w:abstractNumId="61">
    <w:nsid w:val="8F2B15E"/>
    <w:multiLevelType w:val="hybridMultilevel"/>
    <w:lvl w:ilvl="0">
      <w:lvlJc w:val="left"/>
      <w:lvlText w:val="(%1)"/>
      <w:numFmt w:val="lowerRoman"/>
      <w:start w:val="1"/>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decimal"/>
      <w:start w:val="4"/>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decimal"/>
      <w:start w:val="7"/>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lowerRoman"/>
      <w:start w:val="1"/>
    </w:lvl>
  </w:abstractNum>
  <w:abstractNum w:abstractNumId="68">
    <w:nsid w:val="14330624"/>
    <w:multiLevelType w:val="hybridMultilevel"/>
    <w:lvl w:ilvl="0">
      <w:lvlJc w:val="left"/>
      <w:lvlText w:val="(%1)"/>
      <w:numFmt w:val="lowerRoman"/>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lowerRoman"/>
      <w:start w:val="1"/>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lowerRoman"/>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11"/>
    </w:lvl>
  </w:abstractNum>
  <w:abstractNum w:abstractNumId="79">
    <w:nsid w:val="4C04A8AF"/>
    <w:multiLevelType w:val="hybridMultilevel"/>
    <w:lvl w:ilvl="0">
      <w:lvlJc w:val="left"/>
      <w:lvlText w:val="11.%1."/>
      <w:numFmt w:val="decimal"/>
      <w:start w:val="1"/>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abstractNum>
  <w:abstractNum w:abstractNumId="92">
    <w:nsid w:val="60EF0119"/>
    <w:multiLevelType w:val="hybridMultilevel"/>
    <w:lvl w:ilvl="0">
      <w:lvlJc w:val="left"/>
      <w:lvlText w:val="·"/>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2019-12-06T06:16:49Z</dcterms:created>
  <dcterms:modified xsi:type="dcterms:W3CDTF">2019-12-06T06:16:49Z</dcterms:modified>
</cp:coreProperties>
</file>