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December 2019</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7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December 27,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hereby notify you as a Material Event that Credicorp Ltd. has been notified today of the initiation by the Peruvian </w:t>
      </w:r>
      <w:r>
        <w:rPr>
          <w:rFonts w:ascii="Arial" w:cs="Arial" w:eastAsia="Arial" w:hAnsi="Arial"/>
          <w:sz w:val="18"/>
          <w:szCs w:val="18"/>
          <w:i w:val="1"/>
          <w:iCs w:val="1"/>
          <w:color w:val="auto"/>
        </w:rPr>
        <w:t>Superintendencia del Mercado 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Valores </w:t>
      </w:r>
      <w:r>
        <w:rPr>
          <w:rFonts w:ascii="Arial" w:cs="Arial" w:eastAsia="Arial" w:hAnsi="Arial"/>
          <w:sz w:val="18"/>
          <w:szCs w:val="18"/>
          <w:color w:val="auto"/>
        </w:rPr>
        <w:t>(SMV) of a sanctioning process against the company, for not having disclosed to the market, in due course, the contributions made to political</w:t>
      </w:r>
      <w:r>
        <w:rPr>
          <w:rFonts w:ascii="Arial" w:cs="Arial" w:eastAsia="Arial" w:hAnsi="Arial"/>
          <w:sz w:val="18"/>
          <w:szCs w:val="18"/>
          <w:i w:val="1"/>
          <w:iCs w:val="1"/>
          <w:color w:val="auto"/>
        </w:rPr>
        <w:t xml:space="preserve"> </w:t>
      </w:r>
      <w:r>
        <w:rPr>
          <w:rFonts w:ascii="Arial" w:cs="Arial" w:eastAsia="Arial" w:hAnsi="Arial"/>
          <w:sz w:val="18"/>
          <w:szCs w:val="18"/>
          <w:color w:val="auto"/>
        </w:rPr>
        <w:t>campaigns in the years 2011 and 2016.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December 27,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2019-12-30T09:05:58Z</dcterms:created>
  <dcterms:modified xsi:type="dcterms:W3CDTF">2019-12-30T09:05:58Z</dcterms:modified>
</cp:coreProperties>
</file>