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228600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5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Pursuant to Rule 13a-16 or 15d-16 of the</w:t>
      </w:r>
    </w:p>
    <w:p>
      <w:pPr>
        <w:spacing w:after="0" w:line="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3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the month of November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243205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CREDICORP LTD.</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3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Clarendon House</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Church Street</w:t>
      </w:r>
    </w:p>
    <w:p>
      <w:pPr>
        <w:spacing w:after="0" w:line="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Hamilton HM 11 Bermuda</w:t>
      </w:r>
    </w:p>
    <w:p>
      <w:pPr>
        <w:spacing w:after="0" w:line="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34"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Form 20-F x Form 40-F o</w:t>
      </w:r>
    </w:p>
    <w:p>
      <w:pPr>
        <w:spacing w:after="0" w:line="252" w:lineRule="exact"/>
        <w:rPr>
          <w:sz w:val="24"/>
          <w:szCs w:val="24"/>
          <w:color w:val="auto"/>
        </w:rPr>
      </w:pPr>
    </w:p>
    <w:p>
      <w:pPr>
        <w:jc w:val="cente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8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238125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700" w:top="468" w:right="599" w:bottom="1440" w:gutter="0" w:footer="0" w:header="0"/>
        </w:sectPr>
      </w:pPr>
    </w:p>
    <w:bookmarkStart w:id="1" w:name="page2"/>
    <w:bookmarkEnd w:id="1"/>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Lima, November 9, 2010</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COMISIÓN NACIONAL SUPERVISORA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 EMPRESAS Y VALORES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CONASEV</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 Registro Público del Mercado de Valores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MATERIAL EVENT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CONASEV Resolution for Material Events and Reserved Information and Other Communications number 107-2002-EF/94.10.0, Credicorp Ltd. (Credicorp) complies with notifying you of the following Material Event.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Credicorp’s Board of Directors has agreed to transfer 2,170,575,309 shares of Banco de Crédito del Perú (BCP) to Credicorp’s wholly owned subsidiary Grupo Crédito S.A. (Grupo de Crédito) through a capital contribution and over-the-counter transaction. The number of shares to be transferred represents 84.9% of the total number of shares of BCP. Credicorp will maintain the remaining 325,612,451 shares that it owns, which represent an additional 12.7% of BCP’s total shares.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transfer implies no change of control in BCP because Credicorp, in conjunction with its subsidiary Grupo Crédito, will continue to control the same 97.6% of the total shares of BCP. The transaction aims to facilitate the management of future Credicorp’s investments in Perú and has been approved by the Superintendence of Banking, Insurance and Private Pension Fund Administrators of Perú.</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52" w:lineRule="exact"/>
        <w:rPr>
          <w:sz w:val="20"/>
          <w:szCs w:val="20"/>
          <w:color w:val="auto"/>
        </w:rPr>
      </w:pPr>
    </w:p>
    <w:p>
      <w:pPr>
        <w:ind w:left="160"/>
        <w:spacing w:after="0"/>
        <w:tabs>
          <w:tab w:leader="none" w:pos="44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u w:val="single" w:color="auto"/>
          <w:color w:val="auto"/>
        </w:rPr>
        <w:t>Mario Ferrari</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 Market Representative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Date: November 9, 2010</w:t>
      </w:r>
    </w:p>
    <w:p>
      <w:pPr>
        <w:spacing w:after="0" w:line="200" w:lineRule="exact"/>
        <w:rPr>
          <w:sz w:val="20"/>
          <w:szCs w:val="20"/>
          <w:color w:val="auto"/>
        </w:rPr>
      </w:pPr>
    </w:p>
    <w:p>
      <w:pPr>
        <w:spacing w:after="0" w:line="26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CREDICORP LTD.</w:t>
      </w:r>
    </w:p>
    <w:p>
      <w:pPr>
        <w:spacing w:after="0" w:line="200" w:lineRule="exact"/>
        <w:rPr>
          <w:sz w:val="20"/>
          <w:szCs w:val="20"/>
          <w:color w:val="auto"/>
        </w:rPr>
      </w:pPr>
    </w:p>
    <w:p>
      <w:pPr>
        <w:spacing w:after="0" w:line="29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Giuliana Cuzquen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26035</wp:posOffset>
            </wp:positionV>
            <wp:extent cx="25298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Giuliana Cuzquen</w:t>
      </w:r>
    </w:p>
    <w:p>
      <w:pPr>
        <w:spacing w:after="0" w:line="3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0780"/>
      </w:cols>
      <w:pgMar w:left="240" w:top="360"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2019-12-14T06:50:45Z</dcterms:created>
  <dcterms:modified xsi:type="dcterms:W3CDTF">2019-12-14T06:50:45Z</dcterms:modified>
</cp:coreProperties>
</file>