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59.jpeg" ContentType="image/jpeg"/>
  <Override PartName="/word/media/image42.jpeg" ContentType="image/jpeg"/>
  <Override PartName="/word/media/image35.jpeg" ContentType="image/jpeg"/>
  <Override PartName="/word/media/image1.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brhc20057456_6k.htm"/>
      <w:bookmarkStart w:id="1" w:name="ksbrhc20057456_6k"/>
      <w:bookmarkStart w:id="2" w:name="brhc20057456_6k.htm"/>
      <w:bookmarkStart w:id="3" w:name="ksbrhc20057456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August 2023</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Lima 12, Peru</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101(b)(1):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101(b)(7):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Date: August 14th, 2023</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977e0957b8314ae59c8852ecff49c906"/>
      <w:bookmarkStart w:id="5" w:name="z977e0957b8314ae59c8852ecff49c906"/>
      <w:bookmarkEnd w:id="5"/>
    </w:p>
    <w:tbl>
      <w:tblPr>
        <w:tblW w:w="2612" w:type="dxa"/>
        <w:jc w:val="left"/>
        <w:tblInd w:w="0" w:type="dxa"/>
        <w:tblLayout w:type="fixed"/>
        <w:tblCellMar>
          <w:top w:w="0" w:type="dxa"/>
          <w:left w:w="0" w:type="dxa"/>
          <w:bottom w:w="0" w:type="dxa"/>
          <w:right w:w="0" w:type="dxa"/>
        </w:tblCellMar>
      </w:tblPr>
      <w:tblGrid>
        <w:gridCol w:w="23"/>
        <w:gridCol w:w="320"/>
        <w:gridCol w:w="2241"/>
        <w:gridCol w:w="28"/>
      </w:tblGrid>
      <w:tr>
        <w:trPr/>
        <w:tc>
          <w:tcPr>
            <w:tcW w:w="23" w:type="dxa"/>
            <w:tcBorders/>
            <w:vAlign w:val="center"/>
          </w:tcPr>
          <w:p>
            <w:pPr>
              <w:pStyle w:val="TableContents"/>
              <w:bidi w:val="0"/>
              <w:spacing w:before="0" w:after="283"/>
              <w:jc w:val="left"/>
              <w:rPr/>
            </w:pPr>
            <w:r>
              <w:rPr/>
            </w:r>
          </w:p>
        </w:tc>
        <w:tc>
          <w:tcPr>
            <w:tcW w:w="2589" w:type="dxa"/>
            <w:gridSpan w:val="3"/>
            <w:tcBorders/>
            <w:vAlign w:val="center"/>
          </w:tcPr>
          <w:p>
            <w:pPr>
              <w:pStyle w:val="TableContents"/>
              <w:bidi w:val="0"/>
              <w:spacing w:before="0" w:after="0"/>
              <w:jc w:val="left"/>
              <w:rPr>
                <w:color w:val="000000"/>
                <w:sz w:val="20"/>
              </w:rPr>
            </w:pPr>
            <w:r>
              <w:rPr>
                <w:color w:val="000000"/>
                <w:sz w:val="20"/>
              </w:rPr>
              <w:t>CREDICORP LTD.</w:t>
            </w:r>
          </w:p>
          <w:p>
            <w:pPr>
              <w:pStyle w:val="TableContents"/>
              <w:bidi w:val="0"/>
              <w:spacing w:before="0" w:after="0"/>
              <w:jc w:val="left"/>
              <w:rPr>
                <w:color w:val="000000"/>
                <w:sz w:val="20"/>
              </w:rPr>
            </w:pPr>
            <w:r>
              <w:rPr>
                <w:color w:val="000000"/>
                <w:sz w:val="20"/>
              </w:rPr>
              <w:t>(Registrant)</w:t>
            </w:r>
          </w:p>
        </w:tc>
      </w:tr>
      <w:tr>
        <w:trPr/>
        <w:tc>
          <w:tcPr>
            <w:tcW w:w="23" w:type="dxa"/>
            <w:tcBorders/>
            <w:vAlign w:val="center"/>
          </w:tcPr>
          <w:p>
            <w:pPr>
              <w:pStyle w:val="TableContents"/>
              <w:bidi w:val="0"/>
              <w:spacing w:before="0" w:after="283"/>
              <w:jc w:val="left"/>
              <w:rPr/>
            </w:pPr>
            <w:r>
              <w:rPr/>
            </w:r>
          </w:p>
        </w:tc>
        <w:tc>
          <w:tcPr>
            <w:tcW w:w="2589" w:type="dxa"/>
            <w:gridSpan w:val="3"/>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41"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Guillermo Morales</w:t>
            </w:r>
          </w:p>
        </w:tc>
        <w:tc>
          <w:tcPr>
            <w:tcW w:w="28"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269" w:type="dxa"/>
            <w:gridSpan w:val="2"/>
            <w:tcBorders/>
            <w:vAlign w:val="center"/>
          </w:tcPr>
          <w:p>
            <w:pPr>
              <w:pStyle w:val="TableContents"/>
              <w:bidi w:val="0"/>
              <w:spacing w:before="0" w:after="0"/>
              <w:jc w:val="left"/>
              <w:rPr>
                <w:b/>
                <w:color w:val="000000"/>
                <w:sz w:val="20"/>
              </w:rPr>
            </w:pPr>
            <w:r>
              <w:rPr>
                <w:b/>
                <w:color w:val="000000"/>
                <w:sz w:val="20"/>
              </w:rPr>
              <w:t>Guillermo Morales</w:t>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269" w:type="dxa"/>
            <w:gridSpan w:val="2"/>
            <w:tcBorders/>
            <w:vAlign w:val="center"/>
          </w:tcPr>
          <w:p>
            <w:pPr>
              <w:pStyle w:val="TableContents"/>
              <w:bidi w:val="0"/>
              <w:spacing w:before="0" w:after="0"/>
              <w:jc w:val="left"/>
              <w:rPr>
                <w:b/>
                <w:color w:val="000000"/>
                <w:sz w:val="20"/>
              </w:rPr>
            </w:pPr>
            <w:r>
              <w:rPr>
                <w:b/>
                <w:color w:val="000000"/>
                <w:sz w:val="20"/>
              </w:rPr>
              <w:t>Authorized Representative</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TextBody"/>
        <w:bidi w:val="0"/>
        <w:jc w:val="left"/>
        <w:rPr>
          <w:caps w:val="false"/>
          <w:smallCaps w:val="false"/>
        </w:rPr>
      </w:pPr>
      <w:bookmarkStart w:id="6" w:name="brhc20057456_ex99-1.htm"/>
      <w:bookmarkStart w:id="7" w:name="ksbrhc20057456_ex991"/>
      <w:bookmarkEnd w:id="6"/>
      <w:bookmarkEnd w:id="7"/>
      <w:r>
        <w:rPr>
          <w:caps w:val="false"/>
          <w:smallCaps w:val="false"/>
        </w:rPr>
        <w:t> </w:t>
      </w:r>
      <w:r>
        <w:br w:type="page"/>
      </w:r>
    </w:p>
    <w:p>
      <w:pPr>
        <w:pStyle w:val="TextBody"/>
        <w:bidi w:val="0"/>
        <w:jc w:val="left"/>
        <w:rPr>
          <w:caps w:val="false"/>
          <w:smallCaps w:val="false"/>
          <w:bdr w:val="single" w:sz="32" w:space="1" w:color="000000"/>
        </w:rPr>
      </w:pPr>
      <w:r>
        <w:rPr>
          <w:caps w:val="false"/>
          <w:smallCaps w:val="false"/>
          <w:bdr w:val="single" w:sz="32" w:space="1" w:color="000000"/>
        </w:rPr>
        <w:t> </w:t>
      </w:r>
    </w:p>
    <w:p>
      <w:pPr>
        <w:pStyle w:val="TextBody"/>
        <w:bidi w:val="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667500" cy="9429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9429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color w:val="2AD2C8"/>
        </w:rPr>
      </w:pPr>
      <w:r>
        <w:rPr>
          <w:caps w:val="false"/>
          <w:smallCaps w:val="false"/>
          <w:color w:val="2AD2C8"/>
        </w:rPr>
        <w:t> </w:t>
      </w:r>
    </w:p>
    <w:p>
      <w:pPr>
        <w:pStyle w:val="TextBody"/>
        <w:bidi w:val="0"/>
        <w:spacing w:before="0" w:after="0"/>
        <w:jc w:val="left"/>
        <w:rPr>
          <w:rFonts w:ascii="Arial;Helvetica;Sans-Serif" w:hAnsi="Arial;Helvetica;Sans-Serif"/>
          <w:b/>
          <w:i w:val="false"/>
          <w:caps w:val="false"/>
          <w:smallCaps w:val="false"/>
          <w:color w:val="2AD2C8"/>
          <w:sz w:val="54"/>
        </w:rPr>
      </w:pPr>
      <w:r>
        <w:rPr>
          <w:rFonts w:ascii="Arial;Helvetica;Sans-Serif" w:hAnsi="Arial;Helvetica;Sans-Serif"/>
          <w:b/>
          <w:i w:val="false"/>
          <w:caps w:val="false"/>
          <w:smallCaps w:val="false"/>
          <w:color w:val="2AD2C8"/>
          <w:sz w:val="54"/>
        </w:rPr>
        <w:t>Table of Contents</w:t>
      </w:r>
    </w:p>
    <w:p>
      <w:pPr>
        <w:pStyle w:val="TextBody"/>
        <w:bidi w:val="0"/>
        <w:spacing w:before="0" w:after="0"/>
        <w:jc w:val="left"/>
        <w:rPr>
          <w:caps w:val="false"/>
          <w:smallCaps w:val="false"/>
          <w:color w:val="2AD2C8"/>
        </w:rPr>
      </w:pPr>
      <w:r>
        <w:rPr>
          <w:caps w:val="false"/>
          <w:smallCaps w:val="false"/>
          <w:color w:val="2AD2C8"/>
        </w:rPr>
        <w:t> </w:t>
      </w:r>
    </w:p>
    <w:tbl>
      <w:tblPr>
        <w:tblW w:w="5529" w:type="dxa"/>
        <w:jc w:val="left"/>
        <w:tblInd w:w="0" w:type="dxa"/>
        <w:tblLayout w:type="fixed"/>
        <w:tblCellMar>
          <w:top w:w="0" w:type="dxa"/>
          <w:left w:w="0" w:type="dxa"/>
          <w:bottom w:w="0" w:type="dxa"/>
          <w:right w:w="0" w:type="dxa"/>
        </w:tblCellMar>
      </w:tblPr>
      <w:tblGrid>
        <w:gridCol w:w="255"/>
        <w:gridCol w:w="696"/>
        <w:gridCol w:w="4303"/>
        <w:gridCol w:w="275"/>
      </w:tblGrid>
      <w:tr>
        <w:trPr/>
        <w:tc>
          <w:tcPr>
            <w:tcW w:w="255" w:type="dxa"/>
            <w:tcBorders/>
            <w:vAlign w:val="center"/>
          </w:tcPr>
          <w:p>
            <w:pPr>
              <w:pStyle w:val="TableContents"/>
              <w:bidi w:val="0"/>
              <w:spacing w:before="0" w:after="283"/>
              <w:jc w:val="left"/>
              <w:rPr/>
            </w:pPr>
            <w:r>
              <w:rPr/>
              <w:drawing>
                <wp:inline distT="0" distB="0" distL="0" distR="0">
                  <wp:extent cx="15240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 cy="152400"/>
                          </a:xfrm>
                          <a:prstGeom prst="rect">
                            <a:avLst/>
                          </a:prstGeom>
                        </pic:spPr>
                      </pic:pic>
                    </a:graphicData>
                  </a:graphic>
                </wp:inline>
              </w:drawing>
            </w:r>
          </w:p>
        </w:tc>
        <w:tc>
          <w:tcPr>
            <w:tcW w:w="4999" w:type="dxa"/>
            <w:gridSpan w:val="2"/>
            <w:tcBorders/>
            <w:vAlign w:val="center"/>
          </w:tcPr>
          <w:p>
            <w:pPr>
              <w:pStyle w:val="TableContents"/>
              <w:bidi w:val="0"/>
              <w:spacing w:before="0" w:after="283"/>
              <w:jc w:val="left"/>
              <w:rPr>
                <w:b/>
                <w:color w:val="A6A6A6"/>
              </w:rPr>
            </w:pPr>
            <w:r>
              <w:rPr>
                <w:b/>
                <w:color w:val="A6A6A6"/>
              </w:rPr>
              <w:t>Operating and Financial Highlights</w:t>
            </w:r>
          </w:p>
        </w:tc>
        <w:tc>
          <w:tcPr>
            <w:tcW w:w="275" w:type="dxa"/>
            <w:tcBorders/>
            <w:vAlign w:val="center"/>
          </w:tcPr>
          <w:p>
            <w:pPr>
              <w:pStyle w:val="TableContents"/>
              <w:bidi w:val="0"/>
              <w:spacing w:before="0" w:after="283"/>
              <w:jc w:val="right"/>
              <w:rPr/>
            </w:pPr>
            <w:r>
              <w:rPr/>
              <w:t>03</w:t>
            </w:r>
          </w:p>
        </w:tc>
      </w:tr>
      <w:tr>
        <w:trPr/>
        <w:tc>
          <w:tcPr>
            <w:tcW w:w="25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color w:val="A6A6A6"/>
              </w:rPr>
            </w:pPr>
            <w:r>
              <w:rPr>
                <w:color w:val="A6A6A6"/>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drawing>
                <wp:inline distT="0" distB="0" distL="0" distR="0">
                  <wp:extent cx="152400"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 cy="152400"/>
                          </a:xfrm>
                          <a:prstGeom prst="rect">
                            <a:avLst/>
                          </a:prstGeom>
                        </pic:spPr>
                      </pic:pic>
                    </a:graphicData>
                  </a:graphic>
                </wp:inline>
              </w:drawing>
            </w:r>
          </w:p>
        </w:tc>
        <w:tc>
          <w:tcPr>
            <w:tcW w:w="4999" w:type="dxa"/>
            <w:gridSpan w:val="2"/>
            <w:tcBorders/>
            <w:vAlign w:val="center"/>
          </w:tcPr>
          <w:p>
            <w:pPr>
              <w:pStyle w:val="TableContents"/>
              <w:bidi w:val="0"/>
              <w:spacing w:before="0" w:after="283"/>
              <w:jc w:val="left"/>
              <w:rPr>
                <w:b/>
                <w:color w:val="A6A6A6"/>
              </w:rPr>
            </w:pPr>
            <w:r>
              <w:rPr>
                <w:b/>
                <w:color w:val="A6A6A6"/>
              </w:rPr>
              <w:t>Senior Management Quotes</w:t>
            </w:r>
          </w:p>
        </w:tc>
        <w:tc>
          <w:tcPr>
            <w:tcW w:w="275" w:type="dxa"/>
            <w:tcBorders/>
            <w:vAlign w:val="center"/>
          </w:tcPr>
          <w:p>
            <w:pPr>
              <w:pStyle w:val="TableContents"/>
              <w:bidi w:val="0"/>
              <w:spacing w:before="0" w:after="283"/>
              <w:jc w:val="right"/>
              <w:rPr/>
            </w:pPr>
            <w:r>
              <w:rPr/>
              <w:t>05</w:t>
            </w:r>
          </w:p>
        </w:tc>
      </w:tr>
      <w:tr>
        <w:trPr/>
        <w:tc>
          <w:tcPr>
            <w:tcW w:w="25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color w:val="A6A6A6"/>
              </w:rPr>
            </w:pPr>
            <w:r>
              <w:rPr>
                <w:color w:val="A6A6A6"/>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2400" cy="152400"/>
                          </a:xfrm>
                          <a:prstGeom prst="rect">
                            <a:avLst/>
                          </a:prstGeom>
                        </pic:spPr>
                      </pic:pic>
                    </a:graphicData>
                  </a:graphic>
                </wp:inline>
              </w:drawing>
            </w:r>
          </w:p>
        </w:tc>
        <w:tc>
          <w:tcPr>
            <w:tcW w:w="4999" w:type="dxa"/>
            <w:gridSpan w:val="2"/>
            <w:tcBorders/>
            <w:vAlign w:val="center"/>
          </w:tcPr>
          <w:p>
            <w:pPr>
              <w:pStyle w:val="TableContents"/>
              <w:bidi w:val="0"/>
              <w:spacing w:before="0" w:after="283"/>
              <w:jc w:val="left"/>
              <w:rPr>
                <w:b/>
                <w:color w:val="A6A6A6"/>
              </w:rPr>
            </w:pPr>
            <w:r>
              <w:rPr>
                <w:b/>
                <w:color w:val="A6A6A6"/>
              </w:rPr>
              <w:t>Second Quarter 2023 Earnings Conference Call</w:t>
            </w:r>
          </w:p>
        </w:tc>
        <w:tc>
          <w:tcPr>
            <w:tcW w:w="275" w:type="dxa"/>
            <w:tcBorders/>
            <w:vAlign w:val="center"/>
          </w:tcPr>
          <w:p>
            <w:pPr>
              <w:pStyle w:val="TableContents"/>
              <w:bidi w:val="0"/>
              <w:spacing w:before="0" w:after="283"/>
              <w:jc w:val="right"/>
              <w:rPr/>
            </w:pPr>
            <w:r>
              <w:rPr/>
              <w:t>06</w:t>
            </w:r>
          </w:p>
        </w:tc>
      </w:tr>
      <w:tr>
        <w:trPr/>
        <w:tc>
          <w:tcPr>
            <w:tcW w:w="25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color w:val="A6A6A6"/>
              </w:rPr>
            </w:pPr>
            <w:r>
              <w:rPr>
                <w:color w:val="A6A6A6"/>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400" cy="152400"/>
                          </a:xfrm>
                          <a:prstGeom prst="rect">
                            <a:avLst/>
                          </a:prstGeom>
                        </pic:spPr>
                      </pic:pic>
                    </a:graphicData>
                  </a:graphic>
                </wp:inline>
              </w:drawing>
            </w:r>
          </w:p>
        </w:tc>
        <w:tc>
          <w:tcPr>
            <w:tcW w:w="4999" w:type="dxa"/>
            <w:gridSpan w:val="2"/>
            <w:tcBorders/>
            <w:vAlign w:val="center"/>
          </w:tcPr>
          <w:p>
            <w:pPr>
              <w:pStyle w:val="TableContents"/>
              <w:bidi w:val="0"/>
              <w:spacing w:before="0" w:after="283"/>
              <w:jc w:val="left"/>
              <w:rPr>
                <w:b/>
                <w:color w:val="A6A6A6"/>
              </w:rPr>
            </w:pPr>
            <w:r>
              <w:rPr>
                <w:b/>
                <w:color w:val="A6A6A6"/>
              </w:rPr>
              <w:t>Summary of Financial Performance and Outlook</w:t>
            </w:r>
          </w:p>
        </w:tc>
        <w:tc>
          <w:tcPr>
            <w:tcW w:w="275" w:type="dxa"/>
            <w:tcBorders/>
            <w:vAlign w:val="center"/>
          </w:tcPr>
          <w:p>
            <w:pPr>
              <w:pStyle w:val="TableContents"/>
              <w:bidi w:val="0"/>
              <w:spacing w:before="0" w:after="283"/>
              <w:jc w:val="right"/>
              <w:rPr/>
            </w:pPr>
            <w:r>
              <w:rPr/>
              <w:t>07</w:t>
            </w:r>
          </w:p>
        </w:tc>
      </w:tr>
      <w:tr>
        <w:trPr/>
        <w:tc>
          <w:tcPr>
            <w:tcW w:w="25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color w:val="A6A6A6"/>
              </w:rPr>
            </w:pPr>
            <w:r>
              <w:rPr>
                <w:color w:val="A6A6A6"/>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400" cy="152400"/>
                          </a:xfrm>
                          <a:prstGeom prst="rect">
                            <a:avLst/>
                          </a:prstGeom>
                        </pic:spPr>
                      </pic:pic>
                    </a:graphicData>
                  </a:graphic>
                </wp:inline>
              </w:drawing>
            </w:r>
          </w:p>
        </w:tc>
        <w:tc>
          <w:tcPr>
            <w:tcW w:w="4999" w:type="dxa"/>
            <w:gridSpan w:val="2"/>
            <w:tcBorders/>
            <w:vAlign w:val="center"/>
          </w:tcPr>
          <w:p>
            <w:pPr>
              <w:pStyle w:val="TableContents"/>
              <w:bidi w:val="0"/>
              <w:spacing w:before="0" w:after="283"/>
              <w:jc w:val="left"/>
              <w:rPr>
                <w:b/>
                <w:color w:val="A6A6A6"/>
              </w:rPr>
            </w:pPr>
            <w:r>
              <w:rPr>
                <w:b/>
                <w:color w:val="A6A6A6"/>
              </w:rPr>
              <w:t>Financial Overview</w:t>
            </w:r>
          </w:p>
        </w:tc>
        <w:tc>
          <w:tcPr>
            <w:tcW w:w="275" w:type="dxa"/>
            <w:tcBorders/>
            <w:vAlign w:val="center"/>
          </w:tcPr>
          <w:p>
            <w:pPr>
              <w:pStyle w:val="TableContents"/>
              <w:bidi w:val="0"/>
              <w:spacing w:before="0" w:after="283"/>
              <w:jc w:val="right"/>
              <w:rPr/>
            </w:pPr>
            <w:r>
              <w:rPr/>
              <w:t>12</w:t>
            </w:r>
          </w:p>
        </w:tc>
      </w:tr>
      <w:tr>
        <w:trPr/>
        <w:tc>
          <w:tcPr>
            <w:tcW w:w="25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color w:val="A6A6A6"/>
              </w:rPr>
            </w:pPr>
            <w:r>
              <w:rPr>
                <w:color w:val="A6A6A6"/>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2400" cy="152400"/>
                          </a:xfrm>
                          <a:prstGeom prst="rect">
                            <a:avLst/>
                          </a:prstGeom>
                        </pic:spPr>
                      </pic:pic>
                    </a:graphicData>
                  </a:graphic>
                </wp:inline>
              </w:drawing>
            </w:r>
          </w:p>
        </w:tc>
        <w:tc>
          <w:tcPr>
            <w:tcW w:w="4999" w:type="dxa"/>
            <w:gridSpan w:val="2"/>
            <w:tcBorders/>
            <w:vAlign w:val="center"/>
          </w:tcPr>
          <w:p>
            <w:pPr>
              <w:pStyle w:val="TableContents"/>
              <w:bidi w:val="0"/>
              <w:spacing w:before="0" w:after="283"/>
              <w:jc w:val="left"/>
              <w:rPr>
                <w:b/>
                <w:color w:val="A6A6A6"/>
              </w:rPr>
            </w:pPr>
            <w:r>
              <w:rPr>
                <w:b/>
                <w:color w:val="A6A6A6"/>
              </w:rPr>
              <w:t>Credicorp’s Strategy Update</w:t>
            </w:r>
          </w:p>
        </w:tc>
        <w:tc>
          <w:tcPr>
            <w:tcW w:w="275" w:type="dxa"/>
            <w:tcBorders/>
            <w:vAlign w:val="center"/>
          </w:tcPr>
          <w:p>
            <w:pPr>
              <w:pStyle w:val="TableContents"/>
              <w:bidi w:val="0"/>
              <w:spacing w:before="0" w:after="283"/>
              <w:jc w:val="right"/>
              <w:rPr/>
            </w:pPr>
            <w:r>
              <w:rPr/>
              <w:t>13</w:t>
            </w:r>
          </w:p>
        </w:tc>
      </w:tr>
      <w:tr>
        <w:trPr/>
        <w:tc>
          <w:tcPr>
            <w:tcW w:w="25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color w:val="A6A6A6"/>
              </w:rPr>
            </w:pPr>
            <w:r>
              <w:rPr>
                <w:color w:val="A6A6A6"/>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2400" cy="152400"/>
                          </a:xfrm>
                          <a:prstGeom prst="rect">
                            <a:avLst/>
                          </a:prstGeom>
                        </pic:spPr>
                      </pic:pic>
                    </a:graphicData>
                  </a:graphic>
                </wp:inline>
              </w:drawing>
            </w:r>
          </w:p>
        </w:tc>
        <w:tc>
          <w:tcPr>
            <w:tcW w:w="4999" w:type="dxa"/>
            <w:gridSpan w:val="2"/>
            <w:tcBorders/>
            <w:vAlign w:val="center"/>
          </w:tcPr>
          <w:p>
            <w:pPr>
              <w:pStyle w:val="TableContents"/>
              <w:bidi w:val="0"/>
              <w:spacing w:before="0" w:after="283"/>
              <w:jc w:val="left"/>
              <w:rPr>
                <w:b/>
                <w:color w:val="A6A6A6"/>
              </w:rPr>
            </w:pPr>
            <w:r>
              <w:rPr>
                <w:b/>
                <w:color w:val="A6A6A6"/>
              </w:rPr>
              <w:t>Analysis of 2Q23 Consolidated Results</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01</w:t>
            </w:r>
          </w:p>
        </w:tc>
        <w:tc>
          <w:tcPr>
            <w:tcW w:w="4303" w:type="dxa"/>
            <w:tcBorders/>
            <w:vAlign w:val="center"/>
          </w:tcPr>
          <w:p>
            <w:pPr>
              <w:pStyle w:val="TableContents"/>
              <w:bidi w:val="0"/>
              <w:spacing w:before="0" w:after="283"/>
              <w:jc w:val="left"/>
              <w:rPr>
                <w:color w:val="E93BAB"/>
              </w:rPr>
            </w:pPr>
            <w:r>
              <w:rPr>
                <w:color w:val="E93BAB"/>
              </w:rPr>
              <w:t>Loans and Portfolio Quality</w:t>
            </w:r>
          </w:p>
        </w:tc>
        <w:tc>
          <w:tcPr>
            <w:tcW w:w="275" w:type="dxa"/>
            <w:tcBorders/>
            <w:vAlign w:val="center"/>
          </w:tcPr>
          <w:p>
            <w:pPr>
              <w:pStyle w:val="TableContents"/>
              <w:bidi w:val="0"/>
              <w:spacing w:before="0" w:after="283"/>
              <w:jc w:val="right"/>
              <w:rPr/>
            </w:pPr>
            <w:r>
              <w:rPr/>
              <w:t>16</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02</w:t>
            </w:r>
          </w:p>
        </w:tc>
        <w:tc>
          <w:tcPr>
            <w:tcW w:w="4303" w:type="dxa"/>
            <w:tcBorders/>
            <w:vAlign w:val="center"/>
          </w:tcPr>
          <w:p>
            <w:pPr>
              <w:pStyle w:val="TableContents"/>
              <w:bidi w:val="0"/>
              <w:spacing w:before="0" w:after="283"/>
              <w:jc w:val="left"/>
              <w:rPr>
                <w:color w:val="E93BAB"/>
              </w:rPr>
            </w:pPr>
            <w:r>
              <w:rPr>
                <w:color w:val="E93BAB"/>
              </w:rPr>
              <w:t>Deposits</w:t>
            </w:r>
          </w:p>
        </w:tc>
        <w:tc>
          <w:tcPr>
            <w:tcW w:w="275" w:type="dxa"/>
            <w:tcBorders/>
            <w:vAlign w:val="center"/>
          </w:tcPr>
          <w:p>
            <w:pPr>
              <w:pStyle w:val="TableContents"/>
              <w:bidi w:val="0"/>
              <w:spacing w:before="0" w:after="283"/>
              <w:jc w:val="right"/>
              <w:rPr/>
            </w:pPr>
            <w:r>
              <w:rPr/>
              <w:t>22</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03</w:t>
            </w:r>
          </w:p>
        </w:tc>
        <w:tc>
          <w:tcPr>
            <w:tcW w:w="4303" w:type="dxa"/>
            <w:tcBorders/>
            <w:vAlign w:val="center"/>
          </w:tcPr>
          <w:p>
            <w:pPr>
              <w:pStyle w:val="TableContents"/>
              <w:bidi w:val="0"/>
              <w:spacing w:before="0" w:after="283"/>
              <w:jc w:val="left"/>
              <w:rPr>
                <w:color w:val="E93BAB"/>
              </w:rPr>
            </w:pPr>
            <w:r>
              <w:rPr>
                <w:color w:val="E93BAB"/>
              </w:rPr>
              <w:t>Interest Earning Assets and Funding</w:t>
            </w:r>
          </w:p>
        </w:tc>
        <w:tc>
          <w:tcPr>
            <w:tcW w:w="275" w:type="dxa"/>
            <w:tcBorders/>
            <w:vAlign w:val="center"/>
          </w:tcPr>
          <w:p>
            <w:pPr>
              <w:pStyle w:val="TableContents"/>
              <w:bidi w:val="0"/>
              <w:spacing w:before="0" w:after="283"/>
              <w:jc w:val="right"/>
              <w:rPr/>
            </w:pPr>
            <w:r>
              <w:rPr/>
              <w:t>25</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04</w:t>
            </w:r>
          </w:p>
        </w:tc>
        <w:tc>
          <w:tcPr>
            <w:tcW w:w="4303" w:type="dxa"/>
            <w:tcBorders/>
            <w:vAlign w:val="center"/>
          </w:tcPr>
          <w:p>
            <w:pPr>
              <w:pStyle w:val="TableContents"/>
              <w:bidi w:val="0"/>
              <w:spacing w:before="0" w:after="283"/>
              <w:jc w:val="left"/>
              <w:rPr>
                <w:color w:val="E93BAB"/>
              </w:rPr>
            </w:pPr>
            <w:r>
              <w:rPr>
                <w:color w:val="E93BAB"/>
              </w:rPr>
              <w:t>Net Interest Income</w:t>
            </w:r>
          </w:p>
        </w:tc>
        <w:tc>
          <w:tcPr>
            <w:tcW w:w="275" w:type="dxa"/>
            <w:tcBorders/>
            <w:vAlign w:val="center"/>
          </w:tcPr>
          <w:p>
            <w:pPr>
              <w:pStyle w:val="TableContents"/>
              <w:bidi w:val="0"/>
              <w:spacing w:before="0" w:after="283"/>
              <w:jc w:val="right"/>
              <w:rPr/>
            </w:pPr>
            <w:r>
              <w:rPr/>
              <w:t>26</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05</w:t>
            </w:r>
          </w:p>
        </w:tc>
        <w:tc>
          <w:tcPr>
            <w:tcW w:w="4303" w:type="dxa"/>
            <w:tcBorders/>
            <w:vAlign w:val="center"/>
          </w:tcPr>
          <w:p>
            <w:pPr>
              <w:pStyle w:val="TableContents"/>
              <w:bidi w:val="0"/>
              <w:spacing w:before="0" w:after="283"/>
              <w:jc w:val="left"/>
              <w:rPr>
                <w:color w:val="E93BAB"/>
              </w:rPr>
            </w:pPr>
            <w:r>
              <w:rPr>
                <w:color w:val="E93BAB"/>
              </w:rPr>
              <w:t>Provisions</w:t>
            </w:r>
          </w:p>
        </w:tc>
        <w:tc>
          <w:tcPr>
            <w:tcW w:w="275" w:type="dxa"/>
            <w:tcBorders/>
            <w:vAlign w:val="center"/>
          </w:tcPr>
          <w:p>
            <w:pPr>
              <w:pStyle w:val="TableContents"/>
              <w:bidi w:val="0"/>
              <w:spacing w:before="0" w:after="283"/>
              <w:jc w:val="right"/>
              <w:rPr/>
            </w:pPr>
            <w:r>
              <w:rPr/>
              <w:t>29</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06</w:t>
            </w:r>
          </w:p>
        </w:tc>
        <w:tc>
          <w:tcPr>
            <w:tcW w:w="4303" w:type="dxa"/>
            <w:tcBorders/>
            <w:vAlign w:val="center"/>
          </w:tcPr>
          <w:p>
            <w:pPr>
              <w:pStyle w:val="TableContents"/>
              <w:bidi w:val="0"/>
              <w:spacing w:before="0" w:after="283"/>
              <w:jc w:val="left"/>
              <w:rPr>
                <w:color w:val="E93BAB"/>
              </w:rPr>
            </w:pPr>
            <w:r>
              <w:rPr>
                <w:color w:val="E93BAB"/>
              </w:rPr>
              <w:t>Other Income</w:t>
            </w:r>
          </w:p>
        </w:tc>
        <w:tc>
          <w:tcPr>
            <w:tcW w:w="275" w:type="dxa"/>
            <w:tcBorders/>
            <w:vAlign w:val="center"/>
          </w:tcPr>
          <w:p>
            <w:pPr>
              <w:pStyle w:val="TableContents"/>
              <w:bidi w:val="0"/>
              <w:spacing w:before="0" w:after="283"/>
              <w:jc w:val="right"/>
              <w:rPr/>
            </w:pPr>
            <w:r>
              <w:rPr/>
              <w:t>31</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07</w:t>
            </w:r>
          </w:p>
        </w:tc>
        <w:tc>
          <w:tcPr>
            <w:tcW w:w="4303" w:type="dxa"/>
            <w:tcBorders/>
            <w:vAlign w:val="center"/>
          </w:tcPr>
          <w:p>
            <w:pPr>
              <w:pStyle w:val="TableContents"/>
              <w:bidi w:val="0"/>
              <w:spacing w:before="0" w:after="283"/>
              <w:jc w:val="left"/>
              <w:rPr>
                <w:color w:val="E93BAB"/>
              </w:rPr>
            </w:pPr>
            <w:r>
              <w:rPr>
                <w:color w:val="E93BAB"/>
              </w:rPr>
              <w:t>Insurance Underwriting Results</w:t>
            </w:r>
          </w:p>
        </w:tc>
        <w:tc>
          <w:tcPr>
            <w:tcW w:w="275" w:type="dxa"/>
            <w:tcBorders/>
            <w:vAlign w:val="center"/>
          </w:tcPr>
          <w:p>
            <w:pPr>
              <w:pStyle w:val="TableContents"/>
              <w:bidi w:val="0"/>
              <w:spacing w:before="0" w:after="283"/>
              <w:jc w:val="right"/>
              <w:rPr/>
            </w:pPr>
            <w:r>
              <w:rPr/>
              <w:t>34</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08</w:t>
            </w:r>
          </w:p>
        </w:tc>
        <w:tc>
          <w:tcPr>
            <w:tcW w:w="4303" w:type="dxa"/>
            <w:tcBorders/>
            <w:vAlign w:val="center"/>
          </w:tcPr>
          <w:p>
            <w:pPr>
              <w:pStyle w:val="TableContents"/>
              <w:bidi w:val="0"/>
              <w:spacing w:before="0" w:after="283"/>
              <w:jc w:val="left"/>
              <w:rPr>
                <w:color w:val="E93BAB"/>
              </w:rPr>
            </w:pPr>
            <w:r>
              <w:rPr>
                <w:color w:val="E93BAB"/>
              </w:rPr>
              <w:t>Operating Expenses</w:t>
            </w:r>
          </w:p>
        </w:tc>
        <w:tc>
          <w:tcPr>
            <w:tcW w:w="275" w:type="dxa"/>
            <w:tcBorders/>
            <w:vAlign w:val="center"/>
          </w:tcPr>
          <w:p>
            <w:pPr>
              <w:pStyle w:val="TableContents"/>
              <w:bidi w:val="0"/>
              <w:spacing w:before="0" w:after="283"/>
              <w:jc w:val="right"/>
              <w:rPr/>
            </w:pPr>
            <w:r>
              <w:rPr/>
              <w:t>37</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09</w:t>
            </w:r>
          </w:p>
        </w:tc>
        <w:tc>
          <w:tcPr>
            <w:tcW w:w="4303" w:type="dxa"/>
            <w:tcBorders/>
            <w:vAlign w:val="center"/>
          </w:tcPr>
          <w:p>
            <w:pPr>
              <w:pStyle w:val="TableContents"/>
              <w:bidi w:val="0"/>
              <w:spacing w:before="0" w:after="283"/>
              <w:jc w:val="left"/>
              <w:rPr>
                <w:color w:val="E93BAB"/>
              </w:rPr>
            </w:pPr>
            <w:r>
              <w:rPr>
                <w:color w:val="E93BAB"/>
              </w:rPr>
              <w:t>Operating Efficiency</w:t>
            </w:r>
          </w:p>
        </w:tc>
        <w:tc>
          <w:tcPr>
            <w:tcW w:w="275" w:type="dxa"/>
            <w:tcBorders/>
            <w:vAlign w:val="center"/>
          </w:tcPr>
          <w:p>
            <w:pPr>
              <w:pStyle w:val="TableContents"/>
              <w:bidi w:val="0"/>
              <w:spacing w:before="0" w:after="283"/>
              <w:jc w:val="right"/>
              <w:rPr/>
            </w:pPr>
            <w:r>
              <w:rPr/>
              <w:t>39</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10</w:t>
            </w:r>
          </w:p>
        </w:tc>
        <w:tc>
          <w:tcPr>
            <w:tcW w:w="4303" w:type="dxa"/>
            <w:tcBorders/>
            <w:vAlign w:val="center"/>
          </w:tcPr>
          <w:p>
            <w:pPr>
              <w:pStyle w:val="TableContents"/>
              <w:bidi w:val="0"/>
              <w:spacing w:before="0" w:after="283"/>
              <w:jc w:val="left"/>
              <w:rPr>
                <w:color w:val="E93BAB"/>
              </w:rPr>
            </w:pPr>
            <w:r>
              <w:rPr>
                <w:color w:val="E93BAB"/>
              </w:rPr>
              <w:t>Regulatory Capital</w:t>
            </w:r>
          </w:p>
        </w:tc>
        <w:tc>
          <w:tcPr>
            <w:tcW w:w="275" w:type="dxa"/>
            <w:tcBorders/>
            <w:vAlign w:val="center"/>
          </w:tcPr>
          <w:p>
            <w:pPr>
              <w:pStyle w:val="TableContents"/>
              <w:bidi w:val="0"/>
              <w:spacing w:before="0" w:after="283"/>
              <w:jc w:val="right"/>
              <w:rPr/>
            </w:pPr>
            <w:r>
              <w:rPr/>
              <w:t>40</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11</w:t>
            </w:r>
          </w:p>
        </w:tc>
        <w:tc>
          <w:tcPr>
            <w:tcW w:w="4303" w:type="dxa"/>
            <w:tcBorders/>
            <w:vAlign w:val="center"/>
          </w:tcPr>
          <w:p>
            <w:pPr>
              <w:pStyle w:val="TableContents"/>
              <w:bidi w:val="0"/>
              <w:spacing w:before="0" w:after="283"/>
              <w:jc w:val="left"/>
              <w:rPr>
                <w:color w:val="E93BAB"/>
              </w:rPr>
            </w:pPr>
            <w:r>
              <w:rPr>
                <w:color w:val="E93BAB"/>
              </w:rPr>
              <w:t>Economic Outlook</w:t>
            </w:r>
          </w:p>
        </w:tc>
        <w:tc>
          <w:tcPr>
            <w:tcW w:w="275" w:type="dxa"/>
            <w:tcBorders/>
            <w:vAlign w:val="center"/>
          </w:tcPr>
          <w:p>
            <w:pPr>
              <w:pStyle w:val="TableContents"/>
              <w:bidi w:val="0"/>
              <w:spacing w:before="0" w:after="283"/>
              <w:jc w:val="right"/>
              <w:rPr/>
            </w:pPr>
            <w:r>
              <w:rPr/>
              <w:t>42</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color w:val="E93BAB"/>
              </w:rPr>
            </w:pPr>
            <w:r>
              <w:rPr>
                <w:color w:val="E93BAB"/>
              </w:rPr>
              <w:t> </w:t>
            </w:r>
          </w:p>
        </w:tc>
        <w:tc>
          <w:tcPr>
            <w:tcW w:w="4303" w:type="dxa"/>
            <w:tcBorders/>
            <w:vAlign w:val="center"/>
          </w:tcPr>
          <w:p>
            <w:pPr>
              <w:pStyle w:val="TableContents"/>
              <w:bidi w:val="0"/>
              <w:spacing w:before="0" w:after="283"/>
              <w:jc w:val="left"/>
              <w:rPr>
                <w:color w:val="E93BAB"/>
              </w:rPr>
            </w:pPr>
            <w:r>
              <w:rPr>
                <w:color w:val="E93BAB"/>
              </w:rPr>
              <w:t> </w:t>
            </w:r>
          </w:p>
        </w:tc>
        <w:tc>
          <w:tcPr>
            <w:tcW w:w="275" w:type="dxa"/>
            <w:tcBorders/>
            <w:vAlign w:val="center"/>
          </w:tcPr>
          <w:p>
            <w:pPr>
              <w:pStyle w:val="TableContents"/>
              <w:bidi w:val="0"/>
              <w:spacing w:before="0" w:after="283"/>
              <w:jc w:val="right"/>
              <w:rPr/>
            </w:pPr>
            <w:r>
              <w:rPr/>
              <w:t> </w:t>
            </w:r>
          </w:p>
        </w:tc>
      </w:tr>
      <w:tr>
        <w:trPr/>
        <w:tc>
          <w:tcPr>
            <w:tcW w:w="255"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rFonts w:ascii="Arial;Helvetica;Sans-Serif" w:hAnsi="Arial;Helvetica;Sans-Serif"/>
                <w:b/>
                <w:color w:val="E93BAB"/>
                <w:sz w:val="48"/>
              </w:rPr>
            </w:pPr>
            <w:r>
              <w:rPr>
                <w:rFonts w:ascii="Arial;Helvetica;Sans-Serif" w:hAnsi="Arial;Helvetica;Sans-Serif"/>
                <w:b/>
                <w:color w:val="E93BAB"/>
                <w:sz w:val="48"/>
              </w:rPr>
              <w:t>12</w:t>
            </w:r>
          </w:p>
        </w:tc>
        <w:tc>
          <w:tcPr>
            <w:tcW w:w="4303" w:type="dxa"/>
            <w:tcBorders/>
            <w:vAlign w:val="center"/>
          </w:tcPr>
          <w:p>
            <w:pPr>
              <w:pStyle w:val="TableContents"/>
              <w:bidi w:val="0"/>
              <w:spacing w:before="0" w:after="283"/>
              <w:jc w:val="left"/>
              <w:rPr>
                <w:color w:val="E93BAB"/>
              </w:rPr>
            </w:pPr>
            <w:r>
              <w:rPr>
                <w:color w:val="E93BAB"/>
              </w:rPr>
              <w:t>Appendix</w:t>
            </w:r>
          </w:p>
        </w:tc>
        <w:tc>
          <w:tcPr>
            <w:tcW w:w="275" w:type="dxa"/>
            <w:tcBorders/>
            <w:vAlign w:val="center"/>
          </w:tcPr>
          <w:p>
            <w:pPr>
              <w:pStyle w:val="TableContents"/>
              <w:bidi w:val="0"/>
              <w:spacing w:before="0" w:after="283"/>
              <w:jc w:val="right"/>
              <w:rPr/>
            </w:pPr>
            <w:r>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tbl>
      <w:tblPr>
        <w:tblW w:w="3995" w:type="dxa"/>
        <w:jc w:val="left"/>
        <w:tblInd w:w="0" w:type="dxa"/>
        <w:shd w:fill="29D2C8" w:val="clear"/>
        <w:tblLayout w:type="fixed"/>
        <w:tblCellMar>
          <w:top w:w="0" w:type="dxa"/>
          <w:left w:w="0" w:type="dxa"/>
          <w:bottom w:w="0" w:type="dxa"/>
          <w:right w:w="0" w:type="dxa"/>
        </w:tblCellMar>
      </w:tblPr>
      <w:tblGrid>
        <w:gridCol w:w="3995"/>
      </w:tblGrid>
      <w:tr>
        <w:trPr/>
        <w:tc>
          <w:tcPr>
            <w:tcW w:w="3995"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Operating and Financial Highlights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Credicorp Ltd. Reports Second Quarter 2023 Financial and Operating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ROE of 18.6% Driven by Strong Results in Universal Banking and Insurance together with a Moderate Recovery in Microfinance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Efficiency Ratio Improved 310 bps to 44.6%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Cost of Risk Increased 25 bps Sequentially to 2.3% Reflecting Challenging Macro Dynamics in 1H23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Lima, Peru – August 10, 2023 – Credicorp Ltd. (“Credicorp” or “the Company”) (NYSE: BAP | BVL: BAP)</w:t>
      </w:r>
      <w:r>
        <w:rPr>
          <w:rFonts w:ascii="Arial;Helvetica;Sans-Serif" w:hAnsi="Arial;Helvetica;Sans-Serif"/>
          <w:b w:val="false"/>
          <w:i w:val="false"/>
          <w:caps w:val="false"/>
          <w:smallCaps w:val="false"/>
          <w:sz w:val="22"/>
        </w:rPr>
        <w:t>, the leading financial services holding company in Peru with a presence in Chile, Colombia, Bolivia and Panama today reported its unaudited results for the quarter ended June 30, 2023. Financial results are expressed in Soles and are presented in accordance with International Financial Reporting Standards (IFRS). Effective 1Q23, the Company reports under IFRS 17 accounting standards for insurance contracts. While the impact on consolidated net income is not material, the reclassification of line items in the P&amp;L has impacted the efficiency ratio. To facilitate comparability, figures for 2Q22 and 4Q22 have been restated to reflect IFRS 17.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2Q23 OPERATING AND FINANCIAL HIGHLIGHTS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 xml:space="preserve">Net Income </w:t>
            </w:r>
            <w:r>
              <w:rPr>
                <w:rFonts w:ascii="Arial;Helvetica;Sans-Serif" w:hAnsi="Arial;Helvetica;Sans-Serif"/>
                <w:sz w:val="22"/>
              </w:rPr>
              <w:t>attributable to Credicorp increased 22.6% YoY to S/1,401 million, supported by Universal Banking and strong results in the Insurance business. This resulted in ROE of 18.6% compared to 18.7% in 1Q23 and 17.3% in 2Q22.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 xml:space="preserve">Structural Loans </w:t>
            </w:r>
            <w:r>
              <w:rPr>
                <w:rFonts w:ascii="Arial;Helvetica;Sans-Serif" w:hAnsi="Arial;Helvetica;Sans-Serif"/>
                <w:sz w:val="22"/>
              </w:rPr>
              <w:t>measured in average daily balances declined 0.6% QoQ, principally due to Wholesale Banking, but increased 5.5% YoY, driven by growth in Retail Banking at BCP and to a lesser extent by Mibanco.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Total Deposits</w:t>
            </w:r>
            <w:r>
              <w:rPr>
                <w:rFonts w:ascii="Arial;Helvetica;Sans-Serif" w:hAnsi="Arial;Helvetica;Sans-Serif"/>
                <w:sz w:val="22"/>
              </w:rPr>
              <w:t xml:space="preserve"> at quarter-end declined 3.5% QoQ and 2.7% YoY, after lower liquidity and continued migration to Time Deposits in a high-interest rate environment led to a system-wide drop in Demand and Savings deposits. Nonetheless, Credicorp maintains its undisputable leadership position in </w:t>
            </w:r>
            <w:r>
              <w:rPr>
                <w:rFonts w:ascii="Arial;Helvetica;Sans-Serif" w:hAnsi="Arial;Helvetica;Sans-Serif"/>
                <w:b/>
                <w:sz w:val="22"/>
              </w:rPr>
              <w:t>low-cost deposits</w:t>
            </w:r>
            <w:r>
              <w:rPr>
                <w:rFonts w:ascii="Arial;Helvetica;Sans-Serif" w:hAnsi="Arial;Helvetica;Sans-Serif"/>
                <w:sz w:val="22"/>
              </w:rPr>
              <w:t xml:space="preserve"> with a 40.6% market share, which accounted for 51.3% of total funding.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 xml:space="preserve">The </w:t>
            </w:r>
            <w:r>
              <w:rPr>
                <w:rFonts w:ascii="Arial;Helvetica;Sans-Serif" w:hAnsi="Arial;Helvetica;Sans-Serif"/>
                <w:b/>
                <w:sz w:val="22"/>
              </w:rPr>
              <w:t xml:space="preserve">Structural NPL ratio </w:t>
            </w:r>
            <w:r>
              <w:rPr>
                <w:rFonts w:ascii="Arial;Helvetica;Sans-Serif" w:hAnsi="Arial;Helvetica;Sans-Serif"/>
                <w:sz w:val="22"/>
              </w:rPr>
              <w:t>increased 23 bps QoQ to 5.3%, after social unrest and climatic events in 1Q23, coupled with a contraction in internal demand and high inflation and interest rates, impacted payment performance. At Mibanco, loans reprogrammed in the first quarter fell delinquent. At BCP, payment behavior in SME-Pyme deteriorated, particularly in lower-ticket segments, while in Credit Cards and Consumers Loans, the debt service capacity of vulnerable subsegments fell due to over-indebtedness. These dynamics were partially offset by a sale of a delinquent portfolio in the energy sector in Wholesale banking.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 xml:space="preserve">Structural Provisions </w:t>
            </w:r>
            <w:r>
              <w:rPr>
                <w:rFonts w:ascii="Arial;Helvetica;Sans-Serif" w:hAnsi="Arial;Helvetica;Sans-Serif"/>
                <w:sz w:val="22"/>
              </w:rPr>
              <w:t xml:space="preserve">increased 10.5% QoQ and 124.3% YoY. Provisions in Consumer Loans and Credit Cards at BCP and at Mibanco remained at high levels after a recessive, high-inflation environment in the first semester affected client payment capacity. The </w:t>
            </w:r>
            <w:r>
              <w:rPr>
                <w:rFonts w:ascii="Arial;Helvetica;Sans-Serif" w:hAnsi="Arial;Helvetica;Sans-Serif"/>
                <w:b/>
                <w:sz w:val="22"/>
              </w:rPr>
              <w:t xml:space="preserve">Structural Cost of Risk </w:t>
            </w:r>
            <w:r>
              <w:rPr>
                <w:rFonts w:ascii="Arial;Helvetica;Sans-Serif" w:hAnsi="Arial;Helvetica;Sans-Serif"/>
                <w:sz w:val="22"/>
              </w:rPr>
              <w:t xml:space="preserve">increased 127bps sequentially to 2.3% against a particularly low base in 2Q22, while </w:t>
            </w:r>
            <w:r>
              <w:rPr>
                <w:rFonts w:ascii="Arial;Helvetica;Sans-Serif" w:hAnsi="Arial;Helvetica;Sans-Serif"/>
                <w:b/>
                <w:sz w:val="22"/>
              </w:rPr>
              <w:t xml:space="preserve">Structural NPL Coverage </w:t>
            </w:r>
            <w:r>
              <w:rPr>
                <w:rFonts w:ascii="Arial;Helvetica;Sans-Serif" w:hAnsi="Arial;Helvetica;Sans-Serif"/>
                <w:sz w:val="22"/>
              </w:rPr>
              <w:t>ratio dropped 2.3 pps to 107.7%. Credicorp has fine-tuned client segmentation by risk profile and gradually implemented stricter origination guidelines for Consumer Loans, Credit Cards, SME-Pyme at BCP and Mibanco.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 xml:space="preserve">Core Income </w:t>
            </w:r>
            <w:r>
              <w:rPr>
                <w:rFonts w:ascii="Arial;Helvetica;Sans-Serif" w:hAnsi="Arial;Helvetica;Sans-Serif"/>
                <w:sz w:val="22"/>
              </w:rPr>
              <w:t xml:space="preserve">increased 2.7% QoQ and 14.3% YoY, reflecting structural loan growth and a high-interest rate environment, both of which drove an uptick in </w:t>
            </w:r>
            <w:r>
              <w:rPr>
                <w:rFonts w:ascii="Arial;Helvetica;Sans-Serif" w:hAnsi="Arial;Helvetica;Sans-Serif"/>
                <w:b/>
                <w:sz w:val="22"/>
              </w:rPr>
              <w:t xml:space="preserve">Net Interest Income (NII) </w:t>
            </w:r>
            <w:r>
              <w:rPr>
                <w:rFonts w:ascii="Arial;Helvetica;Sans-Serif" w:hAnsi="Arial;Helvetica;Sans-Serif"/>
                <w:sz w:val="22"/>
              </w:rPr>
              <w:t xml:space="preserve">of 2.3% QoQ and 21.5% YoY. In turn, Other Core Income increased 3.6% QoQ but fell 1.6% YoY. In this context, growth in the yield of IEA outpaced the expansion in the funding cost, which led the </w:t>
            </w:r>
            <w:r>
              <w:rPr>
                <w:rFonts w:ascii="Arial;Helvetica;Sans-Serif" w:hAnsi="Arial;Helvetica;Sans-Serif"/>
                <w:b/>
                <w:sz w:val="22"/>
              </w:rPr>
              <w:t>Net Interest Margin (NIM)</w:t>
            </w:r>
            <w:r>
              <w:rPr>
                <w:rFonts w:ascii="Arial;Helvetica;Sans-Serif" w:hAnsi="Arial;Helvetica;Sans-Serif"/>
                <w:sz w:val="22"/>
              </w:rPr>
              <w:t xml:space="preserve"> to stand at 6.0%, up 18 bps QoQ and 110 bps YoY.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 xml:space="preserve">Insurance Underwriting Results </w:t>
            </w:r>
            <w:r>
              <w:rPr>
                <w:rFonts w:ascii="Arial;Helvetica;Sans-Serif" w:hAnsi="Arial;Helvetica;Sans-Serif"/>
                <w:sz w:val="22"/>
              </w:rPr>
              <w:t>remained unusually high, up 53% YoY driven by higher profitability in the Life Business and stable P&amp;C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tbl>
      <w:tblPr>
        <w:tblW w:w="3995" w:type="dxa"/>
        <w:jc w:val="left"/>
        <w:tblInd w:w="0" w:type="dxa"/>
        <w:shd w:fill="29D2C8" w:val="clear"/>
        <w:tblLayout w:type="fixed"/>
        <w:tblCellMar>
          <w:top w:w="0" w:type="dxa"/>
          <w:left w:w="0" w:type="dxa"/>
          <w:bottom w:w="0" w:type="dxa"/>
          <w:right w:w="0" w:type="dxa"/>
        </w:tblCellMar>
      </w:tblPr>
      <w:tblGrid>
        <w:gridCol w:w="3995"/>
      </w:tblGrid>
      <w:tr>
        <w:trPr/>
        <w:tc>
          <w:tcPr>
            <w:tcW w:w="3995"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Operating and Financial Highlights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 xml:space="preserve">The Efficiency Ratio </w:t>
            </w:r>
            <w:r>
              <w:rPr>
                <w:rFonts w:ascii="Arial;Helvetica;Sans-Serif" w:hAnsi="Arial;Helvetica;Sans-Serif"/>
                <w:sz w:val="22"/>
              </w:rPr>
              <w:t>was seasonally higher at 44.6% in 2Q23 compared to 44.3% in 1Q23 but improved from 47.7% in 2Q22. For 1H23, the efficiency ratio improved 310 bps YoY to 44.4% as core income growth at BCP more than offset higher expenses at BCP and in disruptive initiatives at Credicorp.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 xml:space="preserve">The </w:t>
            </w:r>
            <w:r>
              <w:rPr>
                <w:rFonts w:ascii="Arial;Helvetica;Sans-Serif" w:hAnsi="Arial;Helvetica;Sans-Serif"/>
                <w:b/>
                <w:sz w:val="22"/>
              </w:rPr>
              <w:t xml:space="preserve">CET1 Ratio </w:t>
            </w:r>
            <w:r>
              <w:rPr>
                <w:rFonts w:ascii="Arial;Helvetica;Sans-Serif" w:hAnsi="Arial;Helvetica;Sans-Serif"/>
                <w:sz w:val="22"/>
              </w:rPr>
              <w:t>for BCP at quarter-end was 12.8%, up 123 bps YoY and 87 bps QoQ. CET1 at Mibanco increased 157 bps YoY and 21 bps QoQ to 16.6%.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 xml:space="preserve">At BCP stand-alone, 30-day local currency </w:t>
            </w:r>
            <w:r>
              <w:rPr>
                <w:rFonts w:ascii="Arial;Helvetica;Sans-Serif" w:hAnsi="Arial;Helvetica;Sans-Serif"/>
                <w:b/>
                <w:sz w:val="22"/>
              </w:rPr>
              <w:t>LCR</w:t>
            </w:r>
            <w:r>
              <w:rPr>
                <w:rFonts w:ascii="Arial;Helvetica;Sans-Serif" w:hAnsi="Arial;Helvetica;Sans-Serif"/>
                <w:sz w:val="22"/>
              </w:rPr>
              <w:t xml:space="preserve"> currency stood at 198.7% under regulatory standards and 118.4% based on more stringent internal standards, while USD 30-day LCR stood at 179.8% and 115.1% under regulatory and more stringent internal standards,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 xml:space="preserve">Yape </w:t>
            </w:r>
            <w:r>
              <w:rPr>
                <w:rFonts w:ascii="Arial;Helvetica;Sans-Serif" w:hAnsi="Arial;Helvetica;Sans-Serif"/>
                <w:sz w:val="22"/>
              </w:rPr>
              <w:t>continues to advance towards monetization as it pursues its goal of driving financial inclusion. Monthly active users (MAU) reached 9.0 million at quarter-end with monthly revenue per MAU up 32% QoQ to s/2.5 while the cash-cost per MAU declined to S/4.4.Yape stands on track to reach cashflow breakeven in 2024.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On June 9, 2023, the Company paid a cash dividend of S/25.00 per share equivalent to a total of S/ 2,359,557,925. This translates to a 50.8% dividend payout ratio.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tbl>
      <w:tblPr>
        <w:tblW w:w="3215" w:type="dxa"/>
        <w:jc w:val="left"/>
        <w:tblInd w:w="0" w:type="dxa"/>
        <w:shd w:fill="29D2C8" w:val="clear"/>
        <w:tblLayout w:type="fixed"/>
        <w:tblCellMar>
          <w:top w:w="0" w:type="dxa"/>
          <w:left w:w="0" w:type="dxa"/>
          <w:bottom w:w="0" w:type="dxa"/>
          <w:right w:w="0" w:type="dxa"/>
        </w:tblCellMar>
      </w:tblPr>
      <w:tblGrid>
        <w:gridCol w:w="3215"/>
      </w:tblGrid>
      <w:tr>
        <w:trPr/>
        <w:tc>
          <w:tcPr>
            <w:tcW w:w="3215"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Senior Management Quotes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SENIOR MANAGEMENT QUOTES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8865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667500" cy="6886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tbl>
      <w:tblPr>
        <w:tblW w:w="5435" w:type="dxa"/>
        <w:jc w:val="left"/>
        <w:tblInd w:w="0" w:type="dxa"/>
        <w:shd w:fill="29D2C8" w:val="clear"/>
        <w:tblLayout w:type="fixed"/>
        <w:tblCellMar>
          <w:top w:w="0" w:type="dxa"/>
          <w:left w:w="0" w:type="dxa"/>
          <w:bottom w:w="0" w:type="dxa"/>
          <w:right w:w="0" w:type="dxa"/>
        </w:tblCellMar>
      </w:tblPr>
      <w:tblGrid>
        <w:gridCol w:w="5435"/>
      </w:tblGrid>
      <w:tr>
        <w:trPr/>
        <w:tc>
          <w:tcPr>
            <w:tcW w:w="5435"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Second Quarter 2023 Earnings Conference Call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SECOND QUARTER 2023 EARNINGS CONFERENCE CALL</w:t>
      </w:r>
    </w:p>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jc w:val="left"/>
        <w:rPr>
          <w:rFonts w:ascii="Arial;Helvetica;Sans-Serif" w:hAnsi="Arial;Helvetica;Sans-Serif"/>
          <w:b w:val="false"/>
          <w:i w:val="false"/>
          <w:caps w:val="false"/>
          <w:smallCaps w:val="false"/>
          <w:color w:val="121212"/>
          <w:sz w:val="20"/>
        </w:rPr>
      </w:pPr>
      <w:r>
        <w:rPr>
          <w:rFonts w:ascii="Arial;Helvetica;Sans-Serif" w:hAnsi="Arial;Helvetica;Sans-Serif"/>
          <w:b/>
          <w:i w:val="false"/>
          <w:caps w:val="false"/>
          <w:smallCaps w:val="false"/>
          <w:color w:val="121212"/>
          <w:sz w:val="20"/>
        </w:rPr>
        <w:t>Date:</w:t>
      </w:r>
      <w:r>
        <w:rPr>
          <w:rFonts w:ascii="Arial;Helvetica;Sans-Serif" w:hAnsi="Arial;Helvetica;Sans-Serif"/>
          <w:b w:val="false"/>
          <w:i w:val="false"/>
          <w:caps w:val="false"/>
          <w:smallCaps w:val="false"/>
          <w:color w:val="121212"/>
          <w:sz w:val="20"/>
        </w:rPr>
        <w:t xml:space="preserve"> Friday August 11th, 2023</w:t>
      </w:r>
    </w:p>
    <w:p>
      <w:pPr>
        <w:pStyle w:val="TextBody"/>
        <w:bidi w:val="0"/>
        <w:spacing w:before="0" w:after="0"/>
        <w:jc w:val="left"/>
        <w:rPr>
          <w:caps w:val="false"/>
          <w:smallCaps w:val="false"/>
          <w:color w:val="121212"/>
        </w:rPr>
      </w:pPr>
      <w:r>
        <w:rPr>
          <w:caps w:val="false"/>
          <w:smallCaps w:val="false"/>
          <w:color w:val="121212"/>
        </w:rPr>
        <w:t> </w:t>
      </w:r>
    </w:p>
    <w:p>
      <w:pPr>
        <w:pStyle w:val="TextBody"/>
        <w:bidi w:val="0"/>
        <w:spacing w:before="0" w:after="0"/>
        <w:jc w:val="left"/>
        <w:rPr>
          <w:rFonts w:ascii="Arial;Helvetica;Sans-Serif" w:hAnsi="Arial;Helvetica;Sans-Serif"/>
          <w:b w:val="false"/>
          <w:i w:val="false"/>
          <w:caps w:val="false"/>
          <w:smallCaps w:val="false"/>
          <w:color w:val="121212"/>
          <w:sz w:val="20"/>
        </w:rPr>
      </w:pPr>
      <w:r>
        <w:rPr>
          <w:rFonts w:ascii="Arial;Helvetica;Sans-Serif" w:hAnsi="Arial;Helvetica;Sans-Serif"/>
          <w:b/>
          <w:i w:val="false"/>
          <w:caps w:val="false"/>
          <w:smallCaps w:val="false"/>
          <w:color w:val="121212"/>
          <w:sz w:val="20"/>
        </w:rPr>
        <w:t>Time:</w:t>
      </w:r>
      <w:r>
        <w:rPr>
          <w:rFonts w:ascii="Arial;Helvetica;Sans-Serif" w:hAnsi="Arial;Helvetica;Sans-Serif"/>
          <w:b w:val="false"/>
          <w:i w:val="false"/>
          <w:caps w:val="false"/>
          <w:smallCaps w:val="false"/>
          <w:color w:val="121212"/>
          <w:sz w:val="20"/>
        </w:rPr>
        <w:t xml:space="preserve"> 10:30 am ET (9:30 am Lima, Peru time)</w:t>
      </w:r>
    </w:p>
    <w:p>
      <w:pPr>
        <w:pStyle w:val="TextBody"/>
        <w:bidi w:val="0"/>
        <w:spacing w:before="0" w:after="0"/>
        <w:jc w:val="left"/>
        <w:rPr>
          <w:caps w:val="false"/>
          <w:smallCaps w:val="false"/>
          <w:color w:val="121212"/>
        </w:rPr>
      </w:pPr>
      <w:r>
        <w:rPr>
          <w:caps w:val="false"/>
          <w:smallCaps w:val="false"/>
          <w:color w:val="121212"/>
        </w:rPr>
        <w:t> </w:t>
      </w:r>
    </w:p>
    <w:p>
      <w:pPr>
        <w:pStyle w:val="TextBody"/>
        <w:bidi w:val="0"/>
        <w:spacing w:before="0" w:after="0"/>
        <w:jc w:val="both"/>
        <w:rPr>
          <w:rFonts w:ascii="Arial;Helvetica;Sans-Serif" w:hAnsi="Arial;Helvetica;Sans-Serif"/>
          <w:b w:val="false"/>
          <w:i w:val="false"/>
          <w:caps w:val="false"/>
          <w:smallCaps w:val="false"/>
          <w:color w:val="121212"/>
          <w:sz w:val="20"/>
        </w:rPr>
      </w:pPr>
      <w:r>
        <w:rPr>
          <w:rFonts w:ascii="Arial;Helvetica;Sans-Serif" w:hAnsi="Arial;Helvetica;Sans-Serif"/>
          <w:b/>
          <w:i w:val="false"/>
          <w:caps w:val="false"/>
          <w:smallCaps w:val="false"/>
          <w:color w:val="121212"/>
          <w:sz w:val="20"/>
        </w:rPr>
        <w:t xml:space="preserve">Hosts: </w:t>
      </w:r>
      <w:r>
        <w:rPr>
          <w:rFonts w:ascii="Arial;Helvetica;Sans-Serif" w:hAnsi="Arial;Helvetica;Sans-Serif"/>
          <w:b w:val="false"/>
          <w:i w:val="false"/>
          <w:caps w:val="false"/>
          <w:smallCaps w:val="false"/>
          <w:color w:val="121212"/>
          <w:sz w:val="20"/>
        </w:rPr>
        <w:t>Gianfranco Ferrari – Chief Executive Officer, Cesar Rios - Chief Financial Officer, Francesca Raffo – Chief Innovation Officer, Reynaldo Llosa - Chief Risk Officer, Diego Cavero – Head of Universal Banking, Cesar Rivera - Head of Insurance and Pensions, Carlos Sotelo - Mibanco CFO, and the Investor Relations Team.</w:t>
      </w:r>
    </w:p>
    <w:p>
      <w:pPr>
        <w:pStyle w:val="TextBody"/>
        <w:bidi w:val="0"/>
        <w:spacing w:before="0" w:after="0"/>
        <w:jc w:val="both"/>
        <w:rPr>
          <w:caps w:val="false"/>
          <w:smallCaps w:val="false"/>
          <w:color w:val="121212"/>
        </w:rPr>
      </w:pPr>
      <w:r>
        <w:rPr>
          <w:caps w:val="false"/>
          <w:smallCaps w:val="false"/>
          <w:color w:val="121212"/>
        </w:rPr>
        <w:t> </w:t>
      </w:r>
    </w:p>
    <w:p>
      <w:pPr>
        <w:pStyle w:val="TextBody"/>
        <w:bidi w:val="0"/>
        <w:spacing w:before="0" w:after="0"/>
        <w:jc w:val="left"/>
        <w:rPr>
          <w:rFonts w:ascii="Arial;Helvetica;Sans-Serif" w:hAnsi="Arial;Helvetica;Sans-Serif"/>
          <w:b w:val="false"/>
          <w:i w:val="false"/>
          <w:caps w:val="false"/>
          <w:smallCaps w:val="false"/>
          <w:color w:val="121212"/>
          <w:sz w:val="20"/>
        </w:rPr>
      </w:pPr>
      <w:r>
        <w:rPr>
          <w:rFonts w:ascii="Arial;Helvetica;Sans-Serif" w:hAnsi="Arial;Helvetica;Sans-Serif"/>
          <w:b w:val="false"/>
          <w:i w:val="false"/>
          <w:caps w:val="false"/>
          <w:smallCaps w:val="false"/>
          <w:color w:val="121212"/>
          <w:sz w:val="20"/>
        </w:rPr>
        <w:t>To pre-register for the listen-only webcast presentation use the following link:</w:t>
        <w:br/>
      </w:r>
      <w:r>
        <w:rPr>
          <w:rFonts w:ascii="Arial;Helvetica;Sans-Serif" w:hAnsi="Arial;Helvetica;Sans-Serif"/>
          <w:b w:val="false"/>
          <w:i w:val="false"/>
          <w:caps w:val="false"/>
          <w:smallCaps w:val="false"/>
          <w:color w:val="121212"/>
          <w:sz w:val="20"/>
          <w:u w:val="single"/>
        </w:rPr>
        <w:t>https://dpregister.com/DiamondPassRegistration/register?confirmationNumber=10181250&amp;linkSecurityString=fa033bcdf8</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121212"/>
          <w:sz w:val="20"/>
        </w:rPr>
      </w:pPr>
      <w:r>
        <w:rPr>
          <w:rFonts w:ascii="Arial;Helvetica;sans-serif" w:hAnsi="Arial;Helvetica;sans-serif"/>
          <w:b w:val="false"/>
          <w:i w:val="false"/>
          <w:caps w:val="false"/>
          <w:smallCaps w:val="false"/>
          <w:color w:val="121212"/>
          <w:sz w:val="20"/>
        </w:rPr>
        <w:t>Callers who pre-register will be given a conference passcode and unique PIN to gain immediate access to the call and bypass the live operator. Participants may pre-register at any time, including up to and after the call start time.</w:t>
      </w:r>
    </w:p>
    <w:p>
      <w:pPr>
        <w:pStyle w:val="TextBody"/>
        <w:bidi w:val="0"/>
        <w:spacing w:before="0" w:after="0"/>
        <w:jc w:val="left"/>
        <w:rPr>
          <w:caps w:val="false"/>
          <w:smallCaps w:val="false"/>
          <w:color w:val="121212"/>
        </w:rPr>
      </w:pPr>
      <w:r>
        <w:rPr>
          <w:caps w:val="false"/>
          <w:smallCaps w:val="false"/>
          <w:color w:val="121212"/>
        </w:rPr>
        <w:t> </w:t>
      </w:r>
    </w:p>
    <w:p>
      <w:pPr>
        <w:pStyle w:val="TextBody"/>
        <w:bidi w:val="0"/>
        <w:spacing w:before="0" w:after="0"/>
        <w:jc w:val="left"/>
        <w:rPr>
          <w:rFonts w:ascii="Arial;Helvetica;Sans-Serif" w:hAnsi="Arial;Helvetica;Sans-Serif"/>
          <w:b w:val="false"/>
          <w:i w:val="false"/>
          <w:caps w:val="false"/>
          <w:smallCaps w:val="false"/>
          <w:color w:val="121212"/>
          <w:sz w:val="20"/>
        </w:rPr>
      </w:pPr>
      <w:r>
        <w:rPr>
          <w:rFonts w:ascii="Arial;Helvetica;Sans-Serif" w:hAnsi="Arial;Helvetica;Sans-Serif"/>
          <w:b w:val="false"/>
          <w:i w:val="false"/>
          <w:caps w:val="false"/>
          <w:smallCaps w:val="false"/>
          <w:color w:val="121212"/>
          <w:sz w:val="20"/>
        </w:rPr>
        <w:t>Those unable to pre-register may dial in by calling:</w:t>
      </w:r>
    </w:p>
    <w:p>
      <w:pPr>
        <w:pStyle w:val="TextBody"/>
        <w:bidi w:val="0"/>
        <w:spacing w:before="0" w:after="0"/>
        <w:jc w:val="left"/>
        <w:rPr>
          <w:rFonts w:ascii="Arial;Helvetica;Sans-Serif" w:hAnsi="Arial;Helvetica;Sans-Serif"/>
          <w:b w:val="false"/>
          <w:i w:val="false"/>
          <w:caps w:val="false"/>
          <w:smallCaps w:val="false"/>
          <w:color w:val="121212"/>
          <w:sz w:val="20"/>
        </w:rPr>
      </w:pPr>
      <w:r>
        <w:rPr>
          <w:rFonts w:ascii="Arial;Helvetica;Sans-Serif" w:hAnsi="Arial;Helvetica;Sans-Serif"/>
          <w:b w:val="false"/>
          <w:i w:val="false"/>
          <w:caps w:val="false"/>
          <w:smallCaps w:val="false"/>
          <w:color w:val="121212"/>
          <w:sz w:val="20"/>
        </w:rPr>
        <w:t>1 844 435 0321 (U.S. toll free)</w:t>
      </w:r>
    </w:p>
    <w:p>
      <w:pPr>
        <w:pStyle w:val="TextBody"/>
        <w:bidi w:val="0"/>
        <w:spacing w:before="0" w:after="0"/>
        <w:jc w:val="left"/>
        <w:rPr>
          <w:rFonts w:ascii="Arial;Helvetica;Sans-Serif" w:hAnsi="Arial;Helvetica;Sans-Serif"/>
          <w:b w:val="false"/>
          <w:i w:val="false"/>
          <w:caps w:val="false"/>
          <w:smallCaps w:val="false"/>
          <w:color w:val="121212"/>
          <w:sz w:val="20"/>
        </w:rPr>
      </w:pPr>
      <w:r>
        <w:rPr>
          <w:rFonts w:ascii="Arial;Helvetica;Sans-Serif" w:hAnsi="Arial;Helvetica;Sans-Serif"/>
          <w:b w:val="false"/>
          <w:i w:val="false"/>
          <w:caps w:val="false"/>
          <w:smallCaps w:val="false"/>
          <w:color w:val="121212"/>
          <w:sz w:val="20"/>
        </w:rPr>
        <w:t>1 412 317 5615 (International)</w:t>
      </w:r>
    </w:p>
    <w:p>
      <w:pPr>
        <w:pStyle w:val="TextBody"/>
        <w:bidi w:val="0"/>
        <w:spacing w:before="0" w:after="0"/>
        <w:jc w:val="left"/>
        <w:rPr>
          <w:rFonts w:ascii="Arial;Helvetica;Sans-Serif" w:hAnsi="Arial;Helvetica;Sans-Serif"/>
          <w:b/>
          <w:i w:val="false"/>
          <w:caps w:val="false"/>
          <w:smallCaps w:val="false"/>
          <w:color w:val="121212"/>
          <w:sz w:val="20"/>
        </w:rPr>
      </w:pPr>
      <w:r>
        <w:rPr>
          <w:rFonts w:ascii="Arial;Helvetica;Sans-Serif" w:hAnsi="Arial;Helvetica;Sans-Serif"/>
          <w:b/>
          <w:i w:val="false"/>
          <w:caps w:val="false"/>
          <w:smallCaps w:val="false"/>
          <w:color w:val="121212"/>
          <w:sz w:val="20"/>
        </w:rPr>
        <w:t>Conference ID: Credicorp Conference Call</w:t>
      </w:r>
    </w:p>
    <w:p>
      <w:pPr>
        <w:pStyle w:val="TextBody"/>
        <w:bidi w:val="0"/>
        <w:spacing w:before="0" w:after="0"/>
        <w:jc w:val="left"/>
        <w:rPr>
          <w:caps w:val="false"/>
          <w:smallCaps w:val="false"/>
          <w:color w:val="121212"/>
        </w:rPr>
      </w:pPr>
      <w:r>
        <w:rPr>
          <w:caps w:val="false"/>
          <w:smallCaps w:val="false"/>
          <w:color w:val="121212"/>
        </w:rPr>
        <w:t> </w:t>
      </w:r>
    </w:p>
    <w:p>
      <w:pPr>
        <w:pStyle w:val="TextBody"/>
        <w:bidi w:val="0"/>
        <w:spacing w:before="0" w:after="0"/>
        <w:jc w:val="left"/>
        <w:rPr>
          <w:rFonts w:ascii="Arial;Helvetica;Sans-Serif" w:hAnsi="Arial;Helvetica;Sans-Serif"/>
          <w:b w:val="false"/>
          <w:i w:val="false"/>
          <w:caps w:val="false"/>
          <w:smallCaps w:val="false"/>
          <w:color w:val="121212"/>
          <w:sz w:val="20"/>
        </w:rPr>
      </w:pPr>
      <w:r>
        <w:rPr>
          <w:rFonts w:ascii="Arial;Helvetica;Sans-Serif" w:hAnsi="Arial;Helvetica;Sans-Serif"/>
          <w:b w:val="false"/>
          <w:i w:val="false"/>
          <w:caps w:val="false"/>
          <w:smallCaps w:val="false"/>
          <w:color w:val="121212"/>
          <w:sz w:val="20"/>
        </w:rPr>
        <w:t>The webcast will be archived for one year on our investor relations website at:</w:t>
        <w:br/>
      </w:r>
      <w:r>
        <w:rPr>
          <w:rFonts w:ascii="Arial;Helvetica;Sans-Serif" w:hAnsi="Arial;Helvetica;Sans-Serif"/>
          <w:b w:val="false"/>
          <w:i w:val="false"/>
          <w:caps w:val="false"/>
          <w:smallCaps w:val="false"/>
          <w:color w:val="121212"/>
          <w:sz w:val="20"/>
          <w:u w:val="single"/>
        </w:rPr>
        <w:t>https://credicorp.gcs-web.com/events-and-presentations/upcoming-events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121212"/>
          <w:sz w:val="20"/>
        </w:rPr>
      </w:pPr>
      <w:r>
        <w:rPr>
          <w:rFonts w:ascii="Arial;Helvetica;Sans-Serif" w:hAnsi="Arial;Helvetica;Sans-Serif"/>
          <w:b w:val="false"/>
          <w:i w:val="false"/>
          <w:caps w:val="false"/>
          <w:smallCaps w:val="false"/>
          <w:color w:val="121212"/>
          <w:sz w:val="20"/>
        </w:rPr>
        <w:t>For a full version of Credicorp´s Second Quarter 2023 Earnings Release, please visit:</w:t>
        <w:br/>
      </w:r>
      <w:r>
        <w:rPr>
          <w:rFonts w:ascii="Arial;Helvetica;Sans-Serif" w:hAnsi="Arial;Helvetica;Sans-Serif"/>
          <w:b w:val="false"/>
          <w:i w:val="false"/>
          <w:caps w:val="false"/>
          <w:smallCaps w:val="false"/>
          <w:color w:val="121212"/>
          <w:sz w:val="20"/>
          <w:u w:val="single"/>
        </w:rPr>
        <w:t>https://credicorp.gcs-web.com/financial-information/quarterly-results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tbl>
      <w:tblPr>
        <w:tblW w:w="5510" w:type="dxa"/>
        <w:jc w:val="left"/>
        <w:tblInd w:w="0" w:type="dxa"/>
        <w:shd w:fill="29D2C8" w:val="clear"/>
        <w:tblLayout w:type="fixed"/>
        <w:tblCellMar>
          <w:top w:w="0" w:type="dxa"/>
          <w:left w:w="0" w:type="dxa"/>
          <w:bottom w:w="0" w:type="dxa"/>
          <w:right w:w="0" w:type="dxa"/>
        </w:tblCellMar>
      </w:tblPr>
      <w:tblGrid>
        <w:gridCol w:w="5510"/>
      </w:tblGrid>
      <w:tr>
        <w:trPr/>
        <w:tc>
          <w:tcPr>
            <w:tcW w:w="5510"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Summary of Financial Performance and Outlook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3110230" cy="2774950"/>
                <wp:effectExtent l="0" t="0" r="0" b="0"/>
                <wp:wrapSquare wrapText="right"/>
                <wp:docPr id="16" name="Frame1"/>
                <a:graphic xmlns:a="http://schemas.openxmlformats.org/drawingml/2006/main">
                  <a:graphicData uri="http://schemas.microsoft.com/office/word/2010/wordprocessingShape">
                    <wps:wsp>
                      <wps:cNvSpPr txBox="1"/>
                      <wps:spPr>
                        <a:xfrm>
                          <a:off x="0" y="0"/>
                          <a:ext cx="3110230" cy="2774950"/>
                        </a:xfrm>
                        <a:prstGeom prst="rect"/>
                        <a:solidFill>
                          <a:srgbClr val="FFFFFF"/>
                        </a:solidFill>
                      </wps:spPr>
                      <wps:txbx>
                        <w:txbxContent>
                          <w:p>
                            <w:pPr>
                              <w:pStyle w:val="TextBody"/>
                              <w:bidi w:val="0"/>
                              <w:spacing w:before="0" w:after="0"/>
                              <w:jc w:val="left"/>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Loans (in Average Daily Balances)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Structural loans measured in ADB dropped 0.6% QoQ (+0.2% FC neutral) to stand at S/136,426 million (total loans, measured in ADB, stood at S/142,001 million). This decline was driven primarily by Wholesale Banking at BCP and was partially offset by the positive evolution of balances in Retail Banking at BCP and Mibanco.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growth in structural ADBs stood at 5.5%. This evolution was driven primarily by Retail Banking at BCP, specifically by SME-Pyme and Individuals, and, to a lesser extent, by Mibanco.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Government Program (GP) portfolio represented 4% of total loans measured in average daily balances QoQ (3% in quarter-end balances).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Loans (in Average Daily Balances)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Structural loans measured in ADB dropped 0.6% QoQ (+0.2% FC neutral) to stand at S/136,426 million (total loans, measured in ADB, stood at S/142,001 million). This decline was driven primarily by Wholesale Banking at BCP and was partially offset by the positive evolution of balances in Retail Banking at BCP and Mibanco.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growth in structural ADBs stood at 5.5%. This evolution was driven primarily by Retail Banking at BCP, specifically by SME-Pyme and Individuals, and, to a lesser extent, by Mibanco.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Government Program (GP) portfolio represented 4% of total loans measured in average daily balances QoQ (3% in quarter-end balances).</w:t>
                      </w:r>
                    </w:p>
                  </w:txbxContent>
                </v:textbox>
                <w10:wrap type="square" side="right"/>
              </v:rect>
            </w:pict>
          </mc:Fallback>
        </mc:AlternateContent>
      </w:r>
      <w:r>
        <mc:AlternateContent>
          <mc:Choice Requires="wps">
            <w:drawing>
              <wp:anchor behindDoc="0" distT="0" distB="0" distL="0" distR="0" simplePos="0" locked="0" layoutInCell="1" allowOverlap="1" relativeHeight="136">
                <wp:simplePos x="0" y="0"/>
                <wp:positionH relativeFrom="column">
                  <wp:align>right</wp:align>
                </wp:positionH>
                <wp:positionV relativeFrom="line">
                  <wp:posOffset>635</wp:posOffset>
                </wp:positionV>
                <wp:extent cx="3110230" cy="2181225"/>
                <wp:effectExtent l="0" t="0" r="0" b="0"/>
                <wp:wrapSquare wrapText="left"/>
                <wp:docPr id="17" name="Frame2"/>
                <a:graphic xmlns:a="http://schemas.openxmlformats.org/drawingml/2006/main">
                  <a:graphicData uri="http://schemas.microsoft.com/office/word/2010/wordprocessingShape">
                    <wps:wsp>
                      <wps:cNvSpPr txBox="1"/>
                      <wps:spPr>
                        <a:xfrm>
                          <a:off x="0" y="0"/>
                          <a:ext cx="3110230" cy="2181225"/>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drawing>
                                <wp:inline distT="0" distB="0" distL="0" distR="0">
                                  <wp:extent cx="3333750" cy="21812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3333750" cy="218122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1.7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center"/>
                        <w:rPr>
                          <w:caps w:val="false"/>
                          <w:smallCaps w:val="false"/>
                        </w:rPr>
                      </w:pPr>
                      <w:r>
                        <w:rPr>
                          <w:caps w:val="false"/>
                          <w:smallCaps w:val="false"/>
                        </w:rPr>
                        <w:drawing>
                          <wp:inline distT="0" distB="0" distL="0" distR="0">
                            <wp:extent cx="3333750" cy="21812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8"/>
                                    <a:stretch>
                                      <a:fillRect/>
                                    </a:stretch>
                                  </pic:blipFill>
                                  <pic:spPr bwMode="auto">
                                    <a:xfrm>
                                      <a:off x="0" y="0"/>
                                      <a:ext cx="3333750" cy="2181225"/>
                                    </a:xfrm>
                                    <a:prstGeom prst="rect">
                                      <a:avLst/>
                                    </a:prstGeom>
                                  </pic:spPr>
                                </pic:pic>
                              </a:graphicData>
                            </a:graphic>
                          </wp:inline>
                        </w:drawing>
                      </w:r>
                    </w:p>
                  </w:txbxContent>
                </v:textbox>
                <w10:wrap type="square" side="left"/>
              </v:rect>
            </w:pict>
          </mc:Fallback>
        </mc:AlternateConten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138">
                <wp:simplePos x="0" y="0"/>
                <wp:positionH relativeFrom="column">
                  <wp:align>right</wp:align>
                </wp:positionH>
                <wp:positionV relativeFrom="line">
                  <wp:posOffset>635</wp:posOffset>
                </wp:positionV>
                <wp:extent cx="3110230" cy="2219325"/>
                <wp:effectExtent l="0" t="0" r="0" b="0"/>
                <wp:wrapSquare wrapText="left"/>
                <wp:docPr id="20" name="Frame4"/>
                <a:graphic xmlns:a="http://schemas.openxmlformats.org/drawingml/2006/main">
                  <a:graphicData uri="http://schemas.microsoft.com/office/word/2010/wordprocessingShape">
                    <wps:wsp>
                      <wps:cNvSpPr txBox="1"/>
                      <wps:spPr>
                        <a:xfrm>
                          <a:off x="0" y="0"/>
                          <a:ext cx="3110230" cy="2219325"/>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drawing>
                                <wp:inline distT="0" distB="0" distL="0" distR="0">
                                  <wp:extent cx="3333750" cy="22193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9"/>
                                          <a:stretch>
                                            <a:fillRect/>
                                          </a:stretch>
                                        </pic:blipFill>
                                        <pic:spPr bwMode="auto">
                                          <a:xfrm>
                                            <a:off x="0" y="0"/>
                                            <a:ext cx="3333750" cy="221932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4.7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center"/>
                        <w:rPr>
                          <w:caps w:val="false"/>
                          <w:smallCaps w:val="false"/>
                        </w:rPr>
                      </w:pPr>
                      <w:r>
                        <w:rPr>
                          <w:caps w:val="false"/>
                          <w:smallCaps w:val="false"/>
                        </w:rPr>
                        <w:drawing>
                          <wp:inline distT="0" distB="0" distL="0" distR="0">
                            <wp:extent cx="3333750" cy="22193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20"/>
                                    <a:stretch>
                                      <a:fillRect/>
                                    </a:stretch>
                                  </pic:blipFill>
                                  <pic:spPr bwMode="auto">
                                    <a:xfrm>
                                      <a:off x="0" y="0"/>
                                      <a:ext cx="3333750" cy="221932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3110230" cy="2161540"/>
                <wp:effectExtent l="0" t="0" r="0" b="0"/>
                <wp:wrapSquare wrapText="right"/>
                <wp:docPr id="23" name="Frame3"/>
                <a:graphic xmlns:a="http://schemas.openxmlformats.org/drawingml/2006/main">
                  <a:graphicData uri="http://schemas.microsoft.com/office/word/2010/wordprocessingShape">
                    <wps:wsp>
                      <wps:cNvSpPr txBox="1"/>
                      <wps:spPr>
                        <a:xfrm>
                          <a:off x="0" y="0"/>
                          <a:ext cx="3110230" cy="2161540"/>
                        </a:xfrm>
                        <a:prstGeom prst="rect"/>
                        <a:solidFill>
                          <a:srgbClr val="FFFFFF"/>
                        </a:solidFill>
                      </wps:spPr>
                      <wps:txbx>
                        <w:txbxContent>
                          <w:p>
                            <w:pPr>
                              <w:pStyle w:val="TextBody"/>
                              <w:bidi w:val="0"/>
                              <w:spacing w:before="0" w:after="0"/>
                              <w:jc w:val="left"/>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Deposits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deposit base measured in quarter-end balances dropped 3.5% QoQ (-1.8% FX Neutral). This reduction was mainly attributable to a drop in Demand deposits and Savings deposits, which reflects a decrease in liquidity across the system and fund migration to Time deposits.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YoY comparison, the deposit base fell 2.7% (-0.2% FX Neutral). Low-cost deposits, which represented 65.1% of our total deposit base at quarter-end, continue to play a preponderant role in our funding mix.</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0.2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left"/>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Deposits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deposit base measured in quarter-end balances dropped 3.5% QoQ (-1.8% FX Neutral). This reduction was mainly attributable to a drop in Demand deposits and Savings deposits, which reflects a decrease in liquidity across the system and fund migration to Time deposits.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YoY comparison, the deposit base fell 2.7% (-0.2% FX Neutral). Low-cost deposits, which represented 65.1% of our total deposit base at quarter-end, continue to play a preponderant role in our funding mix.</w:t>
                      </w:r>
                    </w:p>
                  </w:txbxContent>
                </v:textbox>
                <w10:wrap type="square" side="right"/>
              </v:rect>
            </w:pict>
          </mc:Fallback>
        </mc:AlternateContent>
      </w:r>
    </w:p>
    <w:p>
      <w:pPr>
        <w:pStyle w:val="TextBody"/>
        <w:bidi w:val="0"/>
        <w:spacing w:before="0" w:after="0"/>
        <w:jc w:val="left"/>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Net interest income (NII) and Margin (NIM)</w:t>
      </w:r>
    </w:p>
    <w:p>
      <w:pPr>
        <w:pStyle w:val="TextBody"/>
        <w:bidi w:val="0"/>
        <w:spacing w:before="0" w:after="0"/>
        <w:jc w:val="left"/>
        <w:rPr>
          <w:caps w:val="false"/>
          <w:smallCaps w:val="false"/>
          <w:color w:val="2AD2C8"/>
        </w:rPr>
      </w:pPr>
      <w:r>
        <w:rPr>
          <w:caps w:val="false"/>
          <w:smallCaps w:val="false"/>
          <w:color w:val="2AD2C8"/>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10">
                <wp:simplePos x="0" y="0"/>
                <wp:positionH relativeFrom="column">
                  <wp:align>right</wp:align>
                </wp:positionH>
                <wp:positionV relativeFrom="line">
                  <wp:posOffset>635</wp:posOffset>
                </wp:positionV>
                <wp:extent cx="3110230" cy="1666875"/>
                <wp:effectExtent l="0" t="0" r="0" b="0"/>
                <wp:wrapSquare wrapText="left"/>
                <wp:docPr id="24" name="Frame6"/>
                <a:graphic xmlns:a="http://schemas.openxmlformats.org/drawingml/2006/main">
                  <a:graphicData uri="http://schemas.microsoft.com/office/word/2010/wordprocessingShape">
                    <wps:wsp>
                      <wps:cNvSpPr txBox="1"/>
                      <wps:spPr>
                        <a:xfrm>
                          <a:off x="0" y="0"/>
                          <a:ext cx="3110230" cy="1666875"/>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drawing>
                                <wp:inline distT="0" distB="0" distL="0" distR="0">
                                  <wp:extent cx="3333750" cy="1666875"/>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21"/>
                                          <a:stretch>
                                            <a:fillRect/>
                                          </a:stretch>
                                        </pic:blipFill>
                                        <pic:spPr bwMode="auto">
                                          <a:xfrm>
                                            <a:off x="0" y="0"/>
                                            <a:ext cx="3333750" cy="166687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1.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center"/>
                        <w:rPr>
                          <w:caps w:val="false"/>
                          <w:smallCaps w:val="false"/>
                        </w:rPr>
                      </w:pPr>
                      <w:r>
                        <w:rPr>
                          <w:caps w:val="false"/>
                          <w:smallCaps w:val="false"/>
                        </w:rPr>
                        <w:drawing>
                          <wp:inline distT="0" distB="0" distL="0" distR="0">
                            <wp:extent cx="3333750" cy="1666875"/>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22"/>
                                    <a:stretch>
                                      <a:fillRect/>
                                    </a:stretch>
                                  </pic:blipFill>
                                  <pic:spPr bwMode="auto">
                                    <a:xfrm>
                                      <a:off x="0" y="0"/>
                                      <a:ext cx="3333750" cy="166687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3110230" cy="2307590"/>
                <wp:effectExtent l="0" t="0" r="0" b="0"/>
                <wp:wrapSquare wrapText="right"/>
                <wp:docPr id="27" name="Frame5"/>
                <a:graphic xmlns:a="http://schemas.openxmlformats.org/drawingml/2006/main">
                  <a:graphicData uri="http://schemas.microsoft.com/office/word/2010/wordprocessingShape">
                    <wps:wsp>
                      <wps:cNvSpPr txBox="1"/>
                      <wps:spPr>
                        <a:xfrm>
                          <a:off x="0" y="0"/>
                          <a:ext cx="3110230" cy="2307590"/>
                        </a:xfrm>
                        <a:prstGeom prst="rect"/>
                        <a:solidFill>
                          <a:srgbClr val="FFFFFF"/>
                        </a:solidFill>
                      </wps:spPr>
                      <wps:txb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QoQ, NII rose 2.3% to stand at S/3,204 million. This evolution was fueled by the on-going shift towards higher-margin retail loans and the positive impact that higher rates had on investments. This increase was partially compensated by an uptick in the interest expense due to the aforementioned deposits dynamics. In this context, growth in the IEA yield outpaced the increase in funding cost, which led NIM to stand at 6.0%.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NII rose 21.5%. This evolution was primarily driven by the same factors as those seen QoQ and by positive rate dynamics in both currencies.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For further details on the new NIM calculation due to IFRS17, please refer to Annex 12.1.8</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QoQ, NII rose 2.3% to stand at S/3,204 million. This evolution was fueled by the on-going shift towards higher-margin retail loans and the positive impact that higher rates had on investments. This increase was partially compensated by an uptick in the interest expense due to the aforementioned deposits dynamics. In this context, growth in the IEA yield outpaced the increase in funding cost, which led NIM to stand at 6.0%.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NII rose 21.5%. This evolution was primarily driven by the same factors as those seen QoQ and by positive rate dynamics in both currencies.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For further details on the new NIM calculation due to IFRS17, please refer to Annex 12.1.8</w:t>
                      </w:r>
                    </w:p>
                  </w:txbxContent>
                </v:textbox>
                <w10:wrap type="square" side="right"/>
              </v:rect>
            </w:pict>
          </mc:Fallback>
        </mc:AlternateConten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3"/>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tbl>
      <w:tblPr>
        <w:tblW w:w="5510" w:type="dxa"/>
        <w:jc w:val="left"/>
        <w:tblInd w:w="0" w:type="dxa"/>
        <w:shd w:fill="29D2C8" w:val="clear"/>
        <w:tblLayout w:type="fixed"/>
        <w:tblCellMar>
          <w:top w:w="0" w:type="dxa"/>
          <w:left w:w="0" w:type="dxa"/>
          <w:bottom w:w="0" w:type="dxa"/>
          <w:right w:w="0" w:type="dxa"/>
        </w:tblCellMar>
      </w:tblPr>
      <w:tblGrid>
        <w:gridCol w:w="5510"/>
      </w:tblGrid>
      <w:tr>
        <w:trPr/>
        <w:tc>
          <w:tcPr>
            <w:tcW w:w="5510"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Summary of Financial Performance and Outlook</w:t>
            </w:r>
          </w:p>
        </w:tc>
      </w:tr>
    </w:tbl>
    <w:p>
      <w:pPr>
        <w:pStyle w:val="TextBody"/>
        <w:bidi w:val="0"/>
        <w:spacing w:before="0" w:after="0"/>
        <w:jc w:val="left"/>
        <w:rPr>
          <w:caps w:val="false"/>
          <w:smallCaps w:val="false"/>
          <w:color w:val="2AD2C8"/>
        </w:rPr>
      </w:pPr>
      <w:r>
        <w:rPr>
          <w:caps w:val="false"/>
          <w:smallCaps w:val="false"/>
          <w:color w:val="2AD2C8"/>
        </w:rPr>
        <w:t> </w:t>
      </w:r>
    </w:p>
    <w:p>
      <w:pPr>
        <w:pStyle w:val="TextBody"/>
        <w:bidi w:val="0"/>
        <w:spacing w:before="0" w:after="0"/>
        <w:jc w:val="left"/>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Structural Portfolio Quality and Cost of Risk (CofR)</w:t>
      </w:r>
    </w:p>
    <w:p>
      <w:pPr>
        <w:pStyle w:val="TextBody"/>
        <w:bidi w:val="0"/>
        <w:spacing w:before="0" w:after="0"/>
        <w:jc w:val="left"/>
        <w:rPr>
          <w:caps w:val="false"/>
          <w:smallCaps w:val="false"/>
          <w:color w:val="2AD2C8"/>
        </w:rPr>
      </w:pPr>
      <w:r>
        <w:rPr>
          <w:caps w:val="false"/>
          <w:smallCaps w:val="false"/>
          <w:color w:val="2AD2C8"/>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96">
                <wp:simplePos x="0" y="0"/>
                <wp:positionH relativeFrom="column">
                  <wp:align>right</wp:align>
                </wp:positionH>
                <wp:positionV relativeFrom="line">
                  <wp:posOffset>635</wp:posOffset>
                </wp:positionV>
                <wp:extent cx="3110230" cy="2038350"/>
                <wp:effectExtent l="0" t="0" r="0" b="0"/>
                <wp:wrapSquare wrapText="left"/>
                <wp:docPr id="29" name="Frame8"/>
                <a:graphic xmlns:a="http://schemas.openxmlformats.org/drawingml/2006/main">
                  <a:graphicData uri="http://schemas.microsoft.com/office/word/2010/wordprocessingShape">
                    <wps:wsp>
                      <wps:cNvSpPr txBox="1"/>
                      <wps:spPr>
                        <a:xfrm>
                          <a:off x="0" y="0"/>
                          <a:ext cx="3110230" cy="2038350"/>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drawing>
                                <wp:inline distT="0" distB="0" distL="0" distR="0">
                                  <wp:extent cx="3333750" cy="203835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4"/>
                                          <a:stretch>
                                            <a:fillRect/>
                                          </a:stretch>
                                        </pic:blipFill>
                                        <pic:spPr bwMode="auto">
                                          <a:xfrm>
                                            <a:off x="0" y="0"/>
                                            <a:ext cx="3333750" cy="203835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center"/>
                        <w:rPr>
                          <w:caps w:val="false"/>
                          <w:smallCaps w:val="false"/>
                        </w:rPr>
                      </w:pPr>
                      <w:r>
                        <w:rPr>
                          <w:caps w:val="false"/>
                          <w:smallCaps w:val="false"/>
                        </w:rPr>
                        <w:drawing>
                          <wp:inline distT="0" distB="0" distL="0" distR="0">
                            <wp:extent cx="3333750" cy="203835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5"/>
                                    <a:stretch>
                                      <a:fillRect/>
                                    </a:stretch>
                                  </pic:blipFill>
                                  <pic:spPr bwMode="auto">
                                    <a:xfrm>
                                      <a:off x="0" y="0"/>
                                      <a:ext cx="3333750" cy="203835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3110230" cy="2512060"/>
                <wp:effectExtent l="0" t="0" r="0" b="0"/>
                <wp:wrapSquare wrapText="right"/>
                <wp:docPr id="32" name="Frame7"/>
                <a:graphic xmlns:a="http://schemas.openxmlformats.org/drawingml/2006/main">
                  <a:graphicData uri="http://schemas.microsoft.com/office/word/2010/wordprocessingShape">
                    <wps:wsp>
                      <wps:cNvSpPr txBox="1"/>
                      <wps:spPr>
                        <a:xfrm>
                          <a:off x="0" y="0"/>
                          <a:ext cx="3110230" cy="2512060"/>
                        </a:xfrm>
                        <a:prstGeom prst="rect"/>
                        <a:solidFill>
                          <a:srgbClr val="FFFFFF"/>
                        </a:solidFill>
                      </wps:spPr>
                      <wps:txb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social unrest and climate events of the first quarter of the year, coupled with a tough economic environment characterized by a contraction in internal demand, high inflation and high interest rates have notably impacted clients’ payment performance and therefore, portfolio quality.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QoQ, the Structural NPL volume rose 2.7%. This growth was primarily driven by: (i) Mibanco, which was impacted by the expiration of loans reprogrammed in 1Q23; (ii) SME-Pyme, due to a deterioration in payment behavior in lower-ticket (&lt;than 90 thousand) segments; and (iii) Consumer Loans and Credit Cards, primarily in vulnerable subsegments that registered over- indebtedness. The aforementioned was partially offset by a sale of a delinquent portfolio in the energy sector in Wholesale banking.</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social unrest and climate events of the first quarter of the year, coupled with a tough economic environment characterized by a contraction in internal demand, high inflation and high interest rates have notably impacted clients’ payment performance and therefore, portfolio quality.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QoQ, the Structural NPL volume rose 2.7%. This growth was primarily driven by: (i) Mibanco, which was impacted by the expiration of loans reprogrammed in 1Q23; (ii) SME-Pyme, due to a deterioration in payment behavior in lower-ticket (&lt;than 90 thousand) segments; and (iii) Consumer Loans and Credit Cards, primarily in vulnerable subsegments that registered over- indebtedness. The aforementioned was partially offset by a sale of a delinquent portfolio in the energy sector in Wholesale banking.</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98">
                <wp:simplePos x="0" y="0"/>
                <wp:positionH relativeFrom="column">
                  <wp:align>right</wp:align>
                </wp:positionH>
                <wp:positionV relativeFrom="line">
                  <wp:posOffset>635</wp:posOffset>
                </wp:positionV>
                <wp:extent cx="3110230" cy="2318385"/>
                <wp:effectExtent l="0" t="0" r="0" b="0"/>
                <wp:wrapSquare wrapText="left"/>
                <wp:docPr id="33" name="Frame10"/>
                <a:graphic xmlns:a="http://schemas.openxmlformats.org/drawingml/2006/main">
                  <a:graphicData uri="http://schemas.microsoft.com/office/word/2010/wordprocessingShape">
                    <wps:wsp>
                      <wps:cNvSpPr txBox="1"/>
                      <wps:spPr>
                        <a:xfrm>
                          <a:off x="0" y="0"/>
                          <a:ext cx="3110230" cy="2318385"/>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2143125"/>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6"/>
                                          <a:stretch>
                                            <a:fillRect/>
                                          </a:stretch>
                                        </pic:blipFill>
                                        <pic:spPr bwMode="auto">
                                          <a:xfrm>
                                            <a:off x="0" y="0"/>
                                            <a:ext cx="3333750" cy="214312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2.5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2143125"/>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7"/>
                                    <a:stretch>
                                      <a:fillRect/>
                                    </a:stretch>
                                  </pic:blipFill>
                                  <pic:spPr bwMode="auto">
                                    <a:xfrm>
                                      <a:off x="0" y="0"/>
                                      <a:ext cx="3333750" cy="214312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3110230" cy="3300730"/>
                <wp:effectExtent l="0" t="0" r="0" b="0"/>
                <wp:wrapSquare wrapText="right"/>
                <wp:docPr id="36" name="Frame9"/>
                <a:graphic xmlns:a="http://schemas.openxmlformats.org/drawingml/2006/main">
                  <a:graphicData uri="http://schemas.microsoft.com/office/word/2010/wordprocessingShape">
                    <wps:wsp>
                      <wps:cNvSpPr txBox="1"/>
                      <wps:spPr>
                        <a:xfrm>
                          <a:off x="0" y="0"/>
                          <a:ext cx="3110230" cy="3300730"/>
                        </a:xfrm>
                        <a:prstGeom prst="rect"/>
                        <a:solidFill>
                          <a:srgbClr val="FFFFFF"/>
                        </a:solidFill>
                      </wps:spPr>
                      <wps:txb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the Structural NPL portfolio volume rose 6.1% due to growth in refinanced loans for the real estate and tourism sectors in Wholesale Banking. The factors mentioned in the QoQ dynamic also contributed to this result.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this context, the Structural NPL ratio increased at 5.3% and the Structural NPL Coverage ratio stood at 107.7%.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Structural provisions remain at historically high levels in Consumer Loans and Credit Cards at BCP, as well as at Mibanco due to the impacts of the macroeconomic context. At BCP, the most affected portfolio corresponds to the vulnerable subsegments since they have greater leverage system wide and less job stability, while in Mibanco, the clients were impacted by the events of the first quarter. SMEs led QoQ growth due to lower payment capacity in higher risk segments and high yield subsegments.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this context, Structural Cost of Risk stood at 2.3%.</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9.9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the Structural NPL portfolio volume rose 6.1% due to growth in refinanced loans for the real estate and tourism sectors in Wholesale Banking. The factors mentioned in the QoQ dynamic also contributed to this result.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this context, the Structural NPL ratio increased at 5.3% and the Structural NPL Coverage ratio stood at 107.7%.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Structural provisions remain at historically high levels in Consumer Loans and Credit Cards at BCP, as well as at Mibanco due to the impacts of the macroeconomic context. At BCP, the most affected portfolio corresponds to the vulnerable subsegments since they have greater leverage system wide and less job stability, while in Mibanco, the clients were impacted by the events of the first quarter. SMEs led QoQ growth due to lower payment capacity in higher risk segments and high yield subsegments.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this context, Structural Cost of Risk stood at 2.3%.</w:t>
                      </w:r>
                    </w:p>
                  </w:txbxContent>
                </v:textbox>
                <w10:wrap type="square" side="right"/>
              </v:rect>
            </w:pict>
          </mc:Fallback>
        </mc:AlternateConten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2" descr=""/>
                          <pic:cNvPicPr>
                            <a:picLocks noChangeAspect="1" noChangeArrowheads="1"/>
                          </pic:cNvPicPr>
                        </pic:nvPicPr>
                        <pic:blipFill>
                          <a:blip r:embed="rId2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tbl>
      <w:tblPr>
        <w:tblW w:w="5510" w:type="dxa"/>
        <w:jc w:val="left"/>
        <w:tblInd w:w="0" w:type="dxa"/>
        <w:shd w:fill="29D2C8" w:val="clear"/>
        <w:tblLayout w:type="fixed"/>
        <w:tblCellMar>
          <w:top w:w="0" w:type="dxa"/>
          <w:left w:w="0" w:type="dxa"/>
          <w:bottom w:w="0" w:type="dxa"/>
          <w:right w:w="0" w:type="dxa"/>
        </w:tblCellMar>
      </w:tblPr>
      <w:tblGrid>
        <w:gridCol w:w="5510"/>
      </w:tblGrid>
      <w:tr>
        <w:trPr/>
        <w:tc>
          <w:tcPr>
            <w:tcW w:w="5510"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Summary of Financial Performance and Outlook</w:t>
            </w:r>
          </w:p>
        </w:tc>
      </w:tr>
    </w:tbl>
    <w:p>
      <w:pPr>
        <w:pStyle w:val="TextBody"/>
        <w:bidi w:val="0"/>
        <w:spacing w:before="0" w:after="0"/>
        <w:jc w:val="both"/>
        <w:rPr>
          <w:caps w:val="false"/>
          <w:smallCaps w:val="false"/>
          <w:color w:val="2AD2C8"/>
        </w:rPr>
      </w:pPr>
      <w:r>
        <w:rPr>
          <w:caps w:val="false"/>
          <w:smallCaps w:val="false"/>
          <w:color w:val="2AD2C8"/>
        </w:rPr>
        <w:t> </w:t>
      </w:r>
    </w:p>
    <w:p>
      <w:pPr>
        <w:pStyle w:val="TextBody"/>
        <w:bidi w:val="0"/>
        <w:spacing w:before="0" w:after="0"/>
        <w:jc w:val="both"/>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Other income</w:t>
      </w:r>
    </w:p>
    <w:p>
      <w:pPr>
        <w:pStyle w:val="TextBody"/>
        <w:bidi w:val="0"/>
        <w:spacing w:before="0" w:after="0"/>
        <w:jc w:val="both"/>
        <w:rPr>
          <w:caps w:val="false"/>
          <w:smallCaps w:val="false"/>
          <w:color w:val="2AD2C8"/>
        </w:rPr>
      </w:pPr>
      <w:r>
        <w:rPr>
          <w:caps w:val="false"/>
          <w:smallCaps w:val="false"/>
          <w:color w:val="2AD2C8"/>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01">
                <wp:simplePos x="0" y="0"/>
                <wp:positionH relativeFrom="column">
                  <wp:align>right</wp:align>
                </wp:positionH>
                <wp:positionV relativeFrom="line">
                  <wp:posOffset>635</wp:posOffset>
                </wp:positionV>
                <wp:extent cx="3110230" cy="2476500"/>
                <wp:effectExtent l="0" t="0" r="0" b="0"/>
                <wp:wrapSquare wrapText="left"/>
                <wp:docPr id="38" name="Frame12"/>
                <a:graphic xmlns:a="http://schemas.openxmlformats.org/drawingml/2006/main">
                  <a:graphicData uri="http://schemas.microsoft.com/office/word/2010/wordprocessingShape">
                    <wps:wsp>
                      <wps:cNvSpPr txBox="1"/>
                      <wps:spPr>
                        <a:xfrm>
                          <a:off x="0" y="0"/>
                          <a:ext cx="3110230" cy="2476500"/>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drawing>
                                <wp:inline distT="0" distB="0" distL="0" distR="0">
                                  <wp:extent cx="3333750" cy="247650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9"/>
                                          <a:stretch>
                                            <a:fillRect/>
                                          </a:stretch>
                                        </pic:blipFill>
                                        <pic:spPr bwMode="auto">
                                          <a:xfrm>
                                            <a:off x="0" y="0"/>
                                            <a:ext cx="3333750" cy="247650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center"/>
                        <w:rPr>
                          <w:caps w:val="false"/>
                          <w:smallCaps w:val="false"/>
                        </w:rPr>
                      </w:pPr>
                      <w:r>
                        <w:rPr>
                          <w:caps w:val="false"/>
                          <w:smallCaps w:val="false"/>
                        </w:rPr>
                        <w:drawing>
                          <wp:inline distT="0" distB="0" distL="0" distR="0">
                            <wp:extent cx="3333750" cy="24765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30"/>
                                    <a:stretch>
                                      <a:fillRect/>
                                    </a:stretch>
                                  </pic:blipFill>
                                  <pic:spPr bwMode="auto">
                                    <a:xfrm>
                                      <a:off x="0" y="0"/>
                                      <a:ext cx="3333750" cy="247650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3110230" cy="3505200"/>
                <wp:effectExtent l="0" t="0" r="0" b="0"/>
                <wp:wrapSquare wrapText="right"/>
                <wp:docPr id="41" name="Frame11"/>
                <a:graphic xmlns:a="http://schemas.openxmlformats.org/drawingml/2006/main">
                  <a:graphicData uri="http://schemas.microsoft.com/office/word/2010/wordprocessingShape">
                    <wps:wsp>
                      <wps:cNvSpPr txBox="1"/>
                      <wps:spPr>
                        <a:xfrm>
                          <a:off x="0" y="0"/>
                          <a:ext cx="3110230" cy="3505200"/>
                        </a:xfrm>
                        <a:prstGeom prst="rect"/>
                        <a:solidFill>
                          <a:srgbClr val="FFFFFF"/>
                        </a:solidFill>
                      </wps:spPr>
                      <wps:txb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 analyzing Other Core income, it is important to note that Fee income and Gains on FX transactions have been affected by our strategy at BCP Bolivia, where we have adjusted our fee framework for foreign transfers to offset the impact of the drop in FX transactions due to restrictions on foreign currency availability. Excluding this impact, Fee income increased 4.1% QoQ through higher transactions while Gains on FX transactions remained flat.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excluding the aforementioned impact, Other Core Income declined 2.3% due to lower fees in the Pensions business and the elimination of intercity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Non-core Income* rose 29.2% QoQ mainly by Universal Banking, due to the recognition of fees from previous periods, and to the sale of a delinquent portfolio in Wholesale Banking. YoY growth was driven by the aforementioned QoQ Universal Banking dynamics and positive results from trading strategies in Credicorp Capital Colombia and ASB.</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For more details regarding the content of this grouping, please refer to Annex 12.1.8</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 analyzing Other Core income, it is important to note that Fee income and Gains on FX transactions have been affected by our strategy at BCP Bolivia, where we have adjusted our fee framework for foreign transfers to offset the impact of the drop in FX transactions due to restrictions on foreign currency availability. Excluding this impact, Fee income increased 4.1% QoQ through higher transactions while Gains on FX transactions remained flat.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excluding the aforementioned impact, Other Core Income declined 2.3% due to lower fees in the Pensions business and the elimination of intercity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Non-core Income* rose 29.2% QoQ mainly by Universal Banking, due to the recognition of fees from previous periods, and to the sale of a delinquent portfolio in Wholesale Banking. YoY growth was driven by the aforementioned QoQ Universal Banking dynamics and positive results from trading strategies in Credicorp Capital Colombia and ASB.</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For more details regarding the content of this grouping, please refer to Annex 12.1.8</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03">
                <wp:simplePos x="0" y="0"/>
                <wp:positionH relativeFrom="column">
                  <wp:align>right</wp:align>
                </wp:positionH>
                <wp:positionV relativeFrom="line">
                  <wp:posOffset>635</wp:posOffset>
                </wp:positionV>
                <wp:extent cx="3110230" cy="2962275"/>
                <wp:effectExtent l="0" t="0" r="0" b="0"/>
                <wp:wrapSquare wrapText="left"/>
                <wp:docPr id="42" name="Frame14"/>
                <a:graphic xmlns:a="http://schemas.openxmlformats.org/drawingml/2006/main">
                  <a:graphicData uri="http://schemas.microsoft.com/office/word/2010/wordprocessingShape">
                    <wps:wsp>
                      <wps:cNvSpPr txBox="1"/>
                      <wps:spPr>
                        <a:xfrm>
                          <a:off x="0" y="0"/>
                          <a:ext cx="3110230" cy="2962275"/>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drawing>
                                <wp:inline distT="0" distB="0" distL="0" distR="0">
                                  <wp:extent cx="3333750" cy="2962275"/>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31"/>
                                          <a:stretch>
                                            <a:fillRect/>
                                          </a:stretch>
                                        </pic:blipFill>
                                        <pic:spPr bwMode="auto">
                                          <a:xfrm>
                                            <a:off x="0" y="0"/>
                                            <a:ext cx="3333750" cy="296227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3.2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center"/>
                        <w:rPr>
                          <w:caps w:val="false"/>
                          <w:smallCaps w:val="false"/>
                        </w:rPr>
                      </w:pPr>
                      <w:r>
                        <w:rPr>
                          <w:caps w:val="false"/>
                          <w:smallCaps w:val="false"/>
                        </w:rPr>
                        <w:drawing>
                          <wp:inline distT="0" distB="0" distL="0" distR="0">
                            <wp:extent cx="3333750" cy="2962275"/>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32"/>
                                    <a:stretch>
                                      <a:fillRect/>
                                    </a:stretch>
                                  </pic:blipFill>
                                  <pic:spPr bwMode="auto">
                                    <a:xfrm>
                                      <a:off x="0" y="0"/>
                                      <a:ext cx="3333750" cy="296227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3110230" cy="1781810"/>
                <wp:effectExtent l="0" t="0" r="0" b="0"/>
                <wp:wrapSquare wrapText="right"/>
                <wp:docPr id="45" name="Frame13"/>
                <a:graphic xmlns:a="http://schemas.openxmlformats.org/drawingml/2006/main">
                  <a:graphicData uri="http://schemas.microsoft.com/office/word/2010/wordprocessingShape">
                    <wps:wsp>
                      <wps:cNvSpPr txBox="1"/>
                      <wps:spPr>
                        <a:xfrm>
                          <a:off x="0" y="0"/>
                          <a:ext cx="3110230" cy="1781810"/>
                        </a:xfrm>
                        <a:prstGeom prst="rect"/>
                        <a:solidFill>
                          <a:srgbClr val="FFFFFF"/>
                        </a:solidFill>
                      </wps:spPr>
                      <wps:txbx>
                        <w:txbxContent>
                          <w:p>
                            <w:pPr>
                              <w:pStyle w:val="TextBody"/>
                              <w:bidi w:val="0"/>
                              <w:spacing w:before="0" w:after="0"/>
                              <w:jc w:val="both"/>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Insurance Underwriting Result</w:t>
                            </w:r>
                          </w:p>
                          <w:p>
                            <w:pPr>
                              <w:pStyle w:val="TextBody"/>
                              <w:bidi w:val="0"/>
                              <w:spacing w:before="0" w:after="0"/>
                              <w:jc w:val="both"/>
                              <w:rPr>
                                <w:caps w:val="false"/>
                                <w:smallCaps w:val="false"/>
                                <w:color w:val="2AD2C8"/>
                              </w:rPr>
                            </w:pPr>
                            <w:r>
                              <w:rPr>
                                <w:caps w:val="false"/>
                                <w:smallCaps w:val="false"/>
                                <w:color w:val="2AD2C8"/>
                              </w:rPr>
                              <w:t> </w:t>
                            </w:r>
                          </w:p>
                          <w:p>
                            <w:pPr>
                              <w:pStyle w:val="TextBody"/>
                              <w:bidi w:val="0"/>
                              <w:spacing w:lineRule="auto" w:line="240"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Insurance Underwriting* Result rose 0.1% QoQ, where an uptick in P &amp; C’s result was offset by a drop in results in the Life business. YoY, the result was up 52.7% mainly due to Life business which registered growth in income from insurance services in the Pensions, Group Life and Credit Life segments in particular.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For more details regarding the new composition of Insurance Underwriting Result to reflect IFRS17, please refer to Annex 12.1.8</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0.3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both"/>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Insurance Underwriting Result</w:t>
                      </w:r>
                    </w:p>
                    <w:p>
                      <w:pPr>
                        <w:pStyle w:val="TextBody"/>
                        <w:bidi w:val="0"/>
                        <w:spacing w:before="0" w:after="0"/>
                        <w:jc w:val="both"/>
                        <w:rPr>
                          <w:caps w:val="false"/>
                          <w:smallCaps w:val="false"/>
                          <w:color w:val="2AD2C8"/>
                        </w:rPr>
                      </w:pPr>
                      <w:r>
                        <w:rPr>
                          <w:caps w:val="false"/>
                          <w:smallCaps w:val="false"/>
                          <w:color w:val="2AD2C8"/>
                        </w:rPr>
                        <w:t> </w:t>
                      </w:r>
                    </w:p>
                    <w:p>
                      <w:pPr>
                        <w:pStyle w:val="TextBody"/>
                        <w:bidi w:val="0"/>
                        <w:spacing w:lineRule="auto" w:line="240"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Insurance Underwriting* Result rose 0.1% QoQ, where an uptick in P &amp; C’s result was offset by a drop in results in the Life business. YoY, the result was up 52.7% mainly due to Life business which registered growth in income from insurance services in the Pensions, Group Life and Credit Life segments in particular.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For more details regarding the new composition of Insurance Underwriting Result to reflect IFRS17, please refer to Annex 12.1.8</w:t>
                      </w:r>
                    </w:p>
                  </w:txbxContent>
                </v:textbox>
                <w10:wrap type="square" side="right"/>
              </v:rect>
            </w:pict>
          </mc:Fallback>
        </mc:AlternateConten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5" descr=""/>
                          <pic:cNvPicPr>
                            <a:picLocks noChangeAspect="1" noChangeArrowheads="1"/>
                          </pic:cNvPicPr>
                        </pic:nvPicPr>
                        <pic:blipFill>
                          <a:blip r:embed="rId33"/>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tbl>
      <w:tblPr>
        <w:tblW w:w="5510" w:type="dxa"/>
        <w:jc w:val="left"/>
        <w:tblInd w:w="0" w:type="dxa"/>
        <w:shd w:fill="29D2C8" w:val="clear"/>
        <w:tblLayout w:type="fixed"/>
        <w:tblCellMar>
          <w:top w:w="0" w:type="dxa"/>
          <w:left w:w="0" w:type="dxa"/>
          <w:bottom w:w="0" w:type="dxa"/>
          <w:right w:w="0" w:type="dxa"/>
        </w:tblCellMar>
      </w:tblPr>
      <w:tblGrid>
        <w:gridCol w:w="5510"/>
      </w:tblGrid>
      <w:tr>
        <w:trPr/>
        <w:tc>
          <w:tcPr>
            <w:tcW w:w="5510"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Summary of Financial Performance and Outlook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06">
                <wp:simplePos x="0" y="0"/>
                <wp:positionH relativeFrom="column">
                  <wp:align>right</wp:align>
                </wp:positionH>
                <wp:positionV relativeFrom="line">
                  <wp:posOffset>635</wp:posOffset>
                </wp:positionV>
                <wp:extent cx="3110230" cy="2171700"/>
                <wp:effectExtent l="0" t="0" r="0" b="0"/>
                <wp:wrapSquare wrapText="left"/>
                <wp:docPr id="47" name="Frame16"/>
                <a:graphic xmlns:a="http://schemas.openxmlformats.org/drawingml/2006/main">
                  <a:graphicData uri="http://schemas.microsoft.com/office/word/2010/wordprocessingShape">
                    <wps:wsp>
                      <wps:cNvSpPr txBox="1"/>
                      <wps:spPr>
                        <a:xfrm>
                          <a:off x="0" y="0"/>
                          <a:ext cx="3110230" cy="2171700"/>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drawing>
                                <wp:inline distT="0" distB="0" distL="0" distR="0">
                                  <wp:extent cx="3333750" cy="217170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34"/>
                                          <a:stretch>
                                            <a:fillRect/>
                                          </a:stretch>
                                        </pic:blipFill>
                                        <pic:spPr bwMode="auto">
                                          <a:xfrm>
                                            <a:off x="0" y="0"/>
                                            <a:ext cx="3333750" cy="217170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center"/>
                        <w:rPr>
                          <w:caps w:val="false"/>
                          <w:smallCaps w:val="false"/>
                        </w:rPr>
                      </w:pPr>
                      <w:r>
                        <w:rPr>
                          <w:caps w:val="false"/>
                          <w:smallCaps w:val="false"/>
                        </w:rPr>
                        <w:drawing>
                          <wp:inline distT="0" distB="0" distL="0" distR="0">
                            <wp:extent cx="3333750" cy="2171700"/>
                            <wp:effectExtent l="0" t="0" r="0" b="0"/>
                            <wp:docPr id="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6" descr=""/>
                                    <pic:cNvPicPr>
                                      <a:picLocks noChangeAspect="1" noChangeArrowheads="1"/>
                                    </pic:cNvPicPr>
                                  </pic:nvPicPr>
                                  <pic:blipFill>
                                    <a:blip r:embed="rId35"/>
                                    <a:stretch>
                                      <a:fillRect/>
                                    </a:stretch>
                                  </pic:blipFill>
                                  <pic:spPr bwMode="auto">
                                    <a:xfrm>
                                      <a:off x="0" y="0"/>
                                      <a:ext cx="3333750" cy="217170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3110230" cy="2716530"/>
                <wp:effectExtent l="0" t="0" r="0" b="0"/>
                <wp:wrapSquare wrapText="right"/>
                <wp:docPr id="50" name="Frame15"/>
                <a:graphic xmlns:a="http://schemas.openxmlformats.org/drawingml/2006/main">
                  <a:graphicData uri="http://schemas.microsoft.com/office/word/2010/wordprocessingShape">
                    <wps:wsp>
                      <wps:cNvSpPr txBox="1"/>
                      <wps:spPr>
                        <a:xfrm>
                          <a:off x="0" y="0"/>
                          <a:ext cx="3110230" cy="2716530"/>
                        </a:xfrm>
                        <a:prstGeom prst="rect"/>
                        <a:solidFill>
                          <a:srgbClr val="FFFFFF"/>
                        </a:solidFill>
                      </wps:spPr>
                      <wps:txbx>
                        <w:txbxContent>
                          <w:p>
                            <w:pPr>
                              <w:pStyle w:val="TextBody"/>
                              <w:bidi w:val="0"/>
                              <w:spacing w:before="0" w:after="0"/>
                              <w:jc w:val="left"/>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Efficiency</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1H23, the Efficiency ratio* stood at 44.4%. This represents an improvement of 310 bps versus the result in 1H22 and was attributable to significant growth in income at BCP and Pacifico.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expenses were up 9.1% YoY, driven primarily by traditional expenses at BCP and disruptive initiatives at Credicorp.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Note: The efficiency ratio of 44.4% achieved this first semester was affected by a reversal of non-recurring expenses. Excluding this effect, the efficiency ratio would stand at 45.1%, 234 bps less than 1H22.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For more details regarding the new calculation of the Efficiency ratio due to IFRS17, please refer to Annex 12.1.8</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Efficiency</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1H23, the Efficiency ratio* stood at 44.4%. This represents an improvement of 310 bps versus the result in 1H22 and was attributable to significant growth in income at BCP and Pacifico.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expenses were up 9.1% YoY, driven primarily by traditional expenses at BCP and disruptive initiatives at Credicorp.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Note: The efficiency ratio of 44.4% achieved this first semester was affected by a reversal of non-recurring expenses. Excluding this effect, the efficiency ratio would stand at 45.1%, 234 bps less than 1H22.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For more details regarding the new calculation of the Efficiency ratio due to IFRS17, please refer to Annex 12.1.8</w:t>
                      </w:r>
                    </w:p>
                  </w:txbxContent>
                </v:textbox>
                <w10:wrap type="square" side="right"/>
              </v:rect>
            </w:pict>
          </mc:Fallback>
        </mc:AlternateConten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108">
                <wp:simplePos x="0" y="0"/>
                <wp:positionH relativeFrom="column">
                  <wp:align>right</wp:align>
                </wp:positionH>
                <wp:positionV relativeFrom="line">
                  <wp:posOffset>635</wp:posOffset>
                </wp:positionV>
                <wp:extent cx="3110230" cy="1657350"/>
                <wp:effectExtent l="0" t="0" r="0" b="0"/>
                <wp:wrapSquare wrapText="left"/>
                <wp:docPr id="51" name="Frame18"/>
                <a:graphic xmlns:a="http://schemas.openxmlformats.org/drawingml/2006/main">
                  <a:graphicData uri="http://schemas.microsoft.com/office/word/2010/wordprocessingShape">
                    <wps:wsp>
                      <wps:cNvSpPr txBox="1"/>
                      <wps:spPr>
                        <a:xfrm>
                          <a:off x="0" y="0"/>
                          <a:ext cx="3110230" cy="1657350"/>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drawing>
                                <wp:inline distT="0" distB="0" distL="0" distR="0">
                                  <wp:extent cx="3333750" cy="1657350"/>
                                  <wp:effectExtent l="0" t="0" r="0" b="0"/>
                                  <wp:docPr id="5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7" descr=""/>
                                          <pic:cNvPicPr>
                                            <a:picLocks noChangeAspect="1" noChangeArrowheads="1"/>
                                          </pic:cNvPicPr>
                                        </pic:nvPicPr>
                                        <pic:blipFill>
                                          <a:blip r:embed="rId36"/>
                                          <a:stretch>
                                            <a:fillRect/>
                                          </a:stretch>
                                        </pic:blipFill>
                                        <pic:spPr bwMode="auto">
                                          <a:xfrm>
                                            <a:off x="0" y="0"/>
                                            <a:ext cx="3333750" cy="165735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0.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center"/>
                        <w:rPr>
                          <w:caps w:val="false"/>
                          <w:smallCaps w:val="false"/>
                        </w:rPr>
                      </w:pPr>
                      <w:r>
                        <w:rPr>
                          <w:caps w:val="false"/>
                          <w:smallCaps w:val="false"/>
                        </w:rPr>
                        <w:drawing>
                          <wp:inline distT="0" distB="0" distL="0" distR="0">
                            <wp:extent cx="3333750" cy="1657350"/>
                            <wp:effectExtent l="0" t="0" r="0" b="0"/>
                            <wp:docPr id="5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7" descr=""/>
                                    <pic:cNvPicPr>
                                      <a:picLocks noChangeAspect="1" noChangeArrowheads="1"/>
                                    </pic:cNvPicPr>
                                  </pic:nvPicPr>
                                  <pic:blipFill>
                                    <a:blip r:embed="rId37"/>
                                    <a:stretch>
                                      <a:fillRect/>
                                    </a:stretch>
                                  </pic:blipFill>
                                  <pic:spPr bwMode="auto">
                                    <a:xfrm>
                                      <a:off x="0" y="0"/>
                                      <a:ext cx="3333750" cy="1657350"/>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3110230" cy="1256030"/>
                <wp:effectExtent l="0" t="0" r="0" b="0"/>
                <wp:wrapSquare wrapText="right"/>
                <wp:docPr id="54" name="Frame17"/>
                <a:graphic xmlns:a="http://schemas.openxmlformats.org/drawingml/2006/main">
                  <a:graphicData uri="http://schemas.microsoft.com/office/word/2010/wordprocessingShape">
                    <wps:wsp>
                      <wps:cNvSpPr txBox="1"/>
                      <wps:spPr>
                        <a:xfrm>
                          <a:off x="0" y="0"/>
                          <a:ext cx="3110230" cy="1256030"/>
                        </a:xfrm>
                        <a:prstGeom prst="rect"/>
                        <a:solidFill>
                          <a:srgbClr val="FFFFFF"/>
                        </a:solidFill>
                      </wps:spPr>
                      <wps:txbx>
                        <w:txbxContent>
                          <w:p>
                            <w:pPr>
                              <w:pStyle w:val="TextBody"/>
                              <w:bidi w:val="0"/>
                              <w:spacing w:before="0" w:after="0"/>
                              <w:jc w:val="both"/>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Net Income attributable to Credicorp</w:t>
                            </w:r>
                          </w:p>
                          <w:p>
                            <w:pPr>
                              <w:pStyle w:val="TextBody"/>
                              <w:bidi w:val="0"/>
                              <w:spacing w:before="0" w:after="0"/>
                              <w:jc w:val="both"/>
                              <w:rPr>
                                <w:caps w:val="false"/>
                                <w:smallCaps w:val="false"/>
                                <w:color w:val="2AD2C8"/>
                              </w:rPr>
                            </w:pPr>
                            <w:r>
                              <w:rPr>
                                <w:caps w:val="false"/>
                                <w:smallCaps w:val="false"/>
                                <w:color w:val="2AD2C8"/>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2Q23, net income attributable to Credicorp totaled S/1,401 million, up +1.2% QoQ and +22.6% YoY. Net equity stood at S/30,027 million (-1.1% QoQ and +14.7% YoY). The QoQ contraction was fueled primarily by dividend payment in June. In this context, ROE stood at 18.6%.</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8.9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both"/>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Net Income attributable to Credicorp</w:t>
                      </w:r>
                    </w:p>
                    <w:p>
                      <w:pPr>
                        <w:pStyle w:val="TextBody"/>
                        <w:bidi w:val="0"/>
                        <w:spacing w:before="0" w:after="0"/>
                        <w:jc w:val="both"/>
                        <w:rPr>
                          <w:caps w:val="false"/>
                          <w:smallCaps w:val="false"/>
                          <w:color w:val="2AD2C8"/>
                        </w:rPr>
                      </w:pPr>
                      <w:r>
                        <w:rPr>
                          <w:caps w:val="false"/>
                          <w:smallCaps w:val="false"/>
                          <w:color w:val="2AD2C8"/>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2Q23, net income attributable to Credicorp totaled S/1,401 million, up +1.2% QoQ and +22.6% YoY. Net equity stood at S/30,027 million (-1.1% QoQ and +14.7% YoY). The QoQ contraction was fueled primarily by dividend payment in June. In this context, ROE stood at 18.6%.</w:t>
                      </w:r>
                    </w:p>
                  </w:txbxContent>
                </v:textbox>
                <w10:wrap type="square" side="right"/>
              </v:rect>
            </w:pict>
          </mc:Fallback>
        </mc:AlternateContent>
      </w:r>
    </w:p>
    <w:p>
      <w:pPr>
        <w:pStyle w:val="TextBody"/>
        <w:bidi w:val="0"/>
        <w:spacing w:lineRule="auto" w:line="240" w:before="0" w:after="0"/>
        <w:jc w:val="center"/>
        <w:rPr>
          <w:rFonts w:ascii="Arial;Helvetica;Sans-Serif" w:hAnsi="Arial;Helvetica;Sans-Serif"/>
          <w:b/>
          <w:i w:val="false"/>
          <w:caps w:val="false"/>
          <w:smallCaps w:val="false"/>
          <w:color w:val="2AD2C8"/>
          <w:sz w:val="28"/>
        </w:rPr>
      </w:pPr>
      <w:r>
        <w:rPr>
          <w:rFonts w:ascii="Arial;Helvetica;Sans-Serif" w:hAnsi="Arial;Helvetica;Sans-Serif"/>
          <w:b/>
          <w:i w:val="false"/>
          <w:caps w:val="false"/>
          <w:smallCaps w:val="false"/>
          <w:color w:val="2AD2C8"/>
          <w:sz w:val="28"/>
        </w:rPr>
        <w:t>Contributions* and ROE by subsidiary in 2Q23</w:t>
      </w:r>
    </w:p>
    <w:p>
      <w:pPr>
        <w:pStyle w:val="TextBody"/>
        <w:bidi w:val="0"/>
        <w:spacing w:before="0" w:after="0"/>
        <w:jc w:val="center"/>
        <w:rPr>
          <w:rFonts w:ascii="Arial;Helvetica;Sans-Serif" w:hAnsi="Arial;Helvetica;Sans-Serif"/>
          <w:b/>
          <w:i w:val="false"/>
          <w:caps w:val="false"/>
          <w:smallCaps w:val="false"/>
          <w:color w:val="2AD2C8"/>
          <w:sz w:val="18"/>
        </w:rPr>
      </w:pPr>
      <w:r>
        <w:rPr>
          <w:rFonts w:ascii="Arial;Helvetica;Sans-Serif" w:hAnsi="Arial;Helvetica;Sans-Serif"/>
          <w:b/>
          <w:i w:val="false"/>
          <w:caps w:val="false"/>
          <w:smallCaps w:val="false"/>
          <w:color w:val="2AD2C8"/>
          <w:sz w:val="18"/>
        </w:rPr>
        <w:t>(S/ millions)</w:t>
      </w:r>
    </w:p>
    <w:p>
      <w:pPr>
        <w:pStyle w:val="TextBody"/>
        <w:bidi w:val="0"/>
        <w:spacing w:before="0" w:after="0"/>
        <w:jc w:val="center"/>
        <w:rPr>
          <w:caps w:val="false"/>
          <w:smallCaps w:val="false"/>
          <w:color w:val="2AD2C8"/>
        </w:rPr>
      </w:pPr>
      <w:r>
        <w:rPr>
          <w:caps w:val="false"/>
          <w:smallCaps w:val="false"/>
          <w:color w:val="2AD2C8"/>
        </w:rPr>
        <w:t> </w:t>
      </w:r>
    </w:p>
    <w:p>
      <w:pPr>
        <w:pStyle w:val="TextBody"/>
        <w:bidi w:val="0"/>
        <w:spacing w:before="0" w:after="0"/>
        <w:jc w:val="center"/>
        <w:rPr>
          <w:caps w:val="false"/>
          <w:smallCaps w:val="false"/>
          <w:color w:val="2AD2C8"/>
        </w:rPr>
      </w:pPr>
      <w:r>
        <w:rPr>
          <w:caps w:val="false"/>
          <w:smallCaps w:val="false"/>
          <w:color w:val="2AD2C8"/>
        </w:rPr>
        <w:drawing>
          <wp:inline distT="0" distB="0" distL="0" distR="0">
            <wp:extent cx="6667500" cy="2695575"/>
            <wp:effectExtent l="0" t="0" r="0" b="0"/>
            <wp:docPr id="5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8" descr=""/>
                    <pic:cNvPicPr>
                      <a:picLocks noChangeAspect="1" noChangeArrowheads="1"/>
                    </pic:cNvPicPr>
                  </pic:nvPicPr>
                  <pic:blipFill>
                    <a:blip r:embed="rId38"/>
                    <a:stretch>
                      <a:fillRect/>
                    </a:stretch>
                  </pic:blipFill>
                  <pic:spPr bwMode="auto">
                    <a:xfrm>
                      <a:off x="0" y="0"/>
                      <a:ext cx="6667500" cy="2695575"/>
                    </a:xfrm>
                    <a:prstGeom prst="rect">
                      <a:avLst/>
                    </a:prstGeom>
                  </pic:spPr>
                </pic:pic>
              </a:graphicData>
            </a:graphic>
          </wp:inline>
        </w:drawing>
      </w:r>
    </w:p>
    <w:p>
      <w:pPr>
        <w:pStyle w:val="TextBody"/>
        <w:bidi w:val="0"/>
        <w:spacing w:before="0" w:after="0"/>
        <w:jc w:val="center"/>
        <w:rPr>
          <w:caps w:val="false"/>
          <w:smallCaps w:val="false"/>
          <w:color w:val="2AD2C8"/>
        </w:rPr>
      </w:pPr>
      <w:r>
        <w:rPr>
          <w:caps w:val="false"/>
          <w:smallCaps w:val="false"/>
          <w:color w:val="2AD2C8"/>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*Contributions to Credicorp reflect eliminations for consolidation purposes (eliminations for transactions among Credicorp’s subsidiaries or between Credicorp and its subsidiaries).</w:t>
      </w:r>
    </w:p>
    <w:p>
      <w:pPr>
        <w:pStyle w:val="TextBody"/>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At BCP Stand Alone, the figure is lower than net income because it does not include gains on investments in other Credicorp subsidiaries (Mibanco).</w:t>
      </w:r>
    </w:p>
    <w:p>
      <w:pPr>
        <w:pStyle w:val="TextBody"/>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At Mibanco, the figure is lower than net income because Credicorp owns 99.924% of Mibanco (directly and indirectly).</w:t>
      </w:r>
    </w:p>
    <w:p>
      <w:pPr>
        <w:pStyle w:val="TextBody"/>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The contribution of Grupo Pacifico presented here is higher than the earnings reported for Pacifico Seguros because it includes 100% of Crediseguros (including 48% under Grupo Credito).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4900" w:type="dxa"/>
        <w:jc w:val="left"/>
        <w:tblInd w:w="0" w:type="dxa"/>
        <w:shd w:fill="000000" w:val="clear"/>
        <w:tblLayout w:type="fixed"/>
        <w:tblCellMar>
          <w:top w:w="0" w:type="dxa"/>
          <w:left w:w="0" w:type="dxa"/>
          <w:bottom w:w="0" w:type="dxa"/>
          <w:right w:w="0" w:type="dxa"/>
        </w:tblCellMar>
      </w:tblPr>
      <w:tblGrid>
        <w:gridCol w:w="2265"/>
        <w:gridCol w:w="65"/>
        <w:gridCol w:w="2570"/>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5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9" descr=""/>
                          <pic:cNvPicPr>
                            <a:picLocks noChangeAspect="1" noChangeArrowheads="1"/>
                          </pic:cNvPicPr>
                        </pic:nvPicPr>
                        <pic:blipFill>
                          <a:blip r:embed="rId39"/>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70"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70" w:type="dxa"/>
            <w:tcBorders/>
            <w:shd w:fill="000000" w:val="clear"/>
            <w:vAlign w:val="center"/>
          </w:tcPr>
          <w:p>
            <w:pPr>
              <w:pStyle w:val="TableContents"/>
              <w:bidi w:val="0"/>
              <w:spacing w:before="0" w:after="283"/>
              <w:jc w:val="left"/>
              <w:rPr>
                <w:color w:val="FFFFFF"/>
              </w:rPr>
            </w:pPr>
            <w:r>
              <w:rPr>
                <w:color w:val="FFFFFF"/>
              </w:rPr>
              <w:t> </w:t>
            </w:r>
          </w:p>
        </w:tc>
      </w:tr>
    </w:tbl>
    <w:tbl>
      <w:tblPr>
        <w:tblW w:w="5510" w:type="dxa"/>
        <w:jc w:val="left"/>
        <w:tblInd w:w="0" w:type="dxa"/>
        <w:shd w:fill="29D2C8" w:val="clear"/>
        <w:tblLayout w:type="fixed"/>
        <w:tblCellMar>
          <w:top w:w="0" w:type="dxa"/>
          <w:left w:w="0" w:type="dxa"/>
          <w:bottom w:w="0" w:type="dxa"/>
          <w:right w:w="0" w:type="dxa"/>
        </w:tblCellMar>
      </w:tblPr>
      <w:tblGrid>
        <w:gridCol w:w="5510"/>
      </w:tblGrid>
      <w:tr>
        <w:trPr/>
        <w:tc>
          <w:tcPr>
            <w:tcW w:w="5510"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Summary of Financial Performance and Outlook</w:t>
            </w:r>
          </w:p>
        </w:tc>
      </w:tr>
    </w:tbl>
    <w:p>
      <w:pPr>
        <w:pStyle w:val="TextBody"/>
        <w:bidi w:val="0"/>
        <w:spacing w:before="0" w:after="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667500" cy="9096375"/>
            <wp:effectExtent l="0" t="0" r="0" b="0"/>
            <wp:docPr id="5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0" descr=""/>
                    <pic:cNvPicPr>
                      <a:picLocks noChangeAspect="1" noChangeArrowheads="1"/>
                    </pic:cNvPicPr>
                  </pic:nvPicPr>
                  <pic:blipFill>
                    <a:blip r:embed="rId40"/>
                    <a:stretch>
                      <a:fillRect/>
                    </a:stretch>
                  </pic:blipFill>
                  <pic:spPr bwMode="auto">
                    <a:xfrm>
                      <a:off x="0" y="0"/>
                      <a:ext cx="6667500" cy="9096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5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1" descr=""/>
                          <pic:cNvPicPr>
                            <a:picLocks noChangeAspect="1" noChangeArrowheads="1"/>
                          </pic:cNvPicPr>
                        </pic:nvPicPr>
                        <pic:blipFill>
                          <a:blip r:embed="rId41"/>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2195" w:type="dxa"/>
        <w:jc w:val="left"/>
        <w:tblInd w:w="0" w:type="dxa"/>
        <w:shd w:fill="29D2C8" w:val="clear"/>
        <w:tblLayout w:type="fixed"/>
        <w:tblCellMar>
          <w:top w:w="0" w:type="dxa"/>
          <w:left w:w="0" w:type="dxa"/>
          <w:bottom w:w="0" w:type="dxa"/>
          <w:right w:w="0" w:type="dxa"/>
        </w:tblCellMar>
      </w:tblPr>
      <w:tblGrid>
        <w:gridCol w:w="2195"/>
      </w:tblGrid>
      <w:tr>
        <w:trPr/>
        <w:tc>
          <w:tcPr>
            <w:tcW w:w="2195"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Financial Overview</w:t>
            </w:r>
          </w:p>
        </w:tc>
      </w:tr>
    </w:tbl>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40" w:type="dxa"/>
          <w:left w:w="60" w:type="dxa"/>
          <w:bottom w:w="0" w:type="dxa"/>
          <w:right w:w="0" w:type="dxa"/>
        </w:tblCellMar>
      </w:tblPr>
      <w:tblGrid>
        <w:gridCol w:w="3364"/>
        <w:gridCol w:w="980"/>
        <w:gridCol w:w="980"/>
        <w:gridCol w:w="980"/>
        <w:gridCol w:w="493"/>
        <w:gridCol w:w="512"/>
        <w:gridCol w:w="980"/>
        <w:gridCol w:w="980"/>
        <w:gridCol w:w="936"/>
      </w:tblGrid>
      <w:tr>
        <w:trPr/>
        <w:tc>
          <w:tcPr>
            <w:tcW w:w="3364" w:type="dxa"/>
            <w:tcBorders>
              <w:top w:val="single" w:sz="8" w:space="0" w:color="000000"/>
              <w:lef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Credicorp Ltd. </w:t>
            </w:r>
          </w:p>
        </w:tc>
        <w:tc>
          <w:tcPr>
            <w:tcW w:w="2940" w:type="dxa"/>
            <w:gridSpan w:val="3"/>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Quarter</w:t>
            </w:r>
          </w:p>
        </w:tc>
        <w:tc>
          <w:tcPr>
            <w:tcW w:w="1005" w:type="dxa"/>
            <w:gridSpan w:val="2"/>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c>
          <w:tcPr>
            <w:tcW w:w="1960" w:type="dxa"/>
            <w:gridSpan w:val="2"/>
            <w:tcBorders>
              <w:top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of</w:t>
            </w:r>
          </w:p>
        </w:tc>
        <w:tc>
          <w:tcPr>
            <w:tcW w:w="936" w:type="dxa"/>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r>
      <w:tr>
        <w:trPr/>
        <w:tc>
          <w:tcPr>
            <w:tcW w:w="3364" w:type="dxa"/>
            <w:tcBorders>
              <w:left w:val="single" w:sz="8" w:space="0" w:color="000000"/>
              <w:bottom w:val="single" w:sz="8" w:space="0" w:color="000000"/>
            </w:tcBorders>
            <w:shd w:fill="2AD2C9" w:val="clear"/>
            <w:tcMar>
              <w:top w:w="0" w:type="dxa"/>
              <w:bottom w:w="40"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S/000</w:t>
            </w:r>
          </w:p>
        </w:tc>
        <w:tc>
          <w:tcPr>
            <w:tcW w:w="980" w:type="dxa"/>
            <w:tcBorders>
              <w:left w:val="single" w:sz="8" w:space="0" w:color="000000"/>
              <w:bottom w:val="single" w:sz="8" w:space="0" w:color="000000"/>
            </w:tcBorders>
            <w:shd w:fill="2AD2C9" w:val="clear"/>
            <w:tcMar>
              <w:top w:w="0" w:type="dxa"/>
              <w:bottom w:w="4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2Q22</w:t>
            </w:r>
          </w:p>
        </w:tc>
        <w:tc>
          <w:tcPr>
            <w:tcW w:w="980" w:type="dxa"/>
            <w:tcBorders>
              <w:bottom w:val="single" w:sz="8" w:space="0" w:color="000000"/>
            </w:tcBorders>
            <w:shd w:fill="2AD2C9" w:val="clear"/>
            <w:tcMar>
              <w:top w:w="0" w:type="dxa"/>
              <w:left w:w="0" w:type="dxa"/>
              <w:bottom w:w="4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1Q23</w:t>
            </w:r>
          </w:p>
        </w:tc>
        <w:tc>
          <w:tcPr>
            <w:tcW w:w="980" w:type="dxa"/>
            <w:tcBorders>
              <w:bottom w:val="single" w:sz="8" w:space="0" w:color="000000"/>
              <w:right w:val="single" w:sz="8" w:space="0" w:color="000000"/>
            </w:tcBorders>
            <w:shd w:fill="2AD2C9" w:val="clear"/>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2Q23</w:t>
            </w:r>
          </w:p>
        </w:tc>
        <w:tc>
          <w:tcPr>
            <w:tcW w:w="493" w:type="dxa"/>
            <w:tcBorders>
              <w:bottom w:val="single" w:sz="8" w:space="0" w:color="000000"/>
            </w:tcBorders>
            <w:shd w:fill="2AD2C9" w:val="clear"/>
            <w:tcMar>
              <w:top w:w="0" w:type="dxa"/>
              <w:left w:w="0" w:type="dxa"/>
              <w:bottom w:w="4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QoQ</w:t>
            </w:r>
          </w:p>
        </w:tc>
        <w:tc>
          <w:tcPr>
            <w:tcW w:w="512" w:type="dxa"/>
            <w:tcBorders>
              <w:bottom w:val="single" w:sz="8" w:space="0" w:color="000000"/>
              <w:right w:val="single" w:sz="8" w:space="0" w:color="000000"/>
            </w:tcBorders>
            <w:shd w:fill="2AD2C9" w:val="clear"/>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YoY</w:t>
            </w:r>
          </w:p>
        </w:tc>
        <w:tc>
          <w:tcPr>
            <w:tcW w:w="980" w:type="dxa"/>
            <w:tcBorders>
              <w:bottom w:val="single" w:sz="8" w:space="0" w:color="000000"/>
            </w:tcBorders>
            <w:shd w:fill="2AD2C9" w:val="clear"/>
            <w:tcMar>
              <w:top w:w="0" w:type="dxa"/>
              <w:left w:w="0" w:type="dxa"/>
              <w:bottom w:w="4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1H22</w:t>
            </w:r>
          </w:p>
        </w:tc>
        <w:tc>
          <w:tcPr>
            <w:tcW w:w="980" w:type="dxa"/>
            <w:tcBorders>
              <w:bottom w:val="single" w:sz="8" w:space="0" w:color="000000"/>
            </w:tcBorders>
            <w:shd w:fill="2AD2C9" w:val="clear"/>
            <w:tcMar>
              <w:top w:w="0" w:type="dxa"/>
              <w:left w:w="0" w:type="dxa"/>
              <w:bottom w:w="4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1H23</w:t>
            </w:r>
          </w:p>
        </w:tc>
        <w:tc>
          <w:tcPr>
            <w:tcW w:w="936" w:type="dxa"/>
            <w:tcBorders>
              <w:left w:val="single" w:sz="8" w:space="0" w:color="000000"/>
              <w:bottom w:val="single" w:sz="8" w:space="0" w:color="000000"/>
              <w:right w:val="single" w:sz="8" w:space="0" w:color="000000"/>
            </w:tcBorders>
            <w:shd w:fill="2AD2C9" w:val="clear"/>
            <w:tcMar>
              <w:top w:w="0" w:type="dxa"/>
              <w:bottom w:w="40" w:type="dxa"/>
              <w:right w:w="6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1H23 / 1H22</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interest, similar income and expenses</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2,637,106</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3,132,089</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3,204,156</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2.3%</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21.5%</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5,274,531</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6,567,161</w:t>
            </w:r>
          </w:p>
        </w:tc>
        <w:tc>
          <w:tcPr>
            <w:tcW w:w="936"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24.5%</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Provision for credit losses on loan portfolio, net of recoveries</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r>
              <w:rPr>
                <w:rFonts w:ascii="Arial;Helvetica;Sans-Serif" w:hAnsi="Arial;Helvetica;Sans-Serif"/>
                <w:sz w:val="16"/>
              </w:rPr>
              <w:t>(363,291)</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(726,998)</w:t>
            </w:r>
          </w:p>
        </w:tc>
        <w:tc>
          <w:tcPr>
            <w:tcW w:w="980"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rFonts w:ascii="Arial;Helvetica;Sans-Serif" w:hAnsi="Arial;Helvetica;Sans-Serif"/>
                <w:sz w:val="16"/>
              </w:rPr>
              <w:t>(804,251)</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10.6%</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121.4%</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(620,881)</w:t>
            </w:r>
          </w:p>
        </w:tc>
        <w:tc>
          <w:tcPr>
            <w:tcW w:w="980"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rFonts w:ascii="Arial;Helvetica;Sans-Serif" w:hAnsi="Arial;Helvetica;Sans-Serif"/>
                <w:sz w:val="16"/>
              </w:rPr>
              <w:t>(1,531,249)</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146.6%</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Net interest, similar income and expenses, after provision for credit losses on loan portfolio </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2,273,815</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2,405,091</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2,399,905</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-0.2%</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5.5%</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4,653,650</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5,035,912</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8.2%</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Total other income</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1,197,592</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1,333,275</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1,433,786</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19.7%</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2,436,990</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2,767,061</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13.5%</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Insurance underwriting result</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r>
              <w:rPr>
                <w:rFonts w:ascii="Arial;Helvetica;Sans-Serif" w:hAnsi="Arial;Helvetica;Sans-Serif"/>
                <w:sz w:val="16"/>
              </w:rPr>
              <w:t>194,197</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296,341</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296,564</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0.1%</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52.7%</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400,864</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rFonts w:ascii="Arial;Helvetica;Sans-Serif" w:hAnsi="Arial;Helvetica;Sans-Serif"/>
                <w:sz w:val="16"/>
              </w:rPr>
              <w:t>592,905</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47.9%</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Total other expenses</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r>
              <w:rPr>
                <w:rFonts w:ascii="Arial;Helvetica;Sans-Serif" w:hAnsi="Arial;Helvetica;Sans-Serif"/>
                <w:sz w:val="16"/>
              </w:rPr>
              <w:t>(1,981,125)</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(2,126,908)</w:t>
            </w:r>
          </w:p>
        </w:tc>
        <w:tc>
          <w:tcPr>
            <w:tcW w:w="980"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(2,195,966)</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3.2%</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10.8%</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(3,855,644)</w:t>
            </w:r>
          </w:p>
        </w:tc>
        <w:tc>
          <w:tcPr>
            <w:tcW w:w="980"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rFonts w:ascii="Arial;Helvetica;Sans-Serif" w:hAnsi="Arial;Helvetica;Sans-Serif"/>
                <w:sz w:val="16"/>
              </w:rPr>
              <w:t>(4,322,874)</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12.1%</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Profit before income tax </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1,684,479</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1,907,799</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1,934,289</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1.4%</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14.8%</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3,430,142</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3,842,088</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12.0%</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Income tax</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r>
              <w:rPr>
                <w:rFonts w:ascii="Arial;Helvetica;Sans-Serif" w:hAnsi="Arial;Helvetica;Sans-Serif"/>
                <w:sz w:val="16"/>
              </w:rPr>
              <w:t>(513,182)</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(493,466)</w:t>
            </w:r>
          </w:p>
        </w:tc>
        <w:tc>
          <w:tcPr>
            <w:tcW w:w="980"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rFonts w:ascii="Arial;Helvetica;Sans-Serif" w:hAnsi="Arial;Helvetica;Sans-Serif"/>
                <w:sz w:val="16"/>
              </w:rPr>
              <w:t>(504,472)</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-1.7%</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(1,059,182)</w:t>
            </w:r>
          </w:p>
        </w:tc>
        <w:tc>
          <w:tcPr>
            <w:tcW w:w="980"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rFonts w:ascii="Arial;Helvetica;Sans-Serif" w:hAnsi="Arial;Helvetica;Sans-Serif"/>
                <w:sz w:val="16"/>
              </w:rPr>
              <w:t>(997,938)</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-5.8%</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Net profit</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1,171,297</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1,414,333</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1,429,817</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1.1%</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22.1%</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2,370,960</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2,844,150</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20.0%</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Non-controlling interest</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28,420</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30,060</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28,550</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0.5%</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56,206</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58,610</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4.3%</w:t>
            </w:r>
          </w:p>
        </w:tc>
      </w:tr>
      <w:tr>
        <w:trPr/>
        <w:tc>
          <w:tcPr>
            <w:tcW w:w="3364"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Net profit attributable to Credicorp</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1,142,877</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1,384,273</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1,401,267</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1.2%</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22.6%</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2,314,754</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2,785,540</w:t>
            </w:r>
          </w:p>
        </w:tc>
        <w:tc>
          <w:tcPr>
            <w:tcW w:w="936"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20.3%</w:t>
            </w:r>
          </w:p>
        </w:tc>
      </w:tr>
      <w:tr>
        <w:trPr/>
        <w:tc>
          <w:tcPr>
            <w:tcW w:w="3364"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income / share (S/)</w:t>
            </w:r>
          </w:p>
        </w:tc>
        <w:tc>
          <w:tcPr>
            <w:tcW w:w="980"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14.33</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17.36</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17.57</w:t>
            </w:r>
          </w:p>
        </w:tc>
        <w:tc>
          <w:tcPr>
            <w:tcW w:w="493" w:type="dxa"/>
            <w:tcBorders>
              <w:bottom w:val="single" w:sz="8" w:space="0" w:color="000000"/>
            </w:tcBorders>
            <w:tcMar>
              <w:top w:w="0" w:type="dxa"/>
              <w:left w:w="0" w:type="dxa"/>
              <w:bottom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w:t>
            </w:r>
          </w:p>
        </w:tc>
        <w:tc>
          <w:tcPr>
            <w:tcW w:w="512"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22.6%</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29.02</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34.92</w:t>
            </w:r>
          </w:p>
        </w:tc>
        <w:tc>
          <w:tcPr>
            <w:tcW w:w="936"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20.3%</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Loans</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r>
              <w:rPr>
                <w:rFonts w:ascii="Arial;Helvetica;Sans-Serif" w:hAnsi="Arial;Helvetica;Sans-Serif"/>
                <w:sz w:val="16"/>
              </w:rPr>
              <w:t>150,370,184</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145,165,713</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rFonts w:ascii="Arial;Helvetica;Sans-Serif" w:hAnsi="Arial;Helvetica;Sans-Serif"/>
                <w:sz w:val="16"/>
              </w:rPr>
              <w:t>142,845,549</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150,370,184</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rFonts w:ascii="Arial;Helvetica;Sans-Serif" w:hAnsi="Arial;Helvetica;Sans-Serif"/>
                <w:sz w:val="16"/>
              </w:rPr>
              <w:t>142,845,549</w:t>
            </w:r>
          </w:p>
        </w:tc>
        <w:tc>
          <w:tcPr>
            <w:tcW w:w="936"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0.7%</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Deposits and obligations</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r>
              <w:rPr>
                <w:rFonts w:ascii="Arial;Helvetica;Sans-Serif" w:hAnsi="Arial;Helvetica;Sans-Serif"/>
                <w:sz w:val="16"/>
              </w:rPr>
              <w:t>147,440,576</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148,623,300</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rFonts w:ascii="Arial;Helvetica;Sans-Serif" w:hAnsi="Arial;Helvetica;Sans-Serif"/>
                <w:sz w:val="16"/>
              </w:rPr>
              <w:t>143,387,717</w:t>
            </w:r>
          </w:p>
        </w:tc>
        <w:tc>
          <w:tcPr>
            <w:tcW w:w="493" w:type="dxa"/>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w:t>
            </w:r>
          </w:p>
        </w:tc>
        <w:tc>
          <w:tcPr>
            <w:tcW w:w="512"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w:t>
            </w:r>
          </w:p>
        </w:tc>
        <w:tc>
          <w:tcPr>
            <w:tcW w:w="980"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147,440,576</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rFonts w:ascii="Arial;Helvetica;Sans-Serif" w:hAnsi="Arial;Helvetica;Sans-Serif"/>
                <w:sz w:val="16"/>
              </w:rPr>
              <w:t>143,387,717</w:t>
            </w:r>
          </w:p>
        </w:tc>
        <w:tc>
          <w:tcPr>
            <w:tcW w:w="936"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-1.7%</w:t>
            </w:r>
          </w:p>
        </w:tc>
      </w:tr>
      <w:tr>
        <w:trPr/>
        <w:tc>
          <w:tcPr>
            <w:tcW w:w="3364"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Net equity</w:t>
            </w:r>
          </w:p>
        </w:tc>
        <w:tc>
          <w:tcPr>
            <w:tcW w:w="980"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right"/>
              <w:rPr/>
            </w:pPr>
            <w:r>
              <w:rPr/>
              <w:t> </w:t>
            </w:r>
            <w:r>
              <w:rPr>
                <w:rFonts w:ascii="Arial;Helvetica;Sans-Serif" w:hAnsi="Arial;Helvetica;Sans-Serif"/>
                <w:sz w:val="16"/>
              </w:rPr>
              <w:t>26,167,811</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30,359,898</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30,027,036</w:t>
            </w:r>
          </w:p>
        </w:tc>
        <w:tc>
          <w:tcPr>
            <w:tcW w:w="493" w:type="dxa"/>
            <w:tcBorders>
              <w:bottom w:val="single" w:sz="8" w:space="0" w:color="000000"/>
            </w:tcBorders>
            <w:shd w:fill="FFFFFF" w:val="clear"/>
            <w:tcMar>
              <w:top w:w="0" w:type="dxa"/>
              <w:left w:w="0" w:type="dxa"/>
              <w:bottom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w:t>
            </w:r>
          </w:p>
        </w:tc>
        <w:tc>
          <w:tcPr>
            <w:tcW w:w="512" w:type="dxa"/>
            <w:tcBorders>
              <w:bottom w:val="single" w:sz="8" w:space="0" w:color="000000"/>
              <w:right w:val="single" w:sz="8" w:space="0" w:color="000000"/>
            </w:tcBorders>
            <w:shd w:fill="FFFFFF" w:val="clear"/>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14.7%</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pPr>
            <w:r>
              <w:rPr/>
              <w:t> </w:t>
            </w:r>
            <w:r>
              <w:rPr>
                <w:rFonts w:ascii="Arial;Helvetica;Sans-Serif" w:hAnsi="Arial;Helvetica;Sans-Serif"/>
                <w:sz w:val="16"/>
              </w:rPr>
              <w:t>26,167,811</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pPr>
            <w:r>
              <w:rPr/>
              <w:t> </w:t>
            </w:r>
            <w:r>
              <w:rPr>
                <w:rFonts w:ascii="Arial;Helvetica;Sans-Serif" w:hAnsi="Arial;Helvetica;Sans-Serif"/>
                <w:sz w:val="16"/>
              </w:rPr>
              <w:t>30,027,036</w:t>
            </w:r>
          </w:p>
        </w:tc>
        <w:tc>
          <w:tcPr>
            <w:tcW w:w="936"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9.4%</w:t>
            </w:r>
          </w:p>
        </w:tc>
      </w:tr>
      <w:tr>
        <w:trPr/>
        <w:tc>
          <w:tcPr>
            <w:tcW w:w="3364" w:type="dxa"/>
            <w:tcBorders>
              <w:left w:val="single" w:sz="8" w:space="0" w:color="000000"/>
            </w:tcBorders>
            <w:tcMar>
              <w:top w:w="0" w:type="dxa"/>
            </w:tcMar>
            <w:vAlign w:val="center"/>
          </w:tcPr>
          <w:p>
            <w:pPr>
              <w:pStyle w:val="TableContents"/>
              <w:bidi w:val="0"/>
              <w:spacing w:before="0" w:after="283"/>
              <w:jc w:val="both"/>
              <w:rPr>
                <w:rFonts w:ascii="Arial;Helvetica;Sans-Serif" w:hAnsi="Arial;Helvetica;Sans-Serif"/>
                <w:b/>
                <w:sz w:val="16"/>
              </w:rPr>
            </w:pPr>
            <w:r>
              <w:rPr>
                <w:rFonts w:ascii="Arial;Helvetica;Sans-Serif" w:hAnsi="Arial;Helvetica;Sans-Serif"/>
                <w:b/>
                <w:sz w:val="16"/>
              </w:rPr>
              <w:t>Profitability</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493" w:type="dxa"/>
            <w:tcBorders/>
            <w:tcMar>
              <w:top w:w="0" w:type="dxa"/>
              <w:left w:w="0" w:type="dxa"/>
            </w:tcMar>
            <w:vAlign w:val="center"/>
          </w:tcPr>
          <w:p>
            <w:pPr>
              <w:pStyle w:val="TableContents"/>
              <w:bidi w:val="0"/>
              <w:spacing w:before="0" w:after="283"/>
              <w:jc w:val="center"/>
              <w:rPr/>
            </w:pPr>
            <w:r>
              <w:rPr/>
              <w:t> </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interest margin </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4.92%</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5.84%</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6.02%</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18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110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4.66%</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5.96%</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130 bps </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Risk-adjusted Net interest margin </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4.27%</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4.54%</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4.56%</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29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4.12%</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4.57%</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45 bps </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Funding cost </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1.58%</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2.61%</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2.91%</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133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1.44%</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2.76%</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132 bps </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ROAE</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17.3%</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18.7%</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18.6%</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130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17.6%</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18.9%</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130 bps </w:t>
            </w:r>
          </w:p>
        </w:tc>
      </w:tr>
      <w:tr>
        <w:trPr/>
        <w:tc>
          <w:tcPr>
            <w:tcW w:w="3364"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ROAA</w:t>
            </w:r>
          </w:p>
        </w:tc>
        <w:tc>
          <w:tcPr>
            <w:tcW w:w="980"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w:t>
            </w:r>
          </w:p>
        </w:tc>
        <w:tc>
          <w:tcPr>
            <w:tcW w:w="493" w:type="dxa"/>
            <w:tcBorders>
              <w:bottom w:val="single" w:sz="8" w:space="0" w:color="000000"/>
            </w:tcBorders>
            <w:tcMar>
              <w:top w:w="0" w:type="dxa"/>
              <w:left w:w="0" w:type="dxa"/>
              <w:bottom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 bps</w:t>
            </w:r>
          </w:p>
        </w:tc>
        <w:tc>
          <w:tcPr>
            <w:tcW w:w="512"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 bps</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w:t>
            </w:r>
          </w:p>
        </w:tc>
        <w:tc>
          <w:tcPr>
            <w:tcW w:w="936" w:type="dxa"/>
            <w:tcBorders>
              <w:left w:val="single" w:sz="8" w:space="0" w:color="000000"/>
              <w:bottom w:val="single" w:sz="8" w:space="0" w:color="000000"/>
              <w:right w:val="single" w:sz="8" w:space="0" w:color="000000"/>
            </w:tcBorders>
            <w:tcMar>
              <w:top w:w="0" w:type="dxa"/>
              <w:bottom w:w="40" w:type="dxa"/>
              <w:right w:w="60" w:type="dxa"/>
            </w:tcMar>
            <w:vAlign w:val="center"/>
          </w:tcPr>
          <w:p>
            <w:pPr>
              <w:pStyle w:val="TableContents"/>
              <w:bidi w:val="0"/>
              <w:spacing w:before="0" w:after="283"/>
              <w:jc w:val="center"/>
              <w:rPr/>
            </w:pPr>
            <w:r>
              <w:rPr/>
              <w:t> </w:t>
            </w:r>
            <w:r>
              <w:rPr>
                <w:rFonts w:ascii="Arial;Helvetica;Sans-Serif" w:hAnsi="Arial;Helvetica;Sans-Serif"/>
                <w:sz w:val="16"/>
              </w:rPr>
              <w:t>30 bps </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Loan portfolio quality</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493" w:type="dxa"/>
            <w:tcBorders/>
            <w:tcMar>
              <w:top w:w="0" w:type="dxa"/>
              <w:left w:w="0" w:type="dxa"/>
            </w:tcMar>
            <w:vAlign w:val="center"/>
          </w:tcPr>
          <w:p>
            <w:pPr>
              <w:pStyle w:val="TableContents"/>
              <w:bidi w:val="0"/>
              <w:spacing w:before="0" w:after="283"/>
              <w:jc w:val="center"/>
              <w:rPr/>
            </w:pPr>
            <w:r>
              <w:rPr/>
              <w:t> </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p>
        </w:tc>
      </w:tr>
      <w:tr>
        <w:trPr/>
        <w:tc>
          <w:tcPr>
            <w:tcW w:w="3364" w:type="dxa"/>
            <w:tcBorders>
              <w:left w:val="single" w:sz="8" w:space="0" w:color="000000"/>
            </w:tcBorders>
            <w:shd w:fill="FFFFFF" w:val="clear"/>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Internal overdue ratio </w:t>
            </w:r>
            <w:r>
              <w:rPr>
                <w:rFonts w:ascii="Arial;Helvetica;Sans-Serif" w:hAnsi="Arial;Helvetica;Sans-Serif"/>
                <w:b w:val="false"/>
                <w:i w:val="false"/>
                <w:caps w:val="false"/>
                <w:smallCaps w:val="false"/>
                <w:sz w:val="16"/>
              </w:rPr>
              <w:t>(1)</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4.06%</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3.99%</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4.19%</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4.06%</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4.19%</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13 bps </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Internal overdue ratio over 90 days</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3.06%</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3.02%</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3.40%</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38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34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3.06%</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3.40%</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34 bps </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NPL ratio </w:t>
            </w:r>
            <w:r>
              <w:rPr>
                <w:rFonts w:ascii="Arial;Helvetica;Sans-Serif" w:hAnsi="Arial;Helvetica;Sans-Serif"/>
                <w:b w:val="false"/>
                <w:i w:val="false"/>
                <w:caps w:val="false"/>
                <w:smallCaps w:val="false"/>
                <w:sz w:val="16"/>
              </w:rPr>
              <w:t>(2)</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5.18%</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5.45%</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5.64%</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19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46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5.18%</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5.64%</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46 bps </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Cost of risk </w:t>
            </w:r>
            <w:r>
              <w:rPr>
                <w:rFonts w:ascii="Arial;Helvetica;Sans-Serif" w:hAnsi="Arial;Helvetica;Sans-Serif"/>
                <w:b w:val="false"/>
                <w:i w:val="false"/>
                <w:caps w:val="false"/>
                <w:smallCaps w:val="false"/>
                <w:sz w:val="16"/>
              </w:rPr>
              <w:t>(3)</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0.97%</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2.00%</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2.25%</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128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0.83%</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2.14%</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131 bps </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Coverage ratio of IOLs</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136.1%</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136.7%</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133.1%</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-360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136.1%</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133.1%</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-300 bps </w:t>
            </w:r>
          </w:p>
        </w:tc>
      </w:tr>
      <w:tr>
        <w:trPr/>
        <w:tc>
          <w:tcPr>
            <w:tcW w:w="3364"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Coverage ratio of NPLs </w:t>
            </w:r>
          </w:p>
        </w:tc>
        <w:tc>
          <w:tcPr>
            <w:tcW w:w="980"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106.6%</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100.1%</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98.7%</w:t>
            </w:r>
          </w:p>
        </w:tc>
        <w:tc>
          <w:tcPr>
            <w:tcW w:w="493" w:type="dxa"/>
            <w:tcBorders>
              <w:bottom w:val="single" w:sz="8" w:space="0" w:color="000000"/>
            </w:tcBorders>
            <w:tcMar>
              <w:top w:w="0" w:type="dxa"/>
              <w:left w:w="0" w:type="dxa"/>
              <w:bottom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-140 bps</w:t>
            </w:r>
          </w:p>
        </w:tc>
        <w:tc>
          <w:tcPr>
            <w:tcW w:w="512"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-790 bps</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106.6%</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98.7%</w:t>
            </w:r>
          </w:p>
        </w:tc>
        <w:tc>
          <w:tcPr>
            <w:tcW w:w="936" w:type="dxa"/>
            <w:tcBorders>
              <w:left w:val="single" w:sz="8" w:space="0" w:color="000000"/>
              <w:bottom w:val="single" w:sz="8" w:space="0" w:color="000000"/>
              <w:right w:val="single" w:sz="8" w:space="0" w:color="000000"/>
            </w:tcBorders>
            <w:tcMar>
              <w:top w:w="0" w:type="dxa"/>
              <w:bottom w:w="40" w:type="dxa"/>
              <w:right w:w="60" w:type="dxa"/>
            </w:tcMar>
            <w:vAlign w:val="center"/>
          </w:tcPr>
          <w:p>
            <w:pPr>
              <w:pStyle w:val="TableContents"/>
              <w:bidi w:val="0"/>
              <w:spacing w:before="0" w:after="283"/>
              <w:jc w:val="center"/>
              <w:rPr/>
            </w:pPr>
            <w:r>
              <w:rPr/>
              <w:t> </w:t>
            </w:r>
            <w:r>
              <w:rPr>
                <w:rFonts w:ascii="Arial;Helvetica;Sans-Serif" w:hAnsi="Arial;Helvetica;Sans-Serif"/>
                <w:sz w:val="16"/>
              </w:rPr>
              <w:t>-790 bps </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Operating efficiency</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493" w:type="dxa"/>
            <w:tcBorders/>
            <w:tcMar>
              <w:top w:w="0" w:type="dxa"/>
              <w:left w:w="0" w:type="dxa"/>
            </w:tcMar>
            <w:vAlign w:val="center"/>
          </w:tcPr>
          <w:p>
            <w:pPr>
              <w:pStyle w:val="TableContents"/>
              <w:bidi w:val="0"/>
              <w:spacing w:before="0" w:after="283"/>
              <w:jc w:val="center"/>
              <w:rPr/>
            </w:pPr>
            <w:r>
              <w:rPr/>
              <w:t> </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Efficiency ratio </w:t>
            </w:r>
            <w:r>
              <w:rPr>
                <w:rFonts w:ascii="Arial;Helvetica;Sans-Serif" w:hAnsi="Arial;Helvetica;Sans-Serif"/>
                <w:b w:val="false"/>
                <w:i w:val="false"/>
                <w:caps w:val="false"/>
                <w:smallCaps w:val="false"/>
                <w:sz w:val="16"/>
              </w:rPr>
              <w:t>(4) </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47.7%</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44.3%</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44.6%</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 bps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-310 bps</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47.5%</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44.4%</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-310 bps </w:t>
            </w:r>
          </w:p>
        </w:tc>
      </w:tr>
      <w:tr>
        <w:trPr/>
        <w:tc>
          <w:tcPr>
            <w:tcW w:w="3364"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Operating expenses / Total average assets</w:t>
            </w:r>
          </w:p>
        </w:tc>
        <w:tc>
          <w:tcPr>
            <w:tcW w:w="980"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3.25%</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3.43%</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3.56%</w:t>
            </w:r>
          </w:p>
        </w:tc>
        <w:tc>
          <w:tcPr>
            <w:tcW w:w="493" w:type="dxa"/>
            <w:tcBorders>
              <w:bottom w:val="single" w:sz="8" w:space="0" w:color="000000"/>
            </w:tcBorders>
            <w:tcMar>
              <w:top w:w="0" w:type="dxa"/>
              <w:left w:w="0" w:type="dxa"/>
              <w:bottom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 bps</w:t>
            </w:r>
          </w:p>
        </w:tc>
        <w:tc>
          <w:tcPr>
            <w:tcW w:w="512"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31 bps</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3.09%</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3.51%</w:t>
            </w:r>
          </w:p>
        </w:tc>
        <w:tc>
          <w:tcPr>
            <w:tcW w:w="936" w:type="dxa"/>
            <w:tcBorders>
              <w:left w:val="single" w:sz="8" w:space="0" w:color="000000"/>
              <w:bottom w:val="single" w:sz="8" w:space="0" w:color="000000"/>
              <w:right w:val="single" w:sz="8" w:space="0" w:color="000000"/>
            </w:tcBorders>
            <w:tcMar>
              <w:top w:w="0" w:type="dxa"/>
              <w:bottom w:w="40" w:type="dxa"/>
              <w:right w:w="60" w:type="dxa"/>
            </w:tcMar>
            <w:vAlign w:val="center"/>
          </w:tcPr>
          <w:p>
            <w:pPr>
              <w:pStyle w:val="TableContents"/>
              <w:bidi w:val="0"/>
              <w:spacing w:before="0" w:after="283"/>
              <w:jc w:val="center"/>
              <w:rPr/>
            </w:pPr>
            <w:r>
              <w:rPr/>
              <w:t> </w:t>
            </w:r>
            <w:r>
              <w:rPr>
                <w:rFonts w:ascii="Arial;Helvetica;Sans-Serif" w:hAnsi="Arial;Helvetica;Sans-Serif"/>
                <w:sz w:val="16"/>
              </w:rPr>
              <w:t>40 bps </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b/>
                <w:sz w:val="16"/>
              </w:rPr>
            </w:pPr>
            <w:r>
              <w:rPr>
                <w:rFonts w:ascii="Arial;Helvetica;Sans-Serif" w:hAnsi="Arial;Helvetica;Sans-Serif"/>
                <w:b/>
                <w:sz w:val="16"/>
              </w:rPr>
              <w:t xml:space="preserve">Capital adequacy - BCP Stand-alone </w:t>
            </w:r>
            <w:r>
              <w:rPr>
                <w:rFonts w:ascii="Arial;Helvetica;Sans-Serif" w:hAnsi="Arial;Helvetica;Sans-Serif"/>
                <w:b/>
                <w:i w:val="false"/>
                <w:caps w:val="false"/>
                <w:smallCaps w:val="false"/>
                <w:sz w:val="16"/>
              </w:rPr>
              <w:t>(7)</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493" w:type="dxa"/>
            <w:tcBorders/>
            <w:tcMar>
              <w:top w:w="0" w:type="dxa"/>
              <w:left w:w="0" w:type="dxa"/>
            </w:tcMar>
            <w:vAlign w:val="center"/>
          </w:tcPr>
          <w:p>
            <w:pPr>
              <w:pStyle w:val="TableContents"/>
              <w:bidi w:val="0"/>
              <w:spacing w:before="0" w:after="283"/>
              <w:jc w:val="center"/>
              <w:rPr/>
            </w:pPr>
            <w:r>
              <w:rPr/>
              <w:t> </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80" w:type="dxa"/>
            <w:tcBorders/>
            <w:tcMar>
              <w:top w:w="0" w:type="dxa"/>
              <w:left w:w="0" w:type="dxa"/>
            </w:tcMar>
            <w:vAlign w:val="center"/>
          </w:tcPr>
          <w:p>
            <w:pPr>
              <w:pStyle w:val="TableContents"/>
              <w:bidi w:val="0"/>
              <w:spacing w:before="0" w:after="283"/>
              <w:jc w:val="right"/>
              <w:rPr>
                <w:color w:val="FF0000"/>
              </w:rPr>
            </w:pPr>
            <w:r>
              <w:rPr>
                <w:color w:val="FF0000"/>
              </w:rPr>
              <w:t> </w:t>
            </w:r>
          </w:p>
        </w:tc>
        <w:tc>
          <w:tcPr>
            <w:tcW w:w="980" w:type="dxa"/>
            <w:tcBorders/>
            <w:tcMar>
              <w:top w:w="0" w:type="dxa"/>
              <w:left w:w="0" w:type="dxa"/>
            </w:tcMar>
            <w:vAlign w:val="center"/>
          </w:tcPr>
          <w:p>
            <w:pPr>
              <w:pStyle w:val="TableContents"/>
              <w:bidi w:val="0"/>
              <w:spacing w:before="0" w:after="283"/>
              <w:jc w:val="right"/>
              <w:rPr>
                <w:color w:val="FF0000"/>
              </w:rPr>
            </w:pPr>
            <w:r>
              <w:rPr>
                <w:color w:val="FF0000"/>
              </w:rPr>
              <w:t> </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color w:val="FF0000"/>
              </w:rPr>
            </w:pPr>
            <w:r>
              <w:rPr>
                <w:color w:val="FF0000"/>
              </w:rPr>
              <w:t> </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Global Capital ratio </w:t>
            </w:r>
            <w:r>
              <w:rPr>
                <w:rFonts w:ascii="Arial;Helvetica;Sans-Serif" w:hAnsi="Arial;Helvetica;Sans-Serif"/>
                <w:b w:val="false"/>
                <w:i w:val="false"/>
                <w:caps w:val="false"/>
                <w:smallCaps w:val="false"/>
                <w:sz w:val="16"/>
              </w:rPr>
              <w:t>(8)</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16.45%</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17.20%</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 pbs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17.20%</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n.a </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Tier 1 ratio </w:t>
            </w:r>
            <w:r>
              <w:rPr>
                <w:rFonts w:ascii="Arial;Helvetica;Sans-Serif" w:hAnsi="Arial;Helvetica;Sans-Serif"/>
                <w:b w:val="false"/>
                <w:i w:val="false"/>
                <w:caps w:val="false"/>
                <w:smallCaps w:val="false"/>
                <w:sz w:val="16"/>
              </w:rPr>
              <w:t>(9)</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11.86%</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12.75%</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89 pbs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12.75%</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n.a </w:t>
            </w:r>
          </w:p>
        </w:tc>
      </w:tr>
      <w:tr>
        <w:trPr/>
        <w:tc>
          <w:tcPr>
            <w:tcW w:w="3364" w:type="dxa"/>
            <w:tcBorders>
              <w:left w:val="single" w:sz="8" w:space="0" w:color="000000"/>
              <w:bottom w:val="single" w:sz="8" w:space="0" w:color="000000"/>
            </w:tcBorders>
            <w:tcMar>
              <w:top w:w="0" w:type="dxa"/>
              <w:bottom w:w="4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Common equity tier 1 ratio </w:t>
            </w:r>
            <w:r>
              <w:rPr>
                <w:rFonts w:ascii="Arial;Helvetica;Sans-Serif" w:hAnsi="Arial;Helvetica;Sans-Serif"/>
                <w:b w:val="false"/>
                <w:i w:val="false"/>
                <w:caps w:val="false"/>
                <w:smallCaps w:val="false"/>
                <w:sz w:val="16"/>
              </w:rPr>
              <w:t>(10)</w:t>
            </w:r>
          </w:p>
        </w:tc>
        <w:tc>
          <w:tcPr>
            <w:tcW w:w="980"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11.56%</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11.93%</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12.79%</w:t>
            </w:r>
          </w:p>
        </w:tc>
        <w:tc>
          <w:tcPr>
            <w:tcW w:w="493" w:type="dxa"/>
            <w:tcBorders>
              <w:bottom w:val="single" w:sz="8" w:space="0" w:color="000000"/>
            </w:tcBorders>
            <w:tcMar>
              <w:top w:w="0" w:type="dxa"/>
              <w:left w:w="0" w:type="dxa"/>
              <w:bottom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86 pbs</w:t>
            </w:r>
          </w:p>
        </w:tc>
        <w:tc>
          <w:tcPr>
            <w:tcW w:w="512"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123 pbs</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11.56%</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12.79%</w:t>
            </w:r>
          </w:p>
        </w:tc>
        <w:tc>
          <w:tcPr>
            <w:tcW w:w="936" w:type="dxa"/>
            <w:tcBorders>
              <w:left w:val="single" w:sz="8" w:space="0" w:color="000000"/>
              <w:bottom w:val="single" w:sz="8" w:space="0" w:color="000000"/>
              <w:right w:val="single" w:sz="8" w:space="0" w:color="000000"/>
            </w:tcBorders>
            <w:tcMar>
              <w:top w:w="0" w:type="dxa"/>
              <w:bottom w:w="40" w:type="dxa"/>
              <w:right w:w="60" w:type="dxa"/>
            </w:tcMar>
            <w:vAlign w:val="center"/>
          </w:tcPr>
          <w:p>
            <w:pPr>
              <w:pStyle w:val="TableContents"/>
              <w:bidi w:val="0"/>
              <w:spacing w:before="0" w:after="283"/>
              <w:jc w:val="center"/>
              <w:rPr/>
            </w:pPr>
            <w:r>
              <w:rPr/>
              <w:t> </w:t>
            </w:r>
            <w:r>
              <w:rPr>
                <w:rFonts w:ascii="Arial;Helvetica;Sans-Serif" w:hAnsi="Arial;Helvetica;Sans-Serif"/>
                <w:sz w:val="16"/>
              </w:rPr>
              <w:t>123 pbs </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b/>
                <w:sz w:val="16"/>
              </w:rPr>
            </w:pPr>
            <w:r>
              <w:rPr>
                <w:rFonts w:ascii="Arial;Helvetica;Sans-Serif" w:hAnsi="Arial;Helvetica;Sans-Serif"/>
                <w:b/>
                <w:sz w:val="16"/>
              </w:rPr>
              <w:t xml:space="preserve">Capital adequacy - Mibanco </w:t>
            </w:r>
            <w:r>
              <w:rPr>
                <w:rFonts w:ascii="Arial;Helvetica;Sans-Serif" w:hAnsi="Arial;Helvetica;Sans-Serif"/>
                <w:b/>
                <w:i w:val="false"/>
                <w:caps w:val="false"/>
                <w:smallCaps w:val="false"/>
                <w:sz w:val="16"/>
              </w:rPr>
              <w:t>(7)</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493" w:type="dxa"/>
            <w:tcBorders/>
            <w:tcMar>
              <w:top w:w="0" w:type="dxa"/>
              <w:left w:w="0" w:type="dxa"/>
            </w:tcMar>
            <w:vAlign w:val="center"/>
          </w:tcPr>
          <w:p>
            <w:pPr>
              <w:pStyle w:val="TableContents"/>
              <w:bidi w:val="0"/>
              <w:spacing w:before="0" w:after="283"/>
              <w:jc w:val="center"/>
              <w:rPr/>
            </w:pPr>
            <w:r>
              <w:rPr/>
              <w:t> </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80" w:type="dxa"/>
            <w:tcBorders/>
            <w:tcMar>
              <w:top w:w="0" w:type="dxa"/>
              <w:left w:w="0" w:type="dxa"/>
            </w:tcMar>
            <w:vAlign w:val="center"/>
          </w:tcPr>
          <w:p>
            <w:pPr>
              <w:pStyle w:val="TableContents"/>
              <w:bidi w:val="0"/>
              <w:spacing w:before="0" w:after="283"/>
              <w:jc w:val="right"/>
              <w:rPr>
                <w:color w:val="FF0000"/>
              </w:rPr>
            </w:pPr>
            <w:r>
              <w:rPr>
                <w:color w:val="FF0000"/>
              </w:rPr>
              <w:t> </w:t>
            </w:r>
          </w:p>
        </w:tc>
        <w:tc>
          <w:tcPr>
            <w:tcW w:w="980" w:type="dxa"/>
            <w:tcBorders/>
            <w:tcMar>
              <w:top w:w="0" w:type="dxa"/>
              <w:left w:w="0" w:type="dxa"/>
            </w:tcMar>
            <w:vAlign w:val="center"/>
          </w:tcPr>
          <w:p>
            <w:pPr>
              <w:pStyle w:val="TableContents"/>
              <w:bidi w:val="0"/>
              <w:spacing w:before="0" w:after="283"/>
              <w:jc w:val="right"/>
              <w:rPr>
                <w:color w:val="FF0000"/>
              </w:rPr>
            </w:pPr>
            <w:r>
              <w:rPr>
                <w:color w:val="FF0000"/>
              </w:rPr>
              <w:t> </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color w:val="FF0000"/>
              </w:rPr>
            </w:pPr>
            <w:r>
              <w:rPr>
                <w:color w:val="FF0000"/>
              </w:rPr>
              <w:t> </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Global Capital ratio </w:t>
            </w:r>
            <w:r>
              <w:rPr>
                <w:rFonts w:ascii="Arial;Helvetica;Sans-Serif" w:hAnsi="Arial;Helvetica;Sans-Serif"/>
                <w:b w:val="false"/>
                <w:i w:val="false"/>
                <w:caps w:val="false"/>
                <w:smallCaps w:val="false"/>
                <w:sz w:val="16"/>
              </w:rPr>
              <w:t>(8)</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18.76%</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18.78%</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 pbs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18.78%</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n.a </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Tier 1 ratio </w:t>
            </w:r>
            <w:r>
              <w:rPr>
                <w:rFonts w:ascii="Arial;Helvetica;Sans-Serif" w:hAnsi="Arial;Helvetica;Sans-Serif"/>
                <w:b w:val="false"/>
                <w:i w:val="false"/>
                <w:caps w:val="false"/>
                <w:smallCaps w:val="false"/>
                <w:sz w:val="16"/>
              </w:rPr>
              <w:t>(9)</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16.40%</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16.49%</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 pbs</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16.49%</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r>
              <w:rPr>
                <w:rFonts w:ascii="Arial;Helvetica;Sans-Serif" w:hAnsi="Arial;Helvetica;Sans-Serif"/>
                <w:sz w:val="16"/>
              </w:rPr>
              <w:t>n.a </w:t>
            </w:r>
          </w:p>
        </w:tc>
      </w:tr>
      <w:tr>
        <w:trPr/>
        <w:tc>
          <w:tcPr>
            <w:tcW w:w="3364" w:type="dxa"/>
            <w:tcBorders>
              <w:left w:val="single" w:sz="8" w:space="0" w:color="000000"/>
              <w:bottom w:val="single" w:sz="8" w:space="0" w:color="000000"/>
            </w:tcBorders>
            <w:tcMar>
              <w:top w:w="0" w:type="dxa"/>
              <w:bottom w:w="4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Common equity tier 1 ratio </w:t>
            </w:r>
            <w:r>
              <w:rPr>
                <w:rFonts w:ascii="Arial;Helvetica;Sans-Serif" w:hAnsi="Arial;Helvetica;Sans-Serif"/>
                <w:b w:val="false"/>
                <w:i w:val="false"/>
                <w:caps w:val="false"/>
                <w:smallCaps w:val="false"/>
                <w:sz w:val="16"/>
              </w:rPr>
              <w:t>(10)(12)</w:t>
            </w:r>
          </w:p>
        </w:tc>
        <w:tc>
          <w:tcPr>
            <w:tcW w:w="980"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15.02%</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16.38%</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16.59%</w:t>
            </w:r>
          </w:p>
        </w:tc>
        <w:tc>
          <w:tcPr>
            <w:tcW w:w="493" w:type="dxa"/>
            <w:tcBorders>
              <w:bottom w:val="single" w:sz="8" w:space="0" w:color="000000"/>
            </w:tcBorders>
            <w:tcMar>
              <w:top w:w="0" w:type="dxa"/>
              <w:left w:w="0" w:type="dxa"/>
              <w:bottom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 pbs</w:t>
            </w:r>
          </w:p>
        </w:tc>
        <w:tc>
          <w:tcPr>
            <w:tcW w:w="512"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157 pbs</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15.02%</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16.59%</w:t>
            </w:r>
          </w:p>
        </w:tc>
        <w:tc>
          <w:tcPr>
            <w:tcW w:w="936" w:type="dxa"/>
            <w:tcBorders>
              <w:left w:val="single" w:sz="8" w:space="0" w:color="000000"/>
              <w:bottom w:val="single" w:sz="8" w:space="0" w:color="000000"/>
              <w:right w:val="single" w:sz="8" w:space="0" w:color="000000"/>
            </w:tcBorders>
            <w:tcMar>
              <w:top w:w="0" w:type="dxa"/>
              <w:bottom w:w="40" w:type="dxa"/>
              <w:right w:w="60" w:type="dxa"/>
            </w:tcMar>
            <w:vAlign w:val="center"/>
          </w:tcPr>
          <w:p>
            <w:pPr>
              <w:pStyle w:val="TableContents"/>
              <w:bidi w:val="0"/>
              <w:spacing w:before="0" w:after="283"/>
              <w:jc w:val="center"/>
              <w:rPr/>
            </w:pPr>
            <w:r>
              <w:rPr/>
              <w:t> </w:t>
            </w:r>
            <w:r>
              <w:rPr>
                <w:rFonts w:ascii="Arial;Helvetica;Sans-Serif" w:hAnsi="Arial;Helvetica;Sans-Serif"/>
                <w:sz w:val="16"/>
              </w:rPr>
              <w:t>157 pbs </w:t>
            </w:r>
          </w:p>
        </w:tc>
      </w:tr>
      <w:tr>
        <w:trPr/>
        <w:tc>
          <w:tcPr>
            <w:tcW w:w="3364"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Employees</w:t>
            </w:r>
          </w:p>
        </w:tc>
        <w:tc>
          <w:tcPr>
            <w:tcW w:w="980"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36,087</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37,184</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37,380</w:t>
            </w:r>
          </w:p>
        </w:tc>
        <w:tc>
          <w:tcPr>
            <w:tcW w:w="493" w:type="dxa"/>
            <w:tcBorders>
              <w:bottom w:val="single" w:sz="8" w:space="0" w:color="000000"/>
            </w:tcBorders>
            <w:tcMar>
              <w:top w:w="0" w:type="dxa"/>
              <w:left w:w="0" w:type="dxa"/>
              <w:bottom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0.5%</w:t>
            </w:r>
          </w:p>
        </w:tc>
        <w:tc>
          <w:tcPr>
            <w:tcW w:w="512"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3.6%</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36,087</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37,380</w:t>
            </w:r>
          </w:p>
        </w:tc>
        <w:tc>
          <w:tcPr>
            <w:tcW w:w="936" w:type="dxa"/>
            <w:tcBorders>
              <w:left w:val="single" w:sz="8" w:space="0" w:color="000000"/>
              <w:bottom w:val="single" w:sz="8" w:space="0" w:color="000000"/>
              <w:right w:val="single" w:sz="8" w:space="0" w:color="000000"/>
            </w:tcBorders>
            <w:tcMar>
              <w:top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3.6%</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Share Information</w:t>
            </w:r>
          </w:p>
        </w:tc>
        <w:tc>
          <w:tcPr>
            <w:tcW w:w="980" w:type="dxa"/>
            <w:tcBorders>
              <w:left w:val="single" w:sz="8" w:space="0" w:color="000000"/>
            </w:tcBorders>
            <w:tcMar>
              <w:top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493" w:type="dxa"/>
            <w:tcBorders/>
            <w:tcMar>
              <w:top w:w="0" w:type="dxa"/>
              <w:left w:w="0" w:type="dxa"/>
            </w:tcMar>
            <w:vAlign w:val="center"/>
          </w:tcPr>
          <w:p>
            <w:pPr>
              <w:pStyle w:val="TableContents"/>
              <w:bidi w:val="0"/>
              <w:spacing w:before="0" w:after="283"/>
              <w:jc w:val="center"/>
              <w:rPr/>
            </w:pPr>
            <w:r>
              <w:rPr/>
              <w:t> </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80" w:type="dxa"/>
            <w:tcBorders/>
            <w:tcMar>
              <w:top w:w="0" w:type="dxa"/>
              <w:left w:w="0" w:type="dxa"/>
            </w:tcMar>
            <w:vAlign w:val="center"/>
          </w:tcPr>
          <w:p>
            <w:pPr>
              <w:pStyle w:val="TableContents"/>
              <w:bidi w:val="0"/>
              <w:spacing w:before="0" w:after="283"/>
              <w:jc w:val="right"/>
              <w:rPr/>
            </w:pPr>
            <w:r>
              <w:rPr/>
              <w:t> </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pPr>
            <w:r>
              <w:rPr/>
              <w:t> </w:t>
            </w:r>
          </w:p>
        </w:tc>
      </w:tr>
      <w:tr>
        <w:trPr/>
        <w:tc>
          <w:tcPr>
            <w:tcW w:w="3364"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Issued Shares</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94,382</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94,382</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94,382</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94,382</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94,382</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w:t>
            </w:r>
          </w:p>
        </w:tc>
      </w:tr>
      <w:tr>
        <w:trPr/>
        <w:tc>
          <w:tcPr>
            <w:tcW w:w="3364"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Treasury Shares </w:t>
            </w:r>
            <w:r>
              <w:rPr>
                <w:rFonts w:ascii="Arial;Helvetica;Sans-Serif" w:hAnsi="Arial;Helvetica;Sans-Serif"/>
                <w:b w:val="false"/>
                <w:i w:val="false"/>
                <w:caps w:val="false"/>
                <w:smallCaps w:val="false"/>
                <w:sz w:val="16"/>
              </w:rPr>
              <w:t>(11)</w:t>
            </w:r>
          </w:p>
        </w:tc>
        <w:tc>
          <w:tcPr>
            <w:tcW w:w="98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14,849</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14,887</w:t>
            </w:r>
          </w:p>
        </w:tc>
        <w:tc>
          <w:tcPr>
            <w:tcW w:w="98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14,829</w:t>
            </w:r>
          </w:p>
        </w:tc>
        <w:tc>
          <w:tcPr>
            <w:tcW w:w="493"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-0.4%</w:t>
            </w:r>
          </w:p>
        </w:tc>
        <w:tc>
          <w:tcPr>
            <w:tcW w:w="512"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-0.1%</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14,849</w:t>
            </w:r>
          </w:p>
        </w:tc>
        <w:tc>
          <w:tcPr>
            <w:tcW w:w="98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14,829</w:t>
            </w:r>
          </w:p>
        </w:tc>
        <w:tc>
          <w:tcPr>
            <w:tcW w:w="936" w:type="dxa"/>
            <w:tcBorders>
              <w:left w:val="single" w:sz="8" w:space="0" w:color="000000"/>
              <w:right w:val="single" w:sz="8" w:space="0" w:color="000000"/>
            </w:tcBorders>
            <w:tcMar>
              <w:top w:w="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-0.1%</w:t>
            </w:r>
          </w:p>
        </w:tc>
      </w:tr>
      <w:tr>
        <w:trPr/>
        <w:tc>
          <w:tcPr>
            <w:tcW w:w="3364"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Outstanding Shares</w:t>
            </w:r>
          </w:p>
        </w:tc>
        <w:tc>
          <w:tcPr>
            <w:tcW w:w="980"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79,533</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79,495</w:t>
            </w:r>
          </w:p>
        </w:tc>
        <w:tc>
          <w:tcPr>
            <w:tcW w:w="980"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79,553</w:t>
            </w:r>
          </w:p>
        </w:tc>
        <w:tc>
          <w:tcPr>
            <w:tcW w:w="493" w:type="dxa"/>
            <w:tcBorders>
              <w:bottom w:val="single" w:sz="8" w:space="0" w:color="000000"/>
            </w:tcBorders>
            <w:tcMar>
              <w:top w:w="0" w:type="dxa"/>
              <w:left w:w="0" w:type="dxa"/>
              <w:bottom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0.1%</w:t>
            </w:r>
          </w:p>
        </w:tc>
        <w:tc>
          <w:tcPr>
            <w:tcW w:w="512" w:type="dxa"/>
            <w:tcBorders>
              <w:bottom w:val="single" w:sz="8" w:space="0" w:color="000000"/>
              <w:right w:val="single" w:sz="8" w:space="0" w:color="000000"/>
            </w:tcBorders>
            <w:tcMar>
              <w:top w:w="0" w:type="dxa"/>
              <w:left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79,533</w:t>
            </w:r>
          </w:p>
        </w:tc>
        <w:tc>
          <w:tcPr>
            <w:tcW w:w="980" w:type="dxa"/>
            <w:tcBorders>
              <w:bottom w:val="single" w:sz="8" w:space="0" w:color="000000"/>
            </w:tcBorders>
            <w:tcMar>
              <w:top w:w="0" w:type="dxa"/>
              <w:left w:w="0" w:type="dxa"/>
              <w:bottom w:w="4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79,553</w:t>
            </w:r>
          </w:p>
        </w:tc>
        <w:tc>
          <w:tcPr>
            <w:tcW w:w="936" w:type="dxa"/>
            <w:tcBorders>
              <w:left w:val="single" w:sz="8" w:space="0" w:color="000000"/>
              <w:bottom w:val="single" w:sz="8" w:space="0" w:color="000000"/>
              <w:right w:val="single" w:sz="8" w:space="0" w:color="000000"/>
            </w:tcBorders>
            <w:tcMar>
              <w:top w:w="0" w:type="dxa"/>
              <w:bottom w:w="40" w:type="dxa"/>
              <w:right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w:t>
            </w:r>
          </w:p>
        </w:tc>
      </w:tr>
    </w:tbl>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Net Interest Margin = Net Interest Income (Excluding Net Insurance Financial Expenses) / Average Interest Earning Assets</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Funding Cost = Interest Expense (Does not include Net Insurance Financial Expenses) / Average Funding</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Internal Overdue Loans: includes overdue loans and loans under legal collection, according to our internal policy for overdue loans. Internal Overdue Ratio: Internal overdue loans / Total loans</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Non-performing loans (NPL): Internal overdue loans + Refinanced loans. NPL ratio: NPL / Total loans.</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(5) Cost of risk = Annualized provision for loan losses, net of recoveries / Total loans.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 Efficiency Ratio = (Salaries and employee benefits + Administrative expenses + Depreciation and amortization + Association in participation) / (Net interest, similar income and expenses + Fee Income + Net gain on foreign exchange transactions + Net Gain From associates + Net gain on derivatives held for trading + Result on exchange differences + Insurance Underwriting Result)</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(7) Regulatory Capital / Risk-weighted assets (legal minimum = 10% since July 2011).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(8) 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 Common Equity Tier I = Capital + Reserves – 100% of applicable deductions (investment in subsidiaries, goodwill, intangibles and net deferred taxes that rely on future profitability) + retained earnings + unrealized gains.</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Adjusted Risk-Weighted Assets = Risk-weighted assets - (RWA Intangible assets, excluding goodwill, + RWA Deferred tax assets generated as a result of temporary differences in income tax, in excess of 10% of CET1, + RWA Deferred tax assets generated as a result of past losses).”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(10) Consider shares held by Atlantic Security Holding Corporation (ASHC) and stock awards.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(11) Common Equity Tier I calculated based on IFRS Accounting.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5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2" descr=""/>
                          <pic:cNvPicPr>
                            <a:picLocks noChangeAspect="1" noChangeArrowheads="1"/>
                          </pic:cNvPicPr>
                        </pic:nvPicPr>
                        <pic:blipFill>
                          <a:blip r:embed="rId42"/>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3290" w:type="dxa"/>
        <w:jc w:val="left"/>
        <w:tblInd w:w="0" w:type="dxa"/>
        <w:shd w:fill="29D2C8" w:val="clear"/>
        <w:tblLayout w:type="fixed"/>
        <w:tblCellMar>
          <w:top w:w="0" w:type="dxa"/>
          <w:left w:w="0" w:type="dxa"/>
          <w:bottom w:w="0" w:type="dxa"/>
          <w:right w:w="0" w:type="dxa"/>
        </w:tblCellMar>
      </w:tblPr>
      <w:tblGrid>
        <w:gridCol w:w="3290"/>
      </w:tblGrid>
      <w:tr>
        <w:trPr/>
        <w:tc>
          <w:tcPr>
            <w:tcW w:w="3290"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Credicorp’s Strategy Update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E93CAC"/>
          <w:sz w:val="36"/>
        </w:rPr>
      </w:pPr>
      <w:r>
        <w:rPr>
          <w:rFonts w:ascii="Arial;Helvetica;Sans-Serif" w:hAnsi="Arial;Helvetica;Sans-Serif"/>
          <w:b w:val="false"/>
          <w:i w:val="false"/>
          <w:caps w:val="false"/>
          <w:smallCaps w:val="false"/>
          <w:color w:val="E93CAC"/>
          <w:sz w:val="36"/>
        </w:rPr>
        <w:t>Credicorp Strategy</w:t>
      </w:r>
    </w:p>
    <w:p>
      <w:pPr>
        <w:pStyle w:val="TextBody"/>
        <w:bidi w:val="0"/>
        <w:spacing w:before="0" w:after="0"/>
        <w:ind w:left="0" w:right="0" w:hanging="0"/>
        <w:jc w:val="left"/>
        <w:rPr>
          <w:caps w:val="false"/>
          <w:smallCaps w:val="false"/>
          <w:color w:val="E93CAC"/>
        </w:rPr>
      </w:pPr>
      <w:r>
        <w:rPr>
          <w:caps w:val="false"/>
          <w:smallCaps w:val="false"/>
          <w:color w:val="E93CAC"/>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Credicorp is advancing in its execution of a long-term strategy that focuses on three priorities: accelerating digital transformation and innovation; ensuring with have the best talent in place; and integrating sustainability at the core of our businesses.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June 20, 2023, we held Credicorp’s Investor Day. Our senior management highlighted its confidence in our capable team’s ability to anticipate and tackle future challenges and capitalize on emerging markets opportunities. Our strategic approach involves (i) decoupling from the macro by reducing correlation on Peruvian GDP; (ii) strengthening our competitive moats by leveraging our parenting advantage, bolstering digital engagement and developing the best talent; and (iii) increasing focus on sustainability by strengthening corporate governance, pursuing social impact initiatives, and leading the energy transition. We are committed to shaping a resilient and innovative future at Credicorp.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link contains details on this event https://www.credicorpday.com/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Main KPIs of Credicorp’s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620000" cy="3038475"/>
            <wp:effectExtent l="0" t="0" r="0" b="0"/>
            <wp:docPr id="6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3" descr=""/>
                    <pic:cNvPicPr>
                      <a:picLocks noChangeAspect="1" noChangeArrowheads="1"/>
                    </pic:cNvPicPr>
                  </pic:nvPicPr>
                  <pic:blipFill>
                    <a:blip r:embed="rId43"/>
                    <a:stretch>
                      <a:fillRect/>
                    </a:stretch>
                  </pic:blipFill>
                  <pic:spPr bwMode="auto">
                    <a:xfrm>
                      <a:off x="0" y="0"/>
                      <a:ext cx="7620000" cy="3038475"/>
                    </a:xfrm>
                    <a:prstGeom prst="rect">
                      <a:avLst/>
                    </a:prstGeom>
                  </pic:spPr>
                </pic:pic>
              </a:graphicData>
            </a:graphic>
          </wp:inline>
        </w:drawing>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Figures for June 2022, March 2023, and June 2023</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Retail Monetary Transactions conducted through Retail Banking, Internet Banking, Yape and Telecredito/Total Retail Monetary Transactions in Retail Banking.</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Disbursements generated through leads/Total disbursements.</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Disbursements conducted through alternative channels/Total disbursements.</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 Number of loans disbursed/ Total relationship managers.</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 Amount transacted through Mobile Banking, Internet Banking, Yape y POS/ Total amount transacted through Retail Banking.</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 Units sold by Retail Banking through digital channels/ Total number of units sold by Retail Banking.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6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4" descr=""/>
                          <pic:cNvPicPr>
                            <a:picLocks noChangeAspect="1" noChangeArrowheads="1"/>
                          </pic:cNvPicPr>
                        </pic:nvPicPr>
                        <pic:blipFill>
                          <a:blip r:embed="rId44"/>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3290" w:type="dxa"/>
        <w:jc w:val="left"/>
        <w:tblInd w:w="0" w:type="dxa"/>
        <w:shd w:fill="29D2C8" w:val="clear"/>
        <w:tblLayout w:type="fixed"/>
        <w:tblCellMar>
          <w:top w:w="0" w:type="dxa"/>
          <w:left w:w="0" w:type="dxa"/>
          <w:bottom w:w="0" w:type="dxa"/>
          <w:right w:w="0" w:type="dxa"/>
        </w:tblCellMar>
      </w:tblPr>
      <w:tblGrid>
        <w:gridCol w:w="3290"/>
      </w:tblGrid>
      <w:tr>
        <w:trPr/>
        <w:tc>
          <w:tcPr>
            <w:tcW w:w="3290"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Credicorp’s Strategy Update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Disruptive Initiatives: Yape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Yape continues to progress towards its goal of reaching breakeven at some point in 2024, buoyed by its monetization strategy. At the end of 2Q23, Yape hit the 12.6 million user mark and 9.0 million of these affiliates (70%) engage in transactions at least once a month (MAU). Over the last quarter, 615 million transactions were executed (S/53 billion thus far this year), which translated into an average of 25 transactions a month per MAU. By the end of 2Q23, recently launched functionalities had generated income flow for Yape, propelled by transactions by 5.2 million users; in this context, average revenue per MAU situated at S/ 2.5. Yape users see the application as a tool that improves their day-to-day experience. This perception led Yape’s NPS to reach 78 points last quarter.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Monetization drivers that stood out in each of Yape’s ambitions during 2Q23 were: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Be the main source of payments in the country: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xml:space="preserve">○     </w:t>
      </w:r>
      <w:r>
        <w:rPr>
          <w:rFonts w:ascii="Arial;Helvetica;Sans-Serif" w:hAnsi="Arial;Helvetica;Sans-Serif"/>
          <w:b/>
          <w:i w:val="false"/>
          <w:caps w:val="false"/>
          <w:smallCaps w:val="false"/>
          <w:sz w:val="20"/>
        </w:rPr>
        <w:t xml:space="preserve">Mobile Top-Ups: </w:t>
      </w:r>
      <w:r>
        <w:rPr>
          <w:rFonts w:ascii="Arial;Helvetica;Sans-Serif" w:hAnsi="Arial;Helvetica;Sans-Serif"/>
          <w:b w:val="false"/>
          <w:i w:val="false"/>
          <w:caps w:val="false"/>
          <w:smallCaps w:val="false"/>
          <w:sz w:val="20"/>
        </w:rPr>
        <w:t>In 2Q23, Yape users made more than 34.4 million top-ups, which represent an increase of 13.3% and 208% with respect to 1Q23 and 2Q22, respectively.</w:t>
      </w:r>
    </w:p>
    <w:p>
      <w:pPr>
        <w:pStyle w:val="TextBody"/>
        <w:bidi w:val="0"/>
        <w:spacing w:before="0" w:after="0"/>
        <w:ind w:left="1080" w:right="0" w:hanging="0"/>
        <w:jc w:val="both"/>
        <w:rPr>
          <w:caps w:val="false"/>
          <w:smallCaps w:val="false"/>
        </w:rPr>
      </w:pPr>
      <w:r>
        <w:rPr>
          <w:caps w:val="false"/>
          <w:smallCaps w:val="false"/>
        </w:rPr>
        <w:t xml:space="preserve">○     </w:t>
      </w:r>
      <w:r>
        <w:rPr>
          <w:rFonts w:ascii="Arial;Helvetica;Sans-Serif" w:hAnsi="Arial;Helvetica;Sans-Serif"/>
          <w:b/>
          <w:i w:val="false"/>
          <w:caps w:val="false"/>
          <w:smallCaps w:val="false"/>
          <w:sz w:val="20"/>
        </w:rPr>
        <w:t>Service Payments</w:t>
      </w:r>
      <w:r>
        <w:rPr>
          <w:rFonts w:ascii="Arial;Helvetica;Sans-Serif" w:hAnsi="Arial;Helvetica;Sans-Serif"/>
          <w:b w:val="false"/>
          <w:i w:val="false"/>
          <w:caps w:val="false"/>
          <w:smallCaps w:val="false"/>
          <w:sz w:val="20"/>
        </w:rPr>
        <w:t>: In the second quarter of operations, Yaperos made more than 4 million service payments through the Yape app, which represents 8 times 1Q23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Be present in the daily lives of all Yaperos: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In 2Q23, 1.4 million transactions were made through Yape Promos, which represented approximately S/25 million in total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Solving Yaperos financial needs: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In 2Q23, 165.8 thousand microloans were disbursed for a total of S/53.3 million, which represents a slightly reduction of 0.5% with respect to 1Q23.</w:t>
      </w:r>
    </w:p>
    <w:p>
      <w:pPr>
        <w:pStyle w:val="TextBody"/>
        <w:bidi w:val="0"/>
        <w:spacing w:before="0" w:after="0"/>
        <w:jc w:val="both"/>
        <w:rPr>
          <w:caps w:val="false"/>
          <w:smallCaps w:val="false"/>
        </w:rPr>
      </w:pPr>
      <w:r>
        <w:rPr>
          <w:caps w:val="false"/>
          <w:smallCaps w:val="false"/>
        </w:rPr>
        <w:t> </w:t>
      </w:r>
    </w:p>
    <w:tbl>
      <w:tblPr>
        <w:tblW w:w="5549" w:type="dxa"/>
        <w:jc w:val="left"/>
        <w:tblInd w:w="-10" w:type="dxa"/>
        <w:tblLayout w:type="fixed"/>
        <w:tblCellMar>
          <w:top w:w="28" w:type="dxa"/>
          <w:left w:w="70" w:type="dxa"/>
          <w:bottom w:w="28" w:type="dxa"/>
          <w:right w:w="70" w:type="dxa"/>
        </w:tblCellMar>
      </w:tblPr>
      <w:tblGrid>
        <w:gridCol w:w="3740"/>
        <w:gridCol w:w="470"/>
        <w:gridCol w:w="485"/>
        <w:gridCol w:w="854"/>
      </w:tblGrid>
      <w:tr>
        <w:trPr/>
        <w:tc>
          <w:tcPr>
            <w:tcW w:w="3740" w:type="dxa"/>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left"/>
              <w:rPr>
                <w:b/>
                <w:i/>
                <w:sz w:val="20"/>
              </w:rPr>
            </w:pPr>
            <w:r>
              <w:rPr>
                <w:b/>
                <w:i/>
                <w:sz w:val="20"/>
              </w:rPr>
              <w:t>Disruptive Initiatives: Yape</w:t>
            </w:r>
          </w:p>
        </w:tc>
        <w:tc>
          <w:tcPr>
            <w:tcW w:w="470"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i/>
                <w:sz w:val="20"/>
              </w:rPr>
            </w:pPr>
            <w:r>
              <w:rPr>
                <w:b/>
                <w:i/>
                <w:sz w:val="20"/>
              </w:rPr>
              <w:t>2Q22</w:t>
            </w:r>
          </w:p>
        </w:tc>
        <w:tc>
          <w:tcPr>
            <w:tcW w:w="485"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i/>
                <w:sz w:val="20"/>
              </w:rPr>
            </w:pPr>
            <w:r>
              <w:rPr>
                <w:b/>
                <w:i/>
                <w:sz w:val="20"/>
              </w:rPr>
              <w:t>1Q23</w:t>
            </w:r>
          </w:p>
        </w:tc>
        <w:tc>
          <w:tcPr>
            <w:tcW w:w="854" w:type="dxa"/>
            <w:tcBorders>
              <w:top w:val="single" w:sz="8" w:space="0" w:color="000000"/>
              <w:bottom w:val="single" w:sz="8" w:space="0" w:color="000000"/>
              <w:right w:val="single" w:sz="8" w:space="0" w:color="000000"/>
            </w:tcBorders>
            <w:shd w:fill="2AD2C9" w:val="clear"/>
            <w:tcMar>
              <w:left w:w="0" w:type="dxa"/>
            </w:tcMar>
            <w:vAlign w:val="center"/>
          </w:tcPr>
          <w:p>
            <w:pPr>
              <w:pStyle w:val="TableContents"/>
              <w:bidi w:val="0"/>
              <w:spacing w:before="0" w:after="283"/>
              <w:jc w:val="center"/>
              <w:rPr>
                <w:b/>
                <w:i/>
                <w:sz w:val="20"/>
              </w:rPr>
            </w:pPr>
            <w:r>
              <w:rPr>
                <w:b/>
                <w:i/>
                <w:sz w:val="20"/>
              </w:rPr>
              <w:t>2Q23</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i/>
                <w:sz w:val="20"/>
              </w:rPr>
            </w:pPr>
            <w:r>
              <w:rPr>
                <w:b/>
                <w:i/>
                <w:sz w:val="20"/>
              </w:rPr>
              <w:t>Users</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Users (millions)</w:t>
            </w:r>
          </w:p>
        </w:tc>
        <w:tc>
          <w:tcPr>
            <w:tcW w:w="470"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10.0</w:t>
            </w:r>
          </w:p>
        </w:tc>
        <w:tc>
          <w:tcPr>
            <w:tcW w:w="48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12.3</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jc w:val="center"/>
              <w:rPr>
                <w:sz w:val="20"/>
              </w:rPr>
            </w:pPr>
            <w:r>
              <w:rPr>
                <w:sz w:val="20"/>
              </w:rPr>
              <w:t>12.6</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sz w:val="20"/>
              </w:rPr>
            </w:pPr>
            <w:r>
              <w:rPr>
                <w:sz w:val="20"/>
              </w:rPr>
              <w:t>Monthly Active Users (MAU) (millions) (1)</w:t>
            </w:r>
          </w:p>
        </w:tc>
        <w:tc>
          <w:tcPr>
            <w:tcW w:w="470" w:type="dxa"/>
            <w:tcBorders/>
            <w:tcMar>
              <w:top w:w="0" w:type="dxa"/>
              <w:left w:w="0" w:type="dxa"/>
              <w:bottom w:w="0" w:type="dxa"/>
              <w:right w:w="0" w:type="dxa"/>
            </w:tcMar>
            <w:vAlign w:val="center"/>
          </w:tcPr>
          <w:p>
            <w:pPr>
              <w:pStyle w:val="TableContents"/>
              <w:bidi w:val="0"/>
              <w:spacing w:before="0" w:after="283"/>
              <w:jc w:val="center"/>
              <w:rPr>
                <w:sz w:val="20"/>
              </w:rPr>
            </w:pPr>
            <w:r>
              <w:rPr>
                <w:sz w:val="20"/>
              </w:rPr>
              <w:t>5.9</w:t>
            </w:r>
          </w:p>
        </w:tc>
        <w:tc>
          <w:tcPr>
            <w:tcW w:w="48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8.4</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jc w:val="center"/>
              <w:rPr>
                <w:sz w:val="20"/>
              </w:rPr>
            </w:pPr>
            <w:r>
              <w:rPr>
                <w:sz w:val="20"/>
              </w:rPr>
              <w:t>9.0</w:t>
            </w:r>
          </w:p>
        </w:tc>
      </w:tr>
      <w:tr>
        <w:trPr/>
        <w:tc>
          <w:tcPr>
            <w:tcW w:w="37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Fee Income Generating MAU (millions)</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1.4</w:t>
            </w:r>
          </w:p>
        </w:tc>
        <w:tc>
          <w:tcPr>
            <w:tcW w:w="485"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4.0</w:t>
            </w:r>
          </w:p>
        </w:tc>
        <w:tc>
          <w:tcPr>
            <w:tcW w:w="8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5.2</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Engagement</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 Monthly Transactions (millions)</w:t>
            </w:r>
          </w:p>
        </w:tc>
        <w:tc>
          <w:tcPr>
            <w:tcW w:w="470" w:type="dxa"/>
            <w:tcBorders/>
            <w:tcMar>
              <w:top w:w="0" w:type="dxa"/>
              <w:left w:w="0" w:type="dxa"/>
              <w:bottom w:w="0" w:type="dxa"/>
              <w:right w:w="0" w:type="dxa"/>
            </w:tcMar>
            <w:vAlign w:val="center"/>
          </w:tcPr>
          <w:p>
            <w:pPr>
              <w:pStyle w:val="TableContents"/>
              <w:bidi w:val="0"/>
              <w:spacing w:before="0" w:after="283"/>
              <w:jc w:val="center"/>
              <w:rPr>
                <w:sz w:val="20"/>
              </w:rPr>
            </w:pPr>
            <w:r>
              <w:rPr>
                <w:sz w:val="20"/>
              </w:rPr>
              <w:t>88.9</w:t>
            </w:r>
          </w:p>
        </w:tc>
        <w:tc>
          <w:tcPr>
            <w:tcW w:w="48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178.0</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jc w:val="center"/>
              <w:rPr>
                <w:sz w:val="20"/>
              </w:rPr>
            </w:pPr>
            <w:r>
              <w:rPr>
                <w:sz w:val="20"/>
              </w:rPr>
              <w:t>220.7</w:t>
            </w:r>
          </w:p>
        </w:tc>
      </w:tr>
      <w:tr>
        <w:trPr/>
        <w:tc>
          <w:tcPr>
            <w:tcW w:w="374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283"/>
              <w:jc w:val="left"/>
              <w:rPr>
                <w:sz w:val="20"/>
              </w:rPr>
            </w:pPr>
            <w:r>
              <w:rPr>
                <w:sz w:val="20"/>
              </w:rPr>
              <w:t>TPV (3) (S/, millions)</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24.6</w:t>
            </w:r>
          </w:p>
        </w:tc>
        <w:tc>
          <w:tcPr>
            <w:tcW w:w="485"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24.0</w:t>
            </w:r>
          </w:p>
        </w:tc>
        <w:tc>
          <w:tcPr>
            <w:tcW w:w="8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53.5</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i/>
                <w:sz w:val="20"/>
              </w:rPr>
            </w:pPr>
            <w:r>
              <w:rPr>
                <w:b/>
                <w:i/>
                <w:sz w:val="20"/>
              </w:rPr>
              <w:t>Experience</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74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40" w:before="0" w:after="283"/>
              <w:jc w:val="left"/>
              <w:rPr>
                <w:sz w:val="20"/>
              </w:rPr>
            </w:pPr>
            <w:r>
              <w:rPr>
                <w:sz w:val="20"/>
              </w:rPr>
              <w:t>NPS (2)</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58</w:t>
            </w:r>
          </w:p>
        </w:tc>
        <w:tc>
          <w:tcPr>
            <w:tcW w:w="485"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73</w:t>
            </w:r>
          </w:p>
        </w:tc>
        <w:tc>
          <w:tcPr>
            <w:tcW w:w="8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78</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i/>
                <w:sz w:val="20"/>
              </w:rPr>
            </w:pPr>
            <w:r>
              <w:rPr>
                <w:b/>
                <w:i/>
                <w:sz w:val="20"/>
              </w:rPr>
              <w:t>Metric per Monthly Active User (MAU)</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Monthly Transactions / MAU</w:t>
            </w:r>
          </w:p>
        </w:tc>
        <w:tc>
          <w:tcPr>
            <w:tcW w:w="470"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15</w:t>
            </w:r>
          </w:p>
        </w:tc>
        <w:tc>
          <w:tcPr>
            <w:tcW w:w="48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21</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jc w:val="center"/>
              <w:rPr>
                <w:sz w:val="20"/>
              </w:rPr>
            </w:pPr>
            <w:r>
              <w:rPr>
                <w:sz w:val="20"/>
              </w:rPr>
              <w:t>25</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Monthly Revenues / MAU</w:t>
            </w:r>
          </w:p>
        </w:tc>
        <w:tc>
          <w:tcPr>
            <w:tcW w:w="470"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1.0</w:t>
            </w:r>
          </w:p>
        </w:tc>
        <w:tc>
          <w:tcPr>
            <w:tcW w:w="48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1.9</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jc w:val="center"/>
              <w:rPr>
                <w:sz w:val="20"/>
              </w:rPr>
            </w:pPr>
            <w:r>
              <w:rPr>
                <w:sz w:val="20"/>
              </w:rPr>
              <w:t>2.5</w:t>
            </w:r>
          </w:p>
        </w:tc>
      </w:tr>
      <w:tr>
        <w:trPr/>
        <w:tc>
          <w:tcPr>
            <w:tcW w:w="37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Monthly Cash Cost / MAU</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6.0</w:t>
            </w:r>
          </w:p>
        </w:tc>
        <w:tc>
          <w:tcPr>
            <w:tcW w:w="485"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5.1</w:t>
            </w:r>
          </w:p>
        </w:tc>
        <w:tc>
          <w:tcPr>
            <w:tcW w:w="8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4.4</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Monetization Drivers</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ind w:left="0" w:right="0" w:firstLine="204"/>
              <w:jc w:val="center"/>
              <w:rPr/>
            </w:pPr>
            <w:r>
              <w:rPr/>
              <w:t> </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Payments</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ind w:left="0" w:right="0" w:firstLine="204"/>
              <w:jc w:val="center"/>
              <w:rPr/>
            </w:pPr>
            <w:r>
              <w:rPr/>
              <w:t> </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i/>
                <w:sz w:val="20"/>
              </w:rPr>
            </w:pPr>
            <w:r>
              <w:rPr>
                <w:i/>
                <w:sz w:val="20"/>
              </w:rPr>
              <w:t># Mobile Top-Ups transactions (millions)</w:t>
            </w:r>
          </w:p>
        </w:tc>
        <w:tc>
          <w:tcPr>
            <w:tcW w:w="470"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11.2</w:t>
            </w:r>
          </w:p>
        </w:tc>
        <w:tc>
          <w:tcPr>
            <w:tcW w:w="48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30.4</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ind w:left="0" w:right="0" w:firstLine="204"/>
              <w:jc w:val="center"/>
              <w:rPr>
                <w:sz w:val="20"/>
              </w:rPr>
            </w:pPr>
            <w:r>
              <w:rPr>
                <w:sz w:val="20"/>
              </w:rPr>
              <w:t>34.4</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i/>
                <w:sz w:val="20"/>
              </w:rPr>
            </w:pPr>
            <w:r>
              <w:rPr>
                <w:i/>
                <w:sz w:val="20"/>
              </w:rPr>
              <w:t># Utilities Payments transactions (thousands)</w:t>
            </w:r>
          </w:p>
        </w:tc>
        <w:tc>
          <w:tcPr>
            <w:tcW w:w="470" w:type="dxa"/>
            <w:tcBorders/>
            <w:tcMar>
              <w:top w:w="0" w:type="dxa"/>
              <w:left w:w="0" w:type="dxa"/>
              <w:bottom w:w="0" w:type="dxa"/>
              <w:right w:w="0" w:type="dxa"/>
            </w:tcMar>
            <w:vAlign w:val="center"/>
          </w:tcPr>
          <w:p>
            <w:pPr>
              <w:pStyle w:val="TableContents"/>
              <w:bidi w:val="0"/>
              <w:spacing w:before="0" w:after="283"/>
              <w:jc w:val="center"/>
              <w:rPr>
                <w:sz w:val="20"/>
              </w:rPr>
            </w:pPr>
            <w:r>
              <w:rPr>
                <w:sz w:val="20"/>
              </w:rPr>
              <w:t>-</w:t>
            </w:r>
          </w:p>
        </w:tc>
        <w:tc>
          <w:tcPr>
            <w:tcW w:w="48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646.8</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ind w:left="0" w:right="0" w:firstLine="204"/>
              <w:jc w:val="center"/>
              <w:rPr>
                <w:sz w:val="20"/>
              </w:rPr>
            </w:pPr>
            <w:r>
              <w:rPr>
                <w:sz w:val="20"/>
              </w:rPr>
              <w:t>5,099.4</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Yape Promos</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ind w:left="0" w:right="0" w:firstLine="204"/>
              <w:jc w:val="center"/>
              <w:rPr/>
            </w:pPr>
            <w:r>
              <w:rPr/>
              <w:t> </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sz w:val="20"/>
              </w:rPr>
            </w:pPr>
            <w:r>
              <w:rPr>
                <w:sz w:val="20"/>
              </w:rPr>
              <w:t>GMV (4) (S/, millions)</w:t>
            </w:r>
          </w:p>
        </w:tc>
        <w:tc>
          <w:tcPr>
            <w:tcW w:w="470" w:type="dxa"/>
            <w:tcBorders/>
            <w:tcMar>
              <w:top w:w="0" w:type="dxa"/>
              <w:left w:w="0" w:type="dxa"/>
              <w:bottom w:w="0" w:type="dxa"/>
              <w:right w:w="0" w:type="dxa"/>
            </w:tcMar>
            <w:vAlign w:val="center"/>
          </w:tcPr>
          <w:p>
            <w:pPr>
              <w:pStyle w:val="TableContents"/>
              <w:bidi w:val="0"/>
              <w:spacing w:before="0" w:after="283"/>
              <w:jc w:val="center"/>
              <w:rPr>
                <w:sz w:val="20"/>
              </w:rPr>
            </w:pPr>
            <w:r>
              <w:rPr>
                <w:sz w:val="20"/>
              </w:rPr>
              <w:t>-</w:t>
            </w:r>
          </w:p>
        </w:tc>
        <w:tc>
          <w:tcPr>
            <w:tcW w:w="48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10</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ind w:left="0" w:right="0" w:firstLine="204"/>
              <w:jc w:val="center"/>
              <w:rPr>
                <w:sz w:val="20"/>
              </w:rPr>
            </w:pPr>
            <w:r>
              <w:rPr>
                <w:sz w:val="20"/>
              </w:rPr>
              <w:t>25</w:t>
            </w:r>
          </w:p>
        </w:tc>
      </w:tr>
      <w:tr>
        <w:trPr/>
        <w:tc>
          <w:tcPr>
            <w:tcW w:w="374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sz w:val="20"/>
              </w:rPr>
            </w:pPr>
            <w:r>
              <w:rPr>
                <w:b/>
                <w:sz w:val="20"/>
              </w:rPr>
              <w:t>Microloans</w:t>
            </w:r>
          </w:p>
        </w:tc>
        <w:tc>
          <w:tcPr>
            <w:tcW w:w="4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right w:val="single" w:sz="8" w:space="0" w:color="000000"/>
            </w:tcBorders>
            <w:tcMar>
              <w:top w:w="0" w:type="dxa"/>
              <w:left w:w="0" w:type="dxa"/>
              <w:bottom w:w="0" w:type="dxa"/>
            </w:tcMar>
            <w:vAlign w:val="center"/>
          </w:tcPr>
          <w:p>
            <w:pPr>
              <w:pStyle w:val="TableContents"/>
              <w:bidi w:val="0"/>
              <w:spacing w:before="0" w:after="283"/>
              <w:ind w:left="0" w:right="0" w:firstLine="204"/>
              <w:jc w:val="center"/>
              <w:rPr/>
            </w:pPr>
            <w:r>
              <w:rPr/>
              <w:t> </w:t>
            </w:r>
          </w:p>
        </w:tc>
      </w:tr>
      <w:tr>
        <w:trPr/>
        <w:tc>
          <w:tcPr>
            <w:tcW w:w="37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i/>
                <w:sz w:val="20"/>
              </w:rPr>
            </w:pPr>
            <w:r>
              <w:rPr>
                <w:i/>
                <w:sz w:val="20"/>
              </w:rPr>
              <w:t># Disbursements (thousands)</w:t>
            </w:r>
          </w:p>
        </w:tc>
        <w:tc>
          <w:tcPr>
            <w:tcW w:w="470"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w:t>
            </w:r>
          </w:p>
        </w:tc>
        <w:tc>
          <w:tcPr>
            <w:tcW w:w="485"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166.7</w:t>
            </w:r>
          </w:p>
        </w:tc>
        <w:tc>
          <w:tcPr>
            <w:tcW w:w="8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165.8</w:t>
            </w:r>
          </w:p>
        </w:tc>
      </w:tr>
    </w:tbl>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Yape users that have made at least one transaction over the last month.</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Net Promoting Score</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Total Payment Volume</w:t>
      </w:r>
    </w:p>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Gross Merchant Volume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6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5" descr=""/>
                          <pic:cNvPicPr>
                            <a:picLocks noChangeAspect="1" noChangeArrowheads="1"/>
                          </pic:cNvPicPr>
                        </pic:nvPicPr>
                        <pic:blipFill>
                          <a:blip r:embed="rId45"/>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3290" w:type="dxa"/>
        <w:jc w:val="left"/>
        <w:tblInd w:w="0" w:type="dxa"/>
        <w:shd w:fill="29D2C8" w:val="clear"/>
        <w:tblLayout w:type="fixed"/>
        <w:tblCellMar>
          <w:top w:w="0" w:type="dxa"/>
          <w:left w:w="0" w:type="dxa"/>
          <w:bottom w:w="0" w:type="dxa"/>
          <w:right w:w="0" w:type="dxa"/>
        </w:tblCellMar>
      </w:tblPr>
      <w:tblGrid>
        <w:gridCol w:w="3290"/>
      </w:tblGrid>
      <w:tr>
        <w:trPr/>
        <w:tc>
          <w:tcPr>
            <w:tcW w:w="3290" w:type="dxa"/>
            <w:tcBorders/>
            <w:shd w:fill="29D2C8"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Credicorp’s Strategy Update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Integrating Sustainability in Our Businesses</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more information regarding our sustainability strategy, program and initiatives, please review the following documents: “</w:t>
      </w:r>
      <w:r>
        <w:rPr>
          <w:rFonts w:ascii="Arial;Helvetica;Sans-Serif" w:hAnsi="Arial;Helvetica;Sans-Serif"/>
          <w:b w:val="false"/>
          <w:i w:val="false"/>
          <w:caps w:val="false"/>
          <w:smallCaps w:val="false"/>
          <w:sz w:val="20"/>
          <w:u w:val="single"/>
        </w:rPr>
        <w:t>Sustainability Strategy 2020-25</w:t>
      </w:r>
      <w:r>
        <w:rPr>
          <w:rFonts w:ascii="Arial;Helvetica;Sans-Serif" w:hAnsi="Arial;Helvetica;Sans-Serif"/>
          <w:b w:val="false"/>
          <w:i w:val="false"/>
          <w:caps w:val="false"/>
          <w:smallCaps w:val="false"/>
          <w:sz w:val="20"/>
        </w:rPr>
        <w:t>” and the “</w:t>
      </w:r>
      <w:r>
        <w:rPr>
          <w:rFonts w:ascii="Arial;Helvetica;Sans-Serif" w:hAnsi="Arial;Helvetica;Sans-Serif"/>
          <w:b w:val="false"/>
          <w:i w:val="false"/>
          <w:caps w:val="false"/>
          <w:smallCaps w:val="false"/>
          <w:sz w:val="20"/>
          <w:u w:val="single"/>
        </w:rPr>
        <w:t>Annual and Sustainability Report 2022</w:t>
      </w:r>
      <w:r>
        <w:rPr>
          <w:rFonts w:ascii="Arial;Helvetica;Sans-Serif" w:hAnsi="Arial;Helvetica;Sans-Serif"/>
          <w:b w:val="false"/>
          <w:i w:val="false"/>
          <w:caps w:val="false"/>
          <w:smallCaps w:val="false"/>
          <w:sz w:val="20"/>
        </w:rPr>
        <w:t>”. Noteworthy milestones achieved in the framework of the Sustainability Program during the second quarter of 2023 included: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Environmental Front – Driving environmental sustainability through the financial sector and ESG risk management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Credicorp’s Environmental Strategy has four axes: Carbon Footprint Measurement, Opportunities for Growth, Environmental and Climate Risk Management, and a Delivery Program</w:t>
            </w:r>
          </w:p>
        </w:tc>
      </w:tr>
    </w:tbl>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left"/>
              <w:rPr/>
            </w:pPr>
            <w:r>
              <w:rPr/>
              <w:t>In 2Q23, we began work to roll out the environmental strategy at the corporate level:</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i/>
              </w:rPr>
              <w:t>Carbon Footprint Measurement:</w:t>
            </w:r>
            <w:r>
              <w:rPr/>
              <w:t xml:space="preserve"> We made progress in our quest to build internal capacities to apply the PCAF methodology to measure our financed footprint.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00000"/>
              </w:rPr>
            </w:pPr>
            <w:r>
              <w:rPr>
                <w:color w:val="000000"/>
              </w:rPr>
              <w:t>○</w:t>
            </w:r>
          </w:p>
        </w:tc>
        <w:tc>
          <w:tcPr>
            <w:tcW w:w="9998" w:type="dxa"/>
            <w:tcBorders/>
            <w:vAlign w:val="center"/>
          </w:tcPr>
          <w:p>
            <w:pPr>
              <w:pStyle w:val="TableContents"/>
              <w:bidi w:val="0"/>
              <w:spacing w:before="0" w:after="283"/>
              <w:jc w:val="both"/>
              <w:rPr>
                <w:sz w:val="20"/>
              </w:rPr>
            </w:pPr>
            <w:r>
              <w:rPr>
                <w:b/>
                <w:i/>
                <w:sz w:val="20"/>
              </w:rPr>
              <w:t>Business Opportunities</w:t>
            </w:r>
            <w:r>
              <w:rPr>
                <w:sz w:val="20"/>
              </w:rPr>
              <w:t xml:space="preserve">: We developed comprehensive governance for Wholesale Banking’s commercial strategy. USD 146.3 MM was placed in the first half of 2023 via green loans. We developed the Real Estate and Mortgage front and disbursed PEN 5.4 MM in green mortgage loans.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i/>
              </w:rPr>
              <w:t>Risks</w:t>
            </w:r>
            <w:r>
              <w:rPr/>
              <w:t>: We continued to roll out questionnaires to determine on the level of ESG risk management in prioritized sectors (350 Wholesale Banking Clients were assessed). Meetings were held to develop relations with relevant issuers for the investment portfolio (12 issuers).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Social Front – Expanding financial exclusion and educating people about finance and entrepreneurship</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Financial Inclusion</w:t>
            </w:r>
            <w:r>
              <w:rPr/>
              <w:t>: We continued to disseminate studies derived from the Financial Inclusion Index 2022: “Financial Inclusion in Peru’s Macroregions” and “Financial Inclusion and Digitalization.” BCP launched its mobile agent “Chasqui” to bank people in rural areas and in the south of the country. Mibanco Peru launched its “Powerful Women” program, which trained more than 2,200 women leaders and users affiliated with 500 communal food pots and community kitchens. Mibanco Peru also rolled out its “Simi” program to provide services and guidance in Indigenous languages (Quechua and Aymara). Since its launch, 46 branches have set up signage in Quechua and business advisors have been trained to provide services in this language.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i/>
                <w:sz w:val="20"/>
              </w:rPr>
              <w:t>Financial Education</w:t>
            </w:r>
            <w:r>
              <w:rPr>
                <w:sz w:val="20"/>
              </w:rPr>
              <w:t>: BCP continued improving financial behaviors (avoiding Over-indebtedness/Overdraft TC/ Delinquent payments and promoting Savings) of 89 thousand clients through its Educating through our Business initiatives. Prima AFP formalized partnerships with more than 30 organizations to provide financial and pension education. Pacifico Seguros launched “Lima 8.8: Earthquake Alert,” a fiction-based podcast to create awareness of what could happen if a powerful earthquake occurs; this edition reached 7 thousand listeners.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information on other initiatives through the aforementioned platforms and others on the social front, please review the following table:</w:t>
      </w:r>
    </w:p>
    <w:p>
      <w:pPr>
        <w:pStyle w:val="TextBody"/>
        <w:bidi w:val="0"/>
        <w:spacing w:before="0" w:after="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0" w:type="dxa"/>
        </w:tblCellMar>
      </w:tblPr>
      <w:tblGrid>
        <w:gridCol w:w="6602"/>
        <w:gridCol w:w="1212"/>
        <w:gridCol w:w="1098"/>
        <w:gridCol w:w="1293"/>
      </w:tblGrid>
      <w:tr>
        <w:trPr/>
        <w:tc>
          <w:tcPr>
            <w:tcW w:w="6602" w:type="dxa"/>
            <w:tcBorders>
              <w:top w:val="single" w:sz="8" w:space="0" w:color="000000"/>
              <w:left w:val="single" w:sz="8" w:space="0" w:color="000000"/>
              <w:bottom w:val="single" w:sz="8" w:space="0" w:color="000000"/>
            </w:tcBorders>
            <w:shd w:fill="2AD2C9"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b/>
                <w:i/>
                <w:sz w:val="18"/>
              </w:rPr>
              <w:t>Progress on initiatives </w:t>
            </w:r>
            <w:r>
              <w:rPr>
                <w:rFonts w:ascii="Arial;Helvetica;Sans-Serif" w:hAnsi="Arial;Helvetica;Sans-Serif"/>
                <w:sz w:val="18"/>
              </w:rPr>
              <w:t> </w:t>
            </w:r>
          </w:p>
        </w:tc>
        <w:tc>
          <w:tcPr>
            <w:tcW w:w="1212" w:type="dxa"/>
            <w:tcBorders>
              <w:top w:val="single" w:sz="8" w:space="0" w:color="000000"/>
              <w:left w:val="single" w:sz="8" w:space="0" w:color="000000"/>
              <w:bottom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b/>
                <w:i/>
                <w:sz w:val="18"/>
              </w:rPr>
            </w:pPr>
            <w:r>
              <w:rPr>
                <w:rFonts w:ascii="Arial;Helvetica;Sans-Serif" w:hAnsi="Arial;Helvetica;Sans-Serif"/>
                <w:b/>
                <w:i/>
                <w:sz w:val="18"/>
              </w:rPr>
              <w:t>Company</w:t>
            </w:r>
          </w:p>
        </w:tc>
        <w:tc>
          <w:tcPr>
            <w:tcW w:w="1098" w:type="dxa"/>
            <w:tcBorders>
              <w:top w:val="single" w:sz="8" w:space="0" w:color="000000"/>
              <w:bottom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b/>
                <w:i/>
                <w:sz w:val="18"/>
              </w:rPr>
              <w:t>1Q23</w:t>
            </w:r>
            <w:r>
              <w:rPr>
                <w:rFonts w:ascii="Arial;Helvetica;Sans-Serif" w:hAnsi="Arial;Helvetica;Sans-Serif"/>
                <w:sz w:val="18"/>
              </w:rPr>
              <w:t> </w:t>
            </w:r>
          </w:p>
        </w:tc>
        <w:tc>
          <w:tcPr>
            <w:tcW w:w="1293" w:type="dxa"/>
            <w:tcBorders>
              <w:top w:val="single" w:sz="8" w:space="0" w:color="000000"/>
              <w:left w:val="single" w:sz="8" w:space="0" w:color="000000"/>
              <w:bottom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b/>
                <w:i/>
                <w:sz w:val="18"/>
              </w:rPr>
              <w:t>2Q23</w:t>
            </w:r>
            <w:r>
              <w:rPr>
                <w:rFonts w:ascii="Arial;Helvetica;Sans-Serif" w:hAnsi="Arial;Helvetica;Sans-Serif"/>
                <w:sz w:val="18"/>
              </w:rPr>
              <w:t> </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Financial Inclusion</w:t>
            </w:r>
          </w:p>
        </w:tc>
      </w:tr>
      <w:tr>
        <w:trPr/>
        <w:tc>
          <w:tcPr>
            <w:tcW w:w="6602" w:type="dxa"/>
            <w:tcBorders>
              <w:left w:val="single" w:sz="8" w:space="0" w:color="000000"/>
            </w:tcBorders>
            <w:tcMar>
              <w:top w:w="0" w:type="dxa"/>
              <w:bottom w:w="0" w:type="dxa"/>
            </w:tcMar>
            <w:vAlign w:val="center"/>
          </w:tcPr>
          <w:p>
            <w:pPr>
              <w:pStyle w:val="TableContents"/>
              <w:bidi w:val="0"/>
              <w:spacing w:lineRule="auto" w:line="240" w:before="0" w:after="283"/>
              <w:jc w:val="left"/>
              <w:rPr>
                <w:rFonts w:ascii="Arial;Helvetica;Sans-Serif" w:hAnsi="Arial;Helvetica;Sans-Serif"/>
                <w:sz w:val="18"/>
              </w:rPr>
            </w:pPr>
            <w:r>
              <w:rPr>
                <w:rFonts w:ascii="Arial;Helvetica;Sans-Serif" w:hAnsi="Arial;Helvetica;Sans-Serif"/>
                <w:sz w:val="18"/>
              </w:rPr>
              <w:t>Financially included through Yape (1) </w:t>
            </w:r>
          </w:p>
        </w:tc>
        <w:tc>
          <w:tcPr>
            <w:tcW w:w="1212"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BCP</w:t>
            </w:r>
          </w:p>
        </w:tc>
        <w:tc>
          <w:tcPr>
            <w:tcW w:w="1098" w:type="dxa"/>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93 thousand </w:t>
            </w:r>
          </w:p>
        </w:tc>
        <w:tc>
          <w:tcPr>
            <w:tcW w:w="1293"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150 thousand </w:t>
            </w:r>
          </w:p>
        </w:tc>
      </w:tr>
      <w:tr>
        <w:trPr/>
        <w:tc>
          <w:tcPr>
            <w:tcW w:w="6602" w:type="dxa"/>
            <w:tcBorders>
              <w:left w:val="single" w:sz="8" w:space="0" w:color="000000"/>
            </w:tcBorders>
            <w:tcMar>
              <w:top w:w="0" w:type="dxa"/>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SME-Pymes financially included through loans (working capital and invoice discounting) – YTD 2023 </w:t>
            </w:r>
          </w:p>
        </w:tc>
        <w:tc>
          <w:tcPr>
            <w:tcW w:w="1212"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BCP</w:t>
            </w:r>
          </w:p>
        </w:tc>
        <w:tc>
          <w:tcPr>
            <w:tcW w:w="1098" w:type="dxa"/>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7.7 thousand </w:t>
            </w:r>
          </w:p>
        </w:tc>
        <w:tc>
          <w:tcPr>
            <w:tcW w:w="1293" w:type="dxa"/>
            <w:tcBorders>
              <w:left w:val="single" w:sz="8" w:space="0" w:color="000000"/>
              <w:right w:val="single" w:sz="8" w:space="0" w:color="000000"/>
            </w:tcBorders>
            <w:tcMar>
              <w:top w:w="0" w:type="dxa"/>
              <w:bottom w:w="0" w:type="dxa"/>
              <w:right w:w="28" w:type="dxa"/>
            </w:tcMar>
            <w:vAlign w:val="center"/>
          </w:tcPr>
          <w:p>
            <w:pPr>
              <w:pStyle w:val="TableContents"/>
              <w:bidi w:val="0"/>
              <w:spacing w:lineRule="auto" w:line="240" w:before="0" w:after="283"/>
              <w:jc w:val="center"/>
              <w:rPr>
                <w:rFonts w:ascii="Arial;Helvetica;Sans-Serif" w:hAnsi="Arial;Helvetica;Sans-Serif"/>
                <w:sz w:val="18"/>
              </w:rPr>
            </w:pPr>
            <w:r>
              <w:rPr>
                <w:rFonts w:ascii="Arial;Helvetica;Sans-Serif" w:hAnsi="Arial;Helvetica;Sans-Serif"/>
                <w:sz w:val="18"/>
              </w:rPr>
              <w:t>12.3 thousand (2) </w:t>
            </w:r>
          </w:p>
        </w:tc>
      </w:tr>
      <w:tr>
        <w:trPr/>
        <w:tc>
          <w:tcPr>
            <w:tcW w:w="6602" w:type="dxa"/>
            <w:tcBorders>
              <w:left w:val="single" w:sz="8" w:space="0" w:color="000000"/>
            </w:tcBorders>
            <w:tcMar>
              <w:top w:w="0" w:type="dxa"/>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Stock of inclusive insurance policies</w:t>
            </w:r>
          </w:p>
        </w:tc>
        <w:tc>
          <w:tcPr>
            <w:tcW w:w="1212"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Pacifico Seguros</w:t>
            </w:r>
          </w:p>
        </w:tc>
        <w:tc>
          <w:tcPr>
            <w:tcW w:w="1098" w:type="dxa"/>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2.7 million </w:t>
            </w:r>
          </w:p>
        </w:tc>
        <w:tc>
          <w:tcPr>
            <w:tcW w:w="1293"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2.9 million </w:t>
            </w:r>
          </w:p>
        </w:tc>
      </w:tr>
      <w:tr>
        <w:trPr/>
        <w:tc>
          <w:tcPr>
            <w:tcW w:w="10205" w:type="dxa"/>
            <w:gridSpan w:val="4"/>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Financial Education</w:t>
            </w:r>
          </w:p>
        </w:tc>
      </w:tr>
      <w:tr>
        <w:trPr/>
        <w:tc>
          <w:tcPr>
            <w:tcW w:w="6602" w:type="dxa"/>
            <w:tcBorders>
              <w:left w:val="single" w:sz="8" w:space="0" w:color="000000"/>
            </w:tcBorders>
            <w:tcMar>
              <w:top w:w="0" w:type="dxa"/>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Trained through online courses via ABC at BCP (ABC del BCP) – YTD 2023 </w:t>
            </w:r>
          </w:p>
        </w:tc>
        <w:tc>
          <w:tcPr>
            <w:tcW w:w="1212"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BCP</w:t>
            </w:r>
          </w:p>
        </w:tc>
        <w:tc>
          <w:tcPr>
            <w:tcW w:w="1098" w:type="dxa"/>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77 thousand </w:t>
            </w:r>
          </w:p>
        </w:tc>
        <w:tc>
          <w:tcPr>
            <w:tcW w:w="1293"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202 thousand </w:t>
            </w:r>
          </w:p>
        </w:tc>
      </w:tr>
      <w:tr>
        <w:trPr/>
        <w:tc>
          <w:tcPr>
            <w:tcW w:w="6602" w:type="dxa"/>
            <w:tcBorders>
              <w:left w:val="single" w:sz="8" w:space="0" w:color="000000"/>
            </w:tcBorders>
            <w:tcMar>
              <w:top w:w="0" w:type="dxa"/>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Individuals trained in risk prevention via Safe Community (Comunidad Segura) – YTD 2023 </w:t>
            </w:r>
          </w:p>
        </w:tc>
        <w:tc>
          <w:tcPr>
            <w:tcW w:w="1212"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Pacifico Seguros</w:t>
            </w:r>
          </w:p>
        </w:tc>
        <w:tc>
          <w:tcPr>
            <w:tcW w:w="1098" w:type="dxa"/>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0.4 thousand </w:t>
            </w:r>
          </w:p>
        </w:tc>
        <w:tc>
          <w:tcPr>
            <w:tcW w:w="1293"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24.3 thousand </w:t>
            </w:r>
          </w:p>
        </w:tc>
      </w:tr>
      <w:tr>
        <w:trPr/>
        <w:tc>
          <w:tcPr>
            <w:tcW w:w="6602" w:type="dxa"/>
            <w:tcBorders>
              <w:left w:val="single" w:sz="8" w:space="0" w:color="000000"/>
            </w:tcBorders>
            <w:tcMar>
              <w:top w:w="0" w:type="dxa"/>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Young people trained through the ABC of the Pension Culture (ABC de la Cultura Previsional) – YTD 2023 </w:t>
            </w:r>
          </w:p>
        </w:tc>
        <w:tc>
          <w:tcPr>
            <w:tcW w:w="1212"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Prima AFP</w:t>
            </w:r>
          </w:p>
        </w:tc>
        <w:tc>
          <w:tcPr>
            <w:tcW w:w="1098" w:type="dxa"/>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5.6 thousand </w:t>
            </w:r>
          </w:p>
        </w:tc>
        <w:tc>
          <w:tcPr>
            <w:tcW w:w="1293" w:type="dxa"/>
            <w:tcBorders>
              <w:left w:val="single" w:sz="8" w:space="0" w:color="000000"/>
              <w:right w:val="single" w:sz="8" w:space="0" w:color="000000"/>
            </w:tcBorders>
            <w:tcMar>
              <w:top w:w="0" w:type="dxa"/>
              <w:bottom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24.5 thousand </w:t>
            </w:r>
          </w:p>
        </w:tc>
      </w:tr>
      <w:tr>
        <w:trPr/>
        <w:tc>
          <w:tcPr>
            <w:tcW w:w="6602"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Clients trained through the Basic Program for Digital Guidance (Programa Básica de Asesoría Digital) – YTD 2023 </w:t>
            </w:r>
          </w:p>
        </w:tc>
        <w:tc>
          <w:tcPr>
            <w:tcW w:w="121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 xml:space="preserve">Mibanco Perú </w:t>
            </w:r>
          </w:p>
        </w:tc>
        <w:tc>
          <w:tcPr>
            <w:tcW w:w="1098" w:type="dxa"/>
            <w:tcBorders>
              <w:bottom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108 thousand </w:t>
            </w:r>
          </w:p>
        </w:tc>
        <w:tc>
          <w:tcPr>
            <w:tcW w:w="129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184 thousand </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Opportunities and Products for Women</w:t>
            </w:r>
          </w:p>
        </w:tc>
      </w:tr>
      <w:tr>
        <w:trPr/>
        <w:tc>
          <w:tcPr>
            <w:tcW w:w="6602"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Number of disbursements through Loans for Women</w:t>
            </w:r>
          </w:p>
        </w:tc>
        <w:tc>
          <w:tcPr>
            <w:tcW w:w="121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 xml:space="preserve">Mibanco Perú </w:t>
            </w:r>
          </w:p>
        </w:tc>
        <w:tc>
          <w:tcPr>
            <w:tcW w:w="1098" w:type="dxa"/>
            <w:tcBorders>
              <w:bottom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12.8 thousand </w:t>
            </w:r>
          </w:p>
        </w:tc>
        <w:tc>
          <w:tcPr>
            <w:tcW w:w="129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16.9 thousand </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Helping small businesses grow</w:t>
            </w:r>
          </w:p>
        </w:tc>
      </w:tr>
      <w:tr>
        <w:trPr/>
        <w:tc>
          <w:tcPr>
            <w:tcW w:w="6602"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Trained through Accompanying Entrepreneurs (Contigo Emprendedor) – YTD 2023 </w:t>
            </w:r>
          </w:p>
        </w:tc>
        <w:tc>
          <w:tcPr>
            <w:tcW w:w="121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BCP</w:t>
            </w:r>
          </w:p>
        </w:tc>
        <w:tc>
          <w:tcPr>
            <w:tcW w:w="1098" w:type="dxa"/>
            <w:tcBorders>
              <w:bottom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13.1 thousand</w:t>
            </w:r>
          </w:p>
        </w:tc>
        <w:tc>
          <w:tcPr>
            <w:tcW w:w="129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44 thousand</w:t>
            </w:r>
          </w:p>
        </w:tc>
      </w:tr>
      <w:tr>
        <w:trPr/>
        <w:tc>
          <w:tcPr>
            <w:tcW w:w="6602"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Microbusiness affiliated to Yape – YTD 2023 </w:t>
            </w:r>
          </w:p>
        </w:tc>
        <w:tc>
          <w:tcPr>
            <w:tcW w:w="1212"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BCP</w:t>
            </w:r>
          </w:p>
        </w:tc>
        <w:tc>
          <w:tcPr>
            <w:tcW w:w="1098" w:type="dxa"/>
            <w:tcBorders>
              <w:bottom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 thousand</w:t>
            </w:r>
          </w:p>
        </w:tc>
        <w:tc>
          <w:tcPr>
            <w:tcW w:w="129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3.9 thousand</w:t>
            </w:r>
          </w:p>
        </w:tc>
      </w:tr>
    </w:tbl>
    <w:p>
      <w:pPr>
        <w:pStyle w:val="TextBody"/>
        <w:bidi w:val="0"/>
        <w:spacing w:before="0" w:after="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Clients that have engaged in at least 3 transactions in the last 3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6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6" descr=""/>
                          <pic:cNvPicPr>
                            <a:picLocks noChangeAspect="1" noChangeArrowheads="1"/>
                          </pic:cNvPicPr>
                        </pic:nvPicPr>
                        <pic:blipFill>
                          <a:blip r:embed="rId46"/>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95"/>
        <w:gridCol w:w="2225"/>
      </w:tblGrid>
      <w:tr>
        <w:trPr/>
        <w:tc>
          <w:tcPr>
            <w:tcW w:w="695" w:type="dxa"/>
            <w:tcBorders/>
            <w:vAlign w:val="center"/>
          </w:tcPr>
          <w:p>
            <w:pPr>
              <w:pStyle w:val="TableContents"/>
              <w:bidi w:val="0"/>
              <w:spacing w:before="0" w:after="283"/>
              <w:jc w:val="left"/>
              <w:rPr>
                <w:rFonts w:ascii="Arial;Helvetica;Sans-Serif" w:hAnsi="Arial;Helvetica;Sans-Serif"/>
                <w:b/>
                <w:color w:val="E93CAC"/>
                <w:sz w:val="58"/>
              </w:rPr>
            </w:pPr>
            <w:r>
              <w:rPr>
                <w:rFonts w:ascii="Arial;Helvetica;Sans-Serif" w:hAnsi="Arial;Helvetica;Sans-Serif"/>
                <w:b/>
                <w:color w:val="E93CAC"/>
                <w:sz w:val="58"/>
              </w:rPr>
              <w:t>01</w:t>
            </w:r>
          </w:p>
        </w:tc>
        <w:tc>
          <w:tcPr>
            <w:tcW w:w="2225" w:type="dxa"/>
            <w:tcBorders/>
            <w:vAlign w:val="center"/>
          </w:tcPr>
          <w:p>
            <w:pPr>
              <w:pStyle w:val="TableContents"/>
              <w:bidi w:val="0"/>
              <w:spacing w:before="0" w:after="283"/>
              <w:jc w:val="left"/>
              <w:rPr>
                <w:rFonts w:ascii="Arial;Helvetica;Sans-Serif" w:hAnsi="Arial;Helvetica;Sans-Serif"/>
                <w:color w:val="E93CAC"/>
                <w:sz w:val="36"/>
              </w:rPr>
            </w:pPr>
            <w:r>
              <w:rPr>
                <w:rFonts w:ascii="Arial;Helvetica;Sans-Serif" w:hAnsi="Arial;Helvetica;Sans-Serif"/>
                <w:color w:val="E93CAC"/>
                <w:sz w:val="36"/>
              </w:rPr>
              <w:t>Loan Portfolio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shd w:fill="E93CAC" w:val="clear"/>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QoQ, the structural loan volume, excluding the exchange rate effect, increased 0.2%. As reported and including the impact of the exchange rate variation, the volume fell 0.6%, driven primarily by a downturn in the Wholesale Banking loan volume. This reduction was partially offset by growth in Retail Banking and Mibanco loans, which was buoyed by a decline in heavy rains on the coast this quarter and a respite from social unrest. YoY, structural loans in average daily balances registered growth due to an uptick in loan balances across segments in the Retail Banking portfolio at Mibanco.</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QoQ, the NPL volume growth was driven by (i) Mibanco, which registered growth in its NPL portfolio after reprogrammed loans in 1Q23 became delinquent; (ii) SME-Pyme, which registered deterioration in lower-ticket and higher risk profiles portfolio; and (iii) Individuals, where vulnerable segments, which are more leveraged and have unstable employment, continued to report high levels of NPLs. YoY, growth in the non-performing portfolio was mainly driven by debt refinancing in Wholesale Banking for commercial real estate and tourism loans in 2022 and 1Q23 and secondarily to by an uptick in NPLs in retail, which was attributable to the same factors as those seen QoQ. YoY growth was partially offset by a drop in NPLs for Retail Banking, which fell due to a based effect associated with a portfolio sale 1Q23. As a result of the aforementioned dynamics, the Structural NPL ratio increased QoQ and YoY, standing at 5.3%.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1.1. Loans</w:t>
      </w:r>
    </w:p>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Structural loans (in Average Daily Balances) (1)(2)(3)</w:t>
      </w:r>
    </w:p>
    <w:p>
      <w:pPr>
        <w:pStyle w:val="TextBody"/>
        <w:bidi w:val="0"/>
        <w:spacing w:before="0" w:after="0"/>
        <w:jc w:val="center"/>
        <w:rPr>
          <w:caps w:val="false"/>
          <w:smallCaps w:val="false"/>
        </w:rPr>
      </w:pPr>
      <w:r>
        <w:rPr>
          <w:caps w:val="false"/>
          <w:smallCaps w:val="false"/>
        </w:rPr>
        <w:t> </w:t>
      </w:r>
    </w:p>
    <w:tbl>
      <w:tblPr>
        <w:tblW w:w="8797" w:type="dxa"/>
        <w:jc w:val="left"/>
        <w:tblInd w:w="-10" w:type="dxa"/>
        <w:tblLayout w:type="fixed"/>
        <w:tblCellMar>
          <w:top w:w="120" w:type="dxa"/>
          <w:left w:w="60" w:type="dxa"/>
          <w:bottom w:w="0" w:type="dxa"/>
          <w:right w:w="60" w:type="dxa"/>
        </w:tblCellMar>
      </w:tblPr>
      <w:tblGrid>
        <w:gridCol w:w="1670"/>
        <w:gridCol w:w="695"/>
        <w:gridCol w:w="695"/>
        <w:gridCol w:w="695"/>
        <w:gridCol w:w="709"/>
        <w:gridCol w:w="630"/>
        <w:gridCol w:w="500"/>
        <w:gridCol w:w="545"/>
        <w:gridCol w:w="879"/>
        <w:gridCol w:w="879"/>
        <w:gridCol w:w="900"/>
      </w:tblGrid>
      <w:tr>
        <w:trPr/>
        <w:tc>
          <w:tcPr>
            <w:tcW w:w="167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Structural Loans</w:t>
            </w:r>
          </w:p>
        </w:tc>
        <w:tc>
          <w:tcPr>
            <w:tcW w:w="208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As of</w:t>
            </w:r>
          </w:p>
        </w:tc>
        <w:tc>
          <w:tcPr>
            <w:tcW w:w="1339"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Volume change</w:t>
            </w:r>
          </w:p>
        </w:tc>
        <w:tc>
          <w:tcPr>
            <w:tcW w:w="1045"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 change</w:t>
            </w:r>
          </w:p>
        </w:tc>
        <w:tc>
          <w:tcPr>
            <w:tcW w:w="2658"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 Part. in total structural loans</w:t>
            </w:r>
          </w:p>
        </w:tc>
      </w:tr>
      <w:tr>
        <w:trPr/>
        <w:tc>
          <w:tcPr>
            <w:tcW w:w="1670"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both"/>
              <w:rPr>
                <w:rFonts w:ascii="Arial;Helvetica;Sans-Serif" w:hAnsi="Arial;Helvetica;Sans-Serif"/>
                <w:color w:val="FFFFFF"/>
                <w:sz w:val="18"/>
              </w:rPr>
            </w:pPr>
            <w:r>
              <w:rPr>
                <w:rFonts w:ascii="Arial;Helvetica;Sans-Serif" w:hAnsi="Arial;Helvetica;Sans-Serif"/>
                <w:color w:val="FFFFFF"/>
                <w:sz w:val="18"/>
              </w:rPr>
              <w:t>(S/ millions)</w:t>
            </w:r>
          </w:p>
        </w:tc>
        <w:tc>
          <w:tcPr>
            <w:tcW w:w="69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 22</w:t>
            </w:r>
          </w:p>
        </w:tc>
        <w:tc>
          <w:tcPr>
            <w:tcW w:w="69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Mar 23</w:t>
            </w:r>
          </w:p>
        </w:tc>
        <w:tc>
          <w:tcPr>
            <w:tcW w:w="69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 23</w:t>
            </w:r>
          </w:p>
        </w:tc>
        <w:tc>
          <w:tcPr>
            <w:tcW w:w="709"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QoQ</w:t>
            </w:r>
          </w:p>
        </w:tc>
        <w:tc>
          <w:tcPr>
            <w:tcW w:w="63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YoY</w:t>
            </w:r>
          </w:p>
        </w:tc>
        <w:tc>
          <w:tcPr>
            <w:tcW w:w="50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QoQ</w:t>
            </w:r>
          </w:p>
        </w:tc>
        <w:tc>
          <w:tcPr>
            <w:tcW w:w="54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YoY</w:t>
            </w:r>
          </w:p>
        </w:tc>
        <w:tc>
          <w:tcPr>
            <w:tcW w:w="879"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 22</w:t>
            </w:r>
          </w:p>
        </w:tc>
        <w:tc>
          <w:tcPr>
            <w:tcW w:w="879"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Mar 23</w:t>
            </w:r>
          </w:p>
        </w:tc>
        <w:tc>
          <w:tcPr>
            <w:tcW w:w="90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 23</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BCP Stand-alone</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105,248</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111,792</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110,692</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-1,099</w:t>
            </w:r>
          </w:p>
        </w:tc>
        <w:tc>
          <w:tcPr>
            <w:tcW w:w="63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5,444</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5.2%</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81.4%</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81.4%</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81.1%</w:t>
            </w:r>
          </w:p>
        </w:tc>
      </w:tr>
      <w:tr>
        <w:trPr/>
        <w:tc>
          <w:tcPr>
            <w:tcW w:w="1670" w:type="dxa"/>
            <w:tcBorders>
              <w:left w:val="single" w:sz="8" w:space="0" w:color="000000"/>
              <w:right w:val="single" w:sz="8" w:space="0" w:color="000000"/>
            </w:tcBorders>
            <w:shd w:fill="FFFFFF" w:val="clear"/>
            <w:tcMar>
              <w:top w:w="0" w:type="dxa"/>
              <w:left w:w="20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Wholesale Banking</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52,356</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53,773</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52,022</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-1,751</w:t>
            </w:r>
          </w:p>
        </w:tc>
        <w:tc>
          <w:tcPr>
            <w:tcW w:w="63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-334</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-3.3%</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-0.6%</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40.5%</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39.2%</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38.1%</w:t>
            </w:r>
          </w:p>
        </w:tc>
      </w:tr>
      <w:tr>
        <w:trPr/>
        <w:tc>
          <w:tcPr>
            <w:tcW w:w="1670" w:type="dxa"/>
            <w:tcBorders>
              <w:left w:val="single" w:sz="8" w:space="0" w:color="000000"/>
              <w:right w:val="single" w:sz="8" w:space="0" w:color="000000"/>
            </w:tcBorders>
            <w:shd w:fill="FFFFFF" w:val="clear"/>
            <w:tcMar>
              <w:top w:w="0" w:type="dxa"/>
              <w:left w:w="40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Corporate</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31,404</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32,543</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31,964</w:t>
            </w:r>
          </w:p>
        </w:tc>
        <w:tc>
          <w:tcPr>
            <w:tcW w:w="709" w:type="dxa"/>
            <w:tcBorders/>
            <w:shd w:fill="E93CAC"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-579</w:t>
            </w:r>
          </w:p>
        </w:tc>
        <w:tc>
          <w:tcPr>
            <w:tcW w:w="63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560</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-1.8%</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1.8%</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24.3%</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23.7%</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23.4%</w:t>
            </w:r>
          </w:p>
        </w:tc>
      </w:tr>
      <w:tr>
        <w:trPr/>
        <w:tc>
          <w:tcPr>
            <w:tcW w:w="1670" w:type="dxa"/>
            <w:tcBorders>
              <w:left w:val="single" w:sz="8" w:space="0" w:color="000000"/>
              <w:right w:val="single" w:sz="8" w:space="0" w:color="000000"/>
            </w:tcBorders>
            <w:shd w:fill="FFFFFF" w:val="clear"/>
            <w:tcMar>
              <w:top w:w="0" w:type="dxa"/>
              <w:left w:w="40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Middle - Market</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20,952</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21,230</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20,058</w:t>
            </w:r>
          </w:p>
        </w:tc>
        <w:tc>
          <w:tcPr>
            <w:tcW w:w="709" w:type="dxa"/>
            <w:tcBorders/>
            <w:shd w:fill="E93CAC"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-1,172</w:t>
            </w:r>
          </w:p>
        </w:tc>
        <w:tc>
          <w:tcPr>
            <w:tcW w:w="630" w:type="dxa"/>
            <w:tcBorders>
              <w:right w:val="single" w:sz="8" w:space="0" w:color="000000"/>
            </w:tcBorders>
            <w:shd w:fill="E93CAC"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-894</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-5.5%</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-4.3%</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16.2%</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15.5%</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14.7%</w:t>
            </w:r>
          </w:p>
        </w:tc>
      </w:tr>
      <w:tr>
        <w:trPr/>
        <w:tc>
          <w:tcPr>
            <w:tcW w:w="1670" w:type="dxa"/>
            <w:tcBorders>
              <w:left w:val="single" w:sz="8" w:space="0" w:color="000000"/>
              <w:right w:val="single" w:sz="8" w:space="0" w:color="000000"/>
            </w:tcBorders>
            <w:shd w:fill="FFFFFF" w:val="clear"/>
            <w:tcMar>
              <w:top w:w="0" w:type="dxa"/>
              <w:left w:w="20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Retail Banking</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52,892</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58,018</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58,670</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652</w:t>
            </w:r>
          </w:p>
        </w:tc>
        <w:tc>
          <w:tcPr>
            <w:tcW w:w="63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5,778</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10.9%</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40.9%</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42.3%</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43.0%</w:t>
            </w:r>
          </w:p>
        </w:tc>
      </w:tr>
      <w:tr>
        <w:trPr/>
        <w:tc>
          <w:tcPr>
            <w:tcW w:w="1670" w:type="dxa"/>
            <w:tcBorders>
              <w:left w:val="single" w:sz="8" w:space="0" w:color="000000"/>
              <w:right w:val="single" w:sz="8" w:space="0" w:color="000000"/>
            </w:tcBorders>
            <w:shd w:fill="FFFFFF" w:val="clear"/>
            <w:tcMar>
              <w:top w:w="0" w:type="dxa"/>
              <w:left w:w="40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SME - Business</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5,105</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5,749</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5,921</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172</w:t>
            </w:r>
          </w:p>
        </w:tc>
        <w:tc>
          <w:tcPr>
            <w:tcW w:w="630"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816</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3.0%</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16.0%</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3.9%</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4.2%</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4.3%</w:t>
            </w:r>
          </w:p>
        </w:tc>
      </w:tr>
      <w:tr>
        <w:trPr/>
        <w:tc>
          <w:tcPr>
            <w:tcW w:w="1670" w:type="dxa"/>
            <w:tcBorders>
              <w:left w:val="single" w:sz="8" w:space="0" w:color="000000"/>
              <w:right w:val="single" w:sz="8" w:space="0" w:color="000000"/>
            </w:tcBorders>
            <w:shd w:fill="FFFFFF" w:val="clear"/>
            <w:tcMar>
              <w:top w:w="0" w:type="dxa"/>
              <w:left w:w="40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SME - Pyme</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12,202</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13,583</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13,838</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254</w:t>
            </w:r>
          </w:p>
        </w:tc>
        <w:tc>
          <w:tcPr>
            <w:tcW w:w="63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1,635</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1.9%</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13.4%</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9.4%</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9.9%</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10.1%</w:t>
            </w:r>
          </w:p>
        </w:tc>
      </w:tr>
      <w:tr>
        <w:trPr/>
        <w:tc>
          <w:tcPr>
            <w:tcW w:w="1670" w:type="dxa"/>
            <w:tcBorders>
              <w:left w:val="single" w:sz="8" w:space="0" w:color="000000"/>
              <w:right w:val="single" w:sz="8" w:space="0" w:color="000000"/>
            </w:tcBorders>
            <w:shd w:fill="FFFFFF" w:val="clear"/>
            <w:tcMar>
              <w:top w:w="0" w:type="dxa"/>
              <w:left w:w="40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Mortgage</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19,298</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20,282</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20,448</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167</w:t>
            </w:r>
          </w:p>
        </w:tc>
        <w:tc>
          <w:tcPr>
            <w:tcW w:w="63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1,150</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0.8%</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6.0%</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14.9%</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14.8%</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15.0%</w:t>
            </w:r>
          </w:p>
        </w:tc>
      </w:tr>
      <w:tr>
        <w:trPr/>
        <w:tc>
          <w:tcPr>
            <w:tcW w:w="1670" w:type="dxa"/>
            <w:tcBorders>
              <w:left w:val="single" w:sz="8" w:space="0" w:color="000000"/>
              <w:right w:val="single" w:sz="8" w:space="0" w:color="000000"/>
            </w:tcBorders>
            <w:shd w:fill="FFFFFF" w:val="clear"/>
            <w:tcMar>
              <w:top w:w="0" w:type="dxa"/>
              <w:left w:w="40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Consumer</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11,842</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12,984</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12,771</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-214</w:t>
            </w:r>
          </w:p>
        </w:tc>
        <w:tc>
          <w:tcPr>
            <w:tcW w:w="63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929</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7.8%</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9.2%</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9.5%</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9.4%</w:t>
            </w:r>
          </w:p>
        </w:tc>
      </w:tr>
      <w:tr>
        <w:trPr/>
        <w:tc>
          <w:tcPr>
            <w:tcW w:w="1670" w:type="dxa"/>
            <w:tcBorders>
              <w:left w:val="single" w:sz="8" w:space="0" w:color="000000"/>
              <w:right w:val="single" w:sz="8" w:space="0" w:color="000000"/>
            </w:tcBorders>
            <w:shd w:fill="FFFFFF" w:val="clear"/>
            <w:tcMar>
              <w:top w:w="0" w:type="dxa"/>
              <w:left w:w="40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Credit Card</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4,445</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5,420</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5,692</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273</w:t>
            </w:r>
          </w:p>
        </w:tc>
        <w:tc>
          <w:tcPr>
            <w:tcW w:w="63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1,247</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5.0%</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28.1%</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3.4%</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3.9%</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4.2%</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Mibanco</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12,313</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13,335</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13,728</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393</w:t>
            </w:r>
          </w:p>
        </w:tc>
        <w:tc>
          <w:tcPr>
            <w:tcW w:w="63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1,415</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2.9%</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11.5%</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9.5%</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9.7%</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10.1%</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Mibanco Colombia</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1,152</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1,250</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1,340</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90</w:t>
            </w:r>
          </w:p>
        </w:tc>
        <w:tc>
          <w:tcPr>
            <w:tcW w:w="63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188</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7.2%</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16.4%</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0.9%</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0.9%</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Bolivia</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8,622</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8,951</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8,834</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-117</w:t>
            </w:r>
          </w:p>
        </w:tc>
        <w:tc>
          <w:tcPr>
            <w:tcW w:w="63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212</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2.5%</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6.7%</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6.5%</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6.5%</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 xml:space="preserve">ASB </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2,030</w:t>
            </w:r>
          </w:p>
        </w:tc>
        <w:tc>
          <w:tcPr>
            <w:tcW w:w="69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1,958</w:t>
            </w:r>
          </w:p>
        </w:tc>
        <w:tc>
          <w:tcPr>
            <w:tcW w:w="69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1,831</w:t>
            </w:r>
          </w:p>
        </w:tc>
        <w:tc>
          <w:tcPr>
            <w:tcW w:w="70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-127</w:t>
            </w:r>
          </w:p>
        </w:tc>
        <w:tc>
          <w:tcPr>
            <w:tcW w:w="63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-199</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-6.5%</w:t>
            </w:r>
          </w:p>
        </w:tc>
        <w:tc>
          <w:tcPr>
            <w:tcW w:w="54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-9.8%</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1.6%</w:t>
            </w:r>
          </w:p>
        </w:tc>
        <w:tc>
          <w:tcPr>
            <w:tcW w:w="87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w:t>
            </w:r>
          </w:p>
        </w:tc>
        <w:tc>
          <w:tcPr>
            <w:tcW w:w="9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w:t>
            </w:r>
          </w:p>
        </w:tc>
      </w:tr>
      <w:tr>
        <w:trPr/>
        <w:tc>
          <w:tcPr>
            <w:tcW w:w="1670" w:type="dxa"/>
            <w:tcBorders>
              <w:top w:val="single" w:sz="8" w:space="0" w:color="000000"/>
              <w:left w:val="single" w:sz="8" w:space="0" w:color="000000"/>
              <w:bottom w:val="single" w:sz="8" w:space="0" w:color="000000"/>
              <w:right w:val="single" w:sz="8" w:space="0" w:color="000000"/>
            </w:tcBorders>
            <w:shd w:fill="FFFFFF" w:val="clear"/>
            <w:tcMar>
              <w:top w:w="28" w:type="dxa"/>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BAP’s total loans</w:t>
            </w:r>
          </w:p>
        </w:tc>
        <w:tc>
          <w:tcPr>
            <w:tcW w:w="695"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129,365</w:t>
            </w:r>
          </w:p>
        </w:tc>
        <w:tc>
          <w:tcPr>
            <w:tcW w:w="695"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137,287</w:t>
            </w:r>
          </w:p>
        </w:tc>
        <w:tc>
          <w:tcPr>
            <w:tcW w:w="695" w:type="dxa"/>
            <w:tcBorders>
              <w:top w:val="single" w:sz="8" w:space="0" w:color="000000"/>
              <w:bottom w:val="single" w:sz="8" w:space="0" w:color="000000"/>
              <w:right w:val="single" w:sz="8" w:space="0" w:color="000000"/>
            </w:tcBorders>
            <w:tcMar>
              <w:top w:w="28" w:type="dxa"/>
              <w:left w:w="0" w:type="dxa"/>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136,426</w:t>
            </w:r>
          </w:p>
        </w:tc>
        <w:tc>
          <w:tcPr>
            <w:tcW w:w="709"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-861</w:t>
            </w:r>
          </w:p>
        </w:tc>
        <w:tc>
          <w:tcPr>
            <w:tcW w:w="630" w:type="dxa"/>
            <w:tcBorders>
              <w:top w:val="single" w:sz="8" w:space="0" w:color="000000"/>
              <w:bottom w:val="single" w:sz="8" w:space="0" w:color="000000"/>
              <w:right w:val="single" w:sz="8" w:space="0" w:color="000000"/>
            </w:tcBorders>
            <w:tcMar>
              <w:top w:w="28" w:type="dxa"/>
              <w:left w:w="0" w:type="dxa"/>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7,061</w:t>
            </w:r>
          </w:p>
        </w:tc>
        <w:tc>
          <w:tcPr>
            <w:tcW w:w="500"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-0.6%</w:t>
            </w:r>
          </w:p>
        </w:tc>
        <w:tc>
          <w:tcPr>
            <w:tcW w:w="545" w:type="dxa"/>
            <w:tcBorders>
              <w:top w:val="single" w:sz="8" w:space="0" w:color="000000"/>
              <w:bottom w:val="single" w:sz="8" w:space="0" w:color="000000"/>
              <w:right w:val="single" w:sz="8" w:space="0" w:color="000000"/>
            </w:tcBorders>
            <w:tcMar>
              <w:top w:w="28" w:type="dxa"/>
              <w:left w:w="0" w:type="dxa"/>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5.5%</w:t>
            </w:r>
          </w:p>
        </w:tc>
        <w:tc>
          <w:tcPr>
            <w:tcW w:w="879"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100.0%</w:t>
            </w:r>
          </w:p>
        </w:tc>
        <w:tc>
          <w:tcPr>
            <w:tcW w:w="879" w:type="dxa"/>
            <w:tcBorders>
              <w:top w:val="single" w:sz="8" w:space="0" w:color="000000"/>
              <w:bottom w:val="single" w:sz="8" w:space="0" w:color="000000"/>
            </w:tcBorders>
            <w:tcMar>
              <w:top w:w="28" w:type="dxa"/>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100.0%</w:t>
            </w:r>
          </w:p>
        </w:tc>
        <w:tc>
          <w:tcPr>
            <w:tcW w:w="900" w:type="dxa"/>
            <w:tcBorders>
              <w:top w:val="single" w:sz="8" w:space="0" w:color="000000"/>
              <w:bottom w:val="single" w:sz="8" w:space="0" w:color="000000"/>
              <w:right w:val="single" w:sz="8" w:space="0" w:color="000000"/>
            </w:tcBorders>
            <w:tcMar>
              <w:top w:w="28" w:type="dxa"/>
              <w:left w:w="0" w:type="dxa"/>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100.0%</w:t>
            </w:r>
          </w:p>
        </w:tc>
      </w:tr>
    </w:tbl>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63">
                <wp:simplePos x="0" y="0"/>
                <wp:positionH relativeFrom="column">
                  <wp:align>right</wp:align>
                </wp:positionH>
                <wp:positionV relativeFrom="line">
                  <wp:posOffset>635</wp:posOffset>
                </wp:positionV>
                <wp:extent cx="1165860" cy="263525"/>
                <wp:effectExtent l="0" t="0" r="0" b="0"/>
                <wp:wrapSquare wrapText="left"/>
                <wp:docPr id="64" name="Frame20"/>
                <a:graphic xmlns:a="http://schemas.openxmlformats.org/drawingml/2006/main">
                  <a:graphicData uri="http://schemas.microsoft.com/office/word/2010/wordprocessingShape">
                    <wps:wsp>
                      <wps:cNvSpPr txBox="1"/>
                      <wps:spPr>
                        <a:xfrm>
                          <a:off x="0" y="0"/>
                          <a:ext cx="1165860" cy="263525"/>
                        </a:xfrm>
                        <a:prstGeom prst="rect"/>
                        <a:solidFill>
                          <a:srgbClr val="FFFFFF"/>
                        </a:solidFill>
                      </wps:spPr>
                      <wps:txbx>
                        <w:txbxContent>
                          <w:p>
                            <w:pPr>
                              <w:pStyle w:val="TextBody"/>
                              <w:bidi w:val="0"/>
                              <w:spacing w:before="100" w:after="0"/>
                              <w:jc w:val="right"/>
                              <w:rPr>
                                <w:caps w:val="false"/>
                                <w:smallCaps w:val="false"/>
                              </w:rPr>
                            </w:pPr>
                            <w:r>
                              <w:rPr>
                                <w:caps w:val="false"/>
                                <w:smallCaps w:val="false"/>
                              </w:rPr>
                              <w:drawing>
                                <wp:inline distT="0" distB="0" distL="0" distR="0">
                                  <wp:extent cx="1333500" cy="200025"/>
                                  <wp:effectExtent l="0" t="0" r="0" b="0"/>
                                  <wp:docPr id="6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7" descr=""/>
                                          <pic:cNvPicPr>
                                            <a:picLocks noChangeAspect="1" noChangeArrowheads="1"/>
                                          </pic:cNvPicPr>
                                        </pic:nvPicPr>
                                        <pic:blipFill>
                                          <a:blip r:embed="rId47"/>
                                          <a:stretch>
                                            <a:fillRect/>
                                          </a:stretch>
                                        </pic:blipFill>
                                        <pic:spPr bwMode="auto">
                                          <a:xfrm>
                                            <a:off x="0" y="0"/>
                                            <a:ext cx="1333500" cy="200025"/>
                                          </a:xfrm>
                                          <a:prstGeom prst="rect">
                                            <a:avLst/>
                                          </a:prstGeom>
                                        </pic:spPr>
                                      </pic:pic>
                                    </a:graphicData>
                                  </a:graphic>
                                </wp:inline>
                              </w:drawing>
                            </w:r>
                          </w:p>
                        </w:txbxContent>
                      </wps:txbx>
                      <wps:bodyPr anchor="t" lIns="0" tIns="0" rIns="0" bIns="0">
                        <a:noAutofit/>
                      </wps:bodyPr>
                    </wps:wsp>
                  </a:graphicData>
                </a:graphic>
                <wp14:sizeRelH relativeFrom="margin">
                  <wp14:pctWidth>18000</wp14:pctWidth>
                </wp14:sizeRelH>
              </wp:anchor>
            </w:drawing>
          </mc:Choice>
          <mc:Fallback>
            <w:pict>
              <v:rect style="position:absolute;rotation:-0;width:91.8pt;height:20.75pt;mso-wrap-distance-left:0pt;mso-wrap-distance-right:0pt;mso-wrap-distance-top:0pt;mso-wrap-distance-bottom:0pt;margin-top:0pt;mso-position-vertical:top;mso-position-vertical-relative:text;margin-left:418.45pt;mso-position-horizontal:right;mso-position-horizontal-relative:text">
                <v:textbox>
                  <w:txbxContent>
                    <w:p>
                      <w:pPr>
                        <w:pStyle w:val="TextBody"/>
                        <w:bidi w:val="0"/>
                        <w:spacing w:before="100" w:after="0"/>
                        <w:jc w:val="right"/>
                        <w:rPr>
                          <w:caps w:val="false"/>
                          <w:smallCaps w:val="false"/>
                        </w:rPr>
                      </w:pPr>
                      <w:r>
                        <w:rPr>
                          <w:caps w:val="false"/>
                          <w:smallCaps w:val="false"/>
                        </w:rPr>
                        <w:drawing>
                          <wp:inline distT="0" distB="0" distL="0" distR="0">
                            <wp:extent cx="1333500" cy="200025"/>
                            <wp:effectExtent l="0" t="0" r="0" b="0"/>
                            <wp:docPr id="6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7" descr=""/>
                                    <pic:cNvPicPr>
                                      <a:picLocks noChangeAspect="1" noChangeArrowheads="1"/>
                                    </pic:cNvPicPr>
                                  </pic:nvPicPr>
                                  <pic:blipFill>
                                    <a:blip r:embed="rId48"/>
                                    <a:stretch>
                                      <a:fillRect/>
                                    </a:stretch>
                                  </pic:blipFill>
                                  <pic:spPr bwMode="auto">
                                    <a:xfrm>
                                      <a:off x="0" y="0"/>
                                      <a:ext cx="1333500" cy="20002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5053965" cy="511175"/>
                <wp:effectExtent l="0" t="0" r="0" b="0"/>
                <wp:wrapSquare wrapText="right"/>
                <wp:docPr id="67" name="Frame19"/>
                <a:graphic xmlns:a="http://schemas.openxmlformats.org/drawingml/2006/main">
                  <a:graphicData uri="http://schemas.microsoft.com/office/word/2010/wordprocessingShape">
                    <wps:wsp>
                      <wps:cNvSpPr txBox="1"/>
                      <wps:spPr>
                        <a:xfrm>
                          <a:off x="0" y="0"/>
                          <a:ext cx="5053965" cy="511175"/>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For consolidation purposes, Loans generated in Foreign Currency (FC) are converted to Local Currency (LC).</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Includes Work out unit, and other banking. For Quarter-end Balances figures, please refer to “12. Annexes – 12.2 Loan Portfolio Quality”.</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Structural Portfolio excludes the Loans offered through Reactiva Peru and FAE-Mype Government Programs (GP).</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Internal Management Figures</w:t>
                            </w:r>
                          </w:p>
                        </w:txbxContent>
                      </wps:txbx>
                      <wps:bodyPr anchor="t" lIns="0" tIns="0" rIns="0" bIns="0">
                        <a:noAutofit/>
                      </wps:bodyPr>
                    </wps:wsp>
                  </a:graphicData>
                </a:graphic>
                <wp14:sizeRelH relativeFrom="margin">
                  <wp14:pctWidth>78000</wp14:pctWidth>
                </wp14:sizeRelH>
              </wp:anchor>
            </w:drawing>
          </mc:Choice>
          <mc:Fallback>
            <w:pict>
              <v:rect style="position:absolute;rotation:-0;width:397.9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For consolidation purposes, Loans generated in Foreign Currency (FC) are converted to Local Currency (LC).</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Includes Work out unit, and other banking. For Quarter-end Balances figures, please refer to “12. Annexes – 12.2 Loan Portfolio Quality”.</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Structural Portfolio excludes the Loans offered through Reactiva Peru and FAE-Mype Government Programs (GP).</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Internal Management Figures</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3110230" cy="2516505"/>
                <wp:effectExtent l="0" t="0" r="0" b="0"/>
                <wp:wrapSquare wrapText="right"/>
                <wp:docPr id="68" name="Frame21"/>
                <a:graphic xmlns:a="http://schemas.openxmlformats.org/drawingml/2006/main">
                  <a:graphicData uri="http://schemas.microsoft.com/office/word/2010/wordprocessingShape">
                    <wps:wsp>
                      <wps:cNvSpPr txBox="1"/>
                      <wps:spPr>
                        <a:xfrm>
                          <a:off x="0" y="0"/>
                          <a:ext cx="3110230" cy="2516505"/>
                        </a:xfrm>
                        <a:prstGeom prst="rect"/>
                        <a:solidFill>
                          <a:srgbClr val="FFFFFF"/>
                        </a:solidFill>
                      </wps:spPr>
                      <wps:txb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QoQ, </w:t>
                            </w:r>
                            <w:r>
                              <w:rPr>
                                <w:rFonts w:ascii="Arial;Helvetica;Sans-Serif" w:hAnsi="Arial;Helvetica;Sans-Serif"/>
                                <w:b w:val="false"/>
                                <w:i w:val="false"/>
                                <w:caps w:val="false"/>
                                <w:smallCaps w:val="false"/>
                                <w:sz w:val="20"/>
                              </w:rPr>
                              <w:t>excluding the drop in the exchange rate (USDPEN: -3.6%), structural loans grew 0.2% in average daily balances. As reported and including the aforementioned drop, loans fell -0.6%, driven by: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pPr>
                                  <w:r>
                                    <w:rPr>
                                      <w:b/>
                                    </w:rPr>
                                    <w:t>Wholesale Banking</w:t>
                                  </w:r>
                                  <w:r>
                                    <w:rPr/>
                                    <w:t xml:space="preserve">, which declined 3.3% drop (-2.0% FX Neutral) due to a reduction in balances in the fishing and mining segments within Corporate Banking and Middle Banking, respectively. The aforementioned decline was driven by a reduction in our clients’ investment appetite due to uncertainty surrounding the evolution and impacts of the El Nino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QoQ, </w:t>
                      </w:r>
                      <w:r>
                        <w:rPr>
                          <w:rFonts w:ascii="Arial;Helvetica;Sans-Serif" w:hAnsi="Arial;Helvetica;Sans-Serif"/>
                          <w:b w:val="false"/>
                          <w:i w:val="false"/>
                          <w:caps w:val="false"/>
                          <w:smallCaps w:val="false"/>
                          <w:sz w:val="20"/>
                        </w:rPr>
                        <w:t>excluding the drop in the exchange rate (USDPEN: -3.6%), structural loans grew 0.2% in average daily balances. As reported and including the aforementioned drop, loans fell -0.6%, driven by: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pPr>
                            <w:r>
                              <w:rPr>
                                <w:b/>
                              </w:rPr>
                              <w:t>Wholesale Banking</w:t>
                            </w:r>
                            <w:r>
                              <w:rPr/>
                              <w:t xml:space="preserve">, which declined 3.3% drop (-2.0% FX Neutral) due to a reduction in balances in the fishing and mining segments within Corporate Banking and Middle Banking, respectively. The aforementioned decline was driven by a reduction in our clients’ investment appetite due to uncertainty surrounding the evolution and impacts of the El Nino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5">
                <wp:simplePos x="0" y="0"/>
                <wp:positionH relativeFrom="column">
                  <wp:align>right</wp:align>
                </wp:positionH>
                <wp:positionV relativeFrom="line">
                  <wp:posOffset>635</wp:posOffset>
                </wp:positionV>
                <wp:extent cx="3110230" cy="2107565"/>
                <wp:effectExtent l="0" t="0" r="0" b="0"/>
                <wp:wrapSquare wrapText="left"/>
                <wp:docPr id="69" name="Frame22"/>
                <a:graphic xmlns:a="http://schemas.openxmlformats.org/drawingml/2006/main">
                  <a:graphicData uri="http://schemas.microsoft.com/office/word/2010/wordprocessingShape">
                    <wps:wsp>
                      <wps:cNvSpPr txBox="1"/>
                      <wps:spPr>
                        <a:xfrm>
                          <a:off x="0" y="0"/>
                          <a:ext cx="3110230" cy="2107565"/>
                        </a:xfrm>
                        <a:prstGeom prst="rect"/>
                        <a:solidFill>
                          <a:srgbClr val="FFFFFF"/>
                        </a:solidFill>
                      </wps:spPr>
                      <wps:txbx>
                        <w:txbxContent>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Phenomenon. This contraction was concentrated primarily in Middle Market Banking, which registered a reduction in short-term transactions in both LC and FC.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contraction in Wholesale loans was partially offset by slight growth in average daily balances in:</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pPr>
                                  <w:r>
                                    <w:rPr>
                                      <w:b/>
                                    </w:rPr>
                                    <w:t>Retail Banking</w:t>
                                  </w:r>
                                  <w:r>
                                    <w:rPr/>
                                    <w:t>, where all segments, with the exception of Consumer, reported slight growth with regard to 1Q23.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5.95pt;mso-wrap-distance-left:0pt;mso-wrap-distance-right:0pt;mso-wrap-distance-top:0pt;mso-wrap-distance-bottom:0pt;margin-top:0pt;mso-position-vertical:top;mso-position-vertical-relative:text;margin-left:173.5pt;mso-position-horizontal:right;mso-position-horizontal-relative:text">
                <v:textbox>
                  <w:txbxContent>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Phenomenon. This contraction was concentrated primarily in Middle Market Banking, which registered a reduction in short-term transactions in both LC and FC.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contraction in Wholesale loans was partially offset by slight growth in average daily balances in:</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pPr>
                            <w:r>
                              <w:rPr>
                                <w:b/>
                              </w:rPr>
                              <w:t>Retail Banking</w:t>
                            </w:r>
                            <w:r>
                              <w:rPr/>
                              <w:t>, where all segments, with the exception of Consumer, reported slight growth with regard to 1Q23.</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7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8" descr=""/>
                          <pic:cNvPicPr>
                            <a:picLocks noChangeAspect="1" noChangeArrowheads="1"/>
                          </pic:cNvPicPr>
                        </pic:nvPicPr>
                        <pic:blipFill>
                          <a:blip r:embed="rId49"/>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2060" w:type="dxa"/>
        <w:jc w:val="left"/>
        <w:tblInd w:w="0" w:type="dxa"/>
        <w:shd w:fill="E93CAC" w:val="clear"/>
        <w:tblLayout w:type="fixed"/>
        <w:tblCellMar>
          <w:top w:w="0" w:type="dxa"/>
          <w:left w:w="0" w:type="dxa"/>
          <w:bottom w:w="0" w:type="dxa"/>
          <w:right w:w="0" w:type="dxa"/>
        </w:tblCellMar>
      </w:tblPr>
      <w:tblGrid>
        <w:gridCol w:w="2060"/>
      </w:tblGrid>
      <w:tr>
        <w:trPr/>
        <w:tc>
          <w:tcPr>
            <w:tcW w:w="206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01. Loan Portfolio</w:t>
            </w:r>
          </w:p>
        </w:tc>
      </w:tr>
    </w:tbl>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3110230" cy="2199640"/>
                <wp:effectExtent l="0" t="0" r="0" b="0"/>
                <wp:wrapSquare wrapText="right"/>
                <wp:docPr id="71" name="Frame23"/>
                <a:graphic xmlns:a="http://schemas.openxmlformats.org/drawingml/2006/main">
                  <a:graphicData uri="http://schemas.microsoft.com/office/word/2010/wordprocessingShape">
                    <wps:wsp>
                      <wps:cNvSpPr txBox="1"/>
                      <wps:spPr>
                        <a:xfrm>
                          <a:off x="0" y="0"/>
                          <a:ext cx="3110230" cy="2199640"/>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pPr>
                                  <w:r>
                                    <w:rPr>
                                      <w:b/>
                                    </w:rPr>
                                    <w:t>Mibanco</w:t>
                                  </w:r>
                                  <w:r>
                                    <w:rPr/>
                                    <w:t>, where balances rose in line with a pick-up in originations once strong rains and social protests subsided.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structural loans in average daily balances rose 5.5% (+7.0 FX Neutral). This growth was driven mainly by:</w:t>
                            </w:r>
                          </w:p>
                          <w:p>
                            <w:pPr>
                              <w:pStyle w:val="TextBody"/>
                              <w:bidi w:val="0"/>
                              <w:spacing w:before="0" w:after="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b/>
                                    </w:rPr>
                                    <w:t>Retail Banking</w:t>
                                  </w:r>
                                  <w:r>
                                    <w:rPr/>
                                    <w:t xml:space="preserve">, where all segments evolved positively YoY. This evolution was led by the </w:t>
                                  </w:r>
                                  <w:r>
                                    <w:rPr>
                                      <w:b/>
                                    </w:rPr>
                                    <w:t>SME-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3.2pt;mso-wrap-distance-left:0pt;mso-wrap-distance-right:0pt;mso-wrap-distance-top:0pt;mso-wrap-distance-bottom:0pt;margin-top:0pt;mso-position-vertical:top;mso-position-vertical-relative:text;margin-left:0pt;mso-position-horizontal:left;mso-position-horizontal-relative:text">
                <v:textbox>
                  <w:txbxContent>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pPr>
                            <w:r>
                              <w:rPr>
                                <w:b/>
                              </w:rPr>
                              <w:t>Mibanco</w:t>
                            </w:r>
                            <w:r>
                              <w:rPr/>
                              <w:t>, where balances rose in line with a pick-up in originations once strong rains and social protests subsided.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structural loans in average daily balances rose 5.5% (+7.0 FX Neutral). This growth was driven mainly by:</w:t>
                      </w:r>
                    </w:p>
                    <w:p>
                      <w:pPr>
                        <w:pStyle w:val="TextBody"/>
                        <w:bidi w:val="0"/>
                        <w:spacing w:before="0" w:after="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pPr>
                            <w:r>
                              <w:rPr>
                                <w:b/>
                              </w:rPr>
                              <w:t>Retail Banking</w:t>
                            </w:r>
                            <w:r>
                              <w:rPr/>
                              <w:t xml:space="preserve">, where all segments evolved positively YoY. This evolution was led by the </w:t>
                            </w:r>
                            <w:r>
                              <w:rPr>
                                <w:b/>
                              </w:rPr>
                              <w:t>SME-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7">
                <wp:simplePos x="0" y="0"/>
                <wp:positionH relativeFrom="column">
                  <wp:align>right</wp:align>
                </wp:positionH>
                <wp:positionV relativeFrom="line">
                  <wp:posOffset>635</wp:posOffset>
                </wp:positionV>
                <wp:extent cx="3110230" cy="2112010"/>
                <wp:effectExtent l="0" t="0" r="0" b="0"/>
                <wp:wrapSquare wrapText="left"/>
                <wp:docPr id="72" name="Frame24"/>
                <a:graphic xmlns:a="http://schemas.openxmlformats.org/drawingml/2006/main">
                  <a:graphicData uri="http://schemas.microsoft.com/office/word/2010/wordprocessingShape">
                    <wps:wsp>
                      <wps:cNvSpPr txBox="1"/>
                      <wps:spPr>
                        <a:xfrm>
                          <a:off x="0" y="0"/>
                          <a:ext cx="3110230" cy="2112010"/>
                        </a:xfrm>
                        <a:prstGeom prst="rect"/>
                        <a:solidFill>
                          <a:srgbClr val="FFFFFF"/>
                        </a:solidFill>
                      </wps:spPr>
                      <wps:txbx>
                        <w:txbxContent>
                          <w:tbl>
                            <w:tblPr>
                              <w:tblW w:w="5000" w:type="pct"/>
                              <w:jc w:val="left"/>
                              <w:tblInd w:w="0" w:type="dxa"/>
                              <w:tblLayout w:type="fixed"/>
                              <w:tblCellMar>
                                <w:top w:w="0" w:type="dxa"/>
                                <w:left w:w="0" w:type="dxa"/>
                                <w:bottom w:w="0" w:type="dxa"/>
                                <w:right w:w="0" w:type="dxa"/>
                              </w:tblCellMar>
                            </w:tblPr>
                            <w:tblGrid>
                              <w:gridCol w:w="35"/>
                              <w:gridCol w:w="29"/>
                              <w:gridCol w:w="4834"/>
                            </w:tblGrid>
                            <w:tr>
                              <w:trPr/>
                              <w:tc>
                                <w:tcPr>
                                  <w:tcW w:w="35" w:type="dxa"/>
                                  <w:tcBorders/>
                                  <w:vAlign w:val="center"/>
                                </w:tcPr>
                                <w:p>
                                  <w:pPr>
                                    <w:pStyle w:val="TableContents"/>
                                    <w:bidi w:val="0"/>
                                    <w:spacing w:before="0" w:after="283"/>
                                    <w:jc w:val="left"/>
                                    <w:rPr/>
                                  </w:pPr>
                                  <w:r>
                                    <w:rPr/>
                                    <w:t> </w:t>
                                  </w:r>
                                </w:p>
                              </w:tc>
                              <w:tc>
                                <w:tcPr>
                                  <w:tcW w:w="29" w:type="dxa"/>
                                  <w:tcBorders/>
                                  <w:vAlign w:val="center"/>
                                </w:tcPr>
                                <w:p>
                                  <w:pPr>
                                    <w:pStyle w:val="TableContents"/>
                                    <w:bidi w:val="0"/>
                                    <w:spacing w:before="0" w:after="283"/>
                                    <w:jc w:val="left"/>
                                    <w:rPr/>
                                  </w:pPr>
                                  <w:r>
                                    <w:rPr/>
                                    <w:t> </w:t>
                                  </w:r>
                                </w:p>
                              </w:tc>
                              <w:tc>
                                <w:tcPr>
                                  <w:tcW w:w="4834" w:type="dxa"/>
                                  <w:tcBorders/>
                                  <w:vAlign w:val="center"/>
                                </w:tcPr>
                                <w:p>
                                  <w:pPr>
                                    <w:pStyle w:val="TableContents"/>
                                    <w:bidi w:val="0"/>
                                    <w:spacing w:before="0" w:after="283"/>
                                    <w:jc w:val="both"/>
                                    <w:rPr/>
                                  </w:pPr>
                                  <w:r>
                                    <w:rPr>
                                      <w:b/>
                                    </w:rPr>
                                    <w:t>Pyme</w:t>
                                  </w:r>
                                  <w:r>
                                    <w:rPr/>
                                    <w:t xml:space="preserve"> segment, driven primarily by growth in higher-ticket clients with better risk profiles and secondarily by </w:t>
                                  </w:r>
                                  <w:r>
                                    <w:rPr>
                                      <w:b/>
                                    </w:rPr>
                                    <w:t>Credit Card</w:t>
                                  </w:r>
                                  <w:r>
                                    <w:rPr/>
                                    <w:t xml:space="preserve"> segment where the positive evolution is due to the growth in existing card balances due to the new interest-free installment payment strategies.</w:t>
                                  </w:r>
                                </w:p>
                              </w:tc>
                            </w:tr>
                          </w:tbl>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pPr>
                                  <w:r>
                                    <w:rPr>
                                      <w:b/>
                                    </w:rPr>
                                    <w:t>Mibanco</w:t>
                                  </w:r>
                                  <w:r>
                                    <w:rPr/>
                                    <w:t>, where growth in balances reflects an uptick in disbursements to clients with better risk profiles.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6.3pt;mso-wrap-distance-left:0pt;mso-wrap-distance-right:0pt;mso-wrap-distance-top:0pt;mso-wrap-distance-bottom:0pt;margin-top:0pt;mso-position-vertical:top;mso-position-vertical-relative:text;margin-left:265.35pt;mso-position-horizontal:right;mso-position-horizontal-relative:text">
                <v:textbox>
                  <w:txbxContent>
                    <w:tbl>
                      <w:tblPr>
                        <w:tblW w:w="5000" w:type="pct"/>
                        <w:jc w:val="left"/>
                        <w:tblInd w:w="0" w:type="dxa"/>
                        <w:tblLayout w:type="fixed"/>
                        <w:tblCellMar>
                          <w:top w:w="0" w:type="dxa"/>
                          <w:left w:w="0" w:type="dxa"/>
                          <w:bottom w:w="0" w:type="dxa"/>
                          <w:right w:w="0" w:type="dxa"/>
                        </w:tblCellMar>
                      </w:tblPr>
                      <w:tblGrid>
                        <w:gridCol w:w="35"/>
                        <w:gridCol w:w="29"/>
                        <w:gridCol w:w="4834"/>
                      </w:tblGrid>
                      <w:tr>
                        <w:trPr/>
                        <w:tc>
                          <w:tcPr>
                            <w:tcW w:w="35" w:type="dxa"/>
                            <w:tcBorders/>
                            <w:vAlign w:val="center"/>
                          </w:tcPr>
                          <w:p>
                            <w:pPr>
                              <w:pStyle w:val="TableContents"/>
                              <w:bidi w:val="0"/>
                              <w:spacing w:before="0" w:after="283"/>
                              <w:jc w:val="left"/>
                              <w:rPr/>
                            </w:pPr>
                            <w:r>
                              <w:rPr/>
                              <w:t> </w:t>
                            </w:r>
                          </w:p>
                        </w:tc>
                        <w:tc>
                          <w:tcPr>
                            <w:tcW w:w="29" w:type="dxa"/>
                            <w:tcBorders/>
                            <w:vAlign w:val="center"/>
                          </w:tcPr>
                          <w:p>
                            <w:pPr>
                              <w:pStyle w:val="TableContents"/>
                              <w:bidi w:val="0"/>
                              <w:spacing w:before="0" w:after="283"/>
                              <w:jc w:val="left"/>
                              <w:rPr/>
                            </w:pPr>
                            <w:r>
                              <w:rPr/>
                              <w:t> </w:t>
                            </w:r>
                          </w:p>
                        </w:tc>
                        <w:tc>
                          <w:tcPr>
                            <w:tcW w:w="4834" w:type="dxa"/>
                            <w:tcBorders/>
                            <w:vAlign w:val="center"/>
                          </w:tcPr>
                          <w:p>
                            <w:pPr>
                              <w:pStyle w:val="TableContents"/>
                              <w:bidi w:val="0"/>
                              <w:spacing w:before="0" w:after="283"/>
                              <w:jc w:val="both"/>
                              <w:rPr/>
                            </w:pPr>
                            <w:r>
                              <w:rPr>
                                <w:b/>
                              </w:rPr>
                              <w:t>Pyme</w:t>
                            </w:r>
                            <w:r>
                              <w:rPr/>
                              <w:t xml:space="preserve"> segment, driven primarily by growth in higher-ticket clients with better risk profiles and secondarily by </w:t>
                            </w:r>
                            <w:r>
                              <w:rPr>
                                <w:b/>
                              </w:rPr>
                              <w:t>Credit Card</w:t>
                            </w:r>
                            <w:r>
                              <w:rPr/>
                              <w:t xml:space="preserve"> segment where the positive evolution is due to the growth in existing card balances due to the new interest-free installment payment strategies.</w:t>
                            </w:r>
                          </w:p>
                        </w:tc>
                      </w:tr>
                    </w:tbl>
                    <w:tbl>
                      <w:tblPr>
                        <w:tblW w:w="5000" w:type="pct"/>
                        <w:jc w:val="left"/>
                        <w:tblInd w:w="0" w:type="dxa"/>
                        <w:tblLayout w:type="fixed"/>
                        <w:tblCellMar>
                          <w:top w:w="0" w:type="dxa"/>
                          <w:left w:w="0" w:type="dxa"/>
                          <w:bottom w:w="0" w:type="dxa"/>
                          <w:right w:w="0" w:type="dxa"/>
                        </w:tblCellMar>
                      </w:tblPr>
                      <w:tblGrid>
                        <w:gridCol w:w="18"/>
                        <w:gridCol w:w="81"/>
                        <w:gridCol w:w="4799"/>
                      </w:tblGrid>
                      <w:tr>
                        <w:trPr/>
                        <w:tc>
                          <w:tcPr>
                            <w:tcW w:w="1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pPr>
                            <w:r>
                              <w:rPr/>
                              <w:t>●</w:t>
                            </w:r>
                          </w:p>
                        </w:tc>
                        <w:tc>
                          <w:tcPr>
                            <w:tcW w:w="4799" w:type="dxa"/>
                            <w:tcBorders/>
                            <w:vAlign w:val="center"/>
                          </w:tcPr>
                          <w:p>
                            <w:pPr>
                              <w:pStyle w:val="TableContents"/>
                              <w:bidi w:val="0"/>
                              <w:spacing w:before="0" w:after="283"/>
                              <w:jc w:val="both"/>
                              <w:rPr/>
                            </w:pPr>
                            <w:r>
                              <w:rPr>
                                <w:b/>
                              </w:rPr>
                              <w:t>Mibanco</w:t>
                            </w:r>
                            <w:r>
                              <w:rPr/>
                              <w:t>, where growth in balances reflects an uptick in disbursements to clients with better risk profiles.</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3110230" cy="2191385"/>
                <wp:effectExtent l="0" t="0" r="0" b="0"/>
                <wp:wrapSquare wrapText="right"/>
                <wp:docPr id="73" name="Frame25"/>
                <a:graphic xmlns:a="http://schemas.openxmlformats.org/drawingml/2006/main">
                  <a:graphicData uri="http://schemas.microsoft.com/office/word/2010/wordprocessingShape">
                    <wps:wsp>
                      <wps:cNvSpPr txBox="1"/>
                      <wps:spPr>
                        <a:xfrm>
                          <a:off x="0" y="0"/>
                          <a:ext cx="3110230" cy="2191385"/>
                        </a:xfrm>
                        <a:prstGeom prst="rect"/>
                        <a:solidFill>
                          <a:srgbClr val="FFFFFF"/>
                        </a:solidFill>
                      </wps:spPr>
                      <wps:txb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Government Program Loans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Average Daily Balances – S/ millions)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1724025"/>
                                  <wp:effectExtent l="0" t="0" r="0" b="0"/>
                                  <wp:docPr id="7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9" descr=""/>
                                          <pic:cNvPicPr>
                                            <a:picLocks noChangeAspect="1" noChangeArrowheads="1"/>
                                          </pic:cNvPicPr>
                                        </pic:nvPicPr>
                                        <pic:blipFill>
                                          <a:blip r:embed="rId50"/>
                                          <a:stretch>
                                            <a:fillRect/>
                                          </a:stretch>
                                        </pic:blipFill>
                                        <pic:spPr bwMode="auto">
                                          <a:xfrm>
                                            <a:off x="0" y="0"/>
                                            <a:ext cx="3333750" cy="172402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Government Program Loans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Average Daily Balances – S/ millions)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1724025"/>
                            <wp:effectExtent l="0" t="0" r="0" b="0"/>
                            <wp:docPr id="7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9" descr=""/>
                                    <pic:cNvPicPr>
                                      <a:picLocks noChangeAspect="1" noChangeArrowheads="1"/>
                                    </pic:cNvPicPr>
                                  </pic:nvPicPr>
                                  <pic:blipFill>
                                    <a:blip r:embed="rId51"/>
                                    <a:stretch>
                                      <a:fillRect/>
                                    </a:stretch>
                                  </pic:blipFill>
                                  <pic:spPr bwMode="auto">
                                    <a:xfrm>
                                      <a:off x="0" y="0"/>
                                      <a:ext cx="3333750" cy="172402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78">
                <wp:simplePos x="0" y="0"/>
                <wp:positionH relativeFrom="column">
                  <wp:align>right</wp:align>
                </wp:positionH>
                <wp:positionV relativeFrom="line">
                  <wp:posOffset>635</wp:posOffset>
                </wp:positionV>
                <wp:extent cx="3110230" cy="1577340"/>
                <wp:effectExtent l="0" t="0" r="0" b="0"/>
                <wp:wrapSquare wrapText="left"/>
                <wp:docPr id="76" name="Frame26"/>
                <a:graphic xmlns:a="http://schemas.openxmlformats.org/drawingml/2006/main">
                  <a:graphicData uri="http://schemas.microsoft.com/office/word/2010/wordprocessingShape">
                    <wps:wsp>
                      <wps:cNvSpPr txBox="1"/>
                      <wps:spPr>
                        <a:xfrm>
                          <a:off x="0" y="0"/>
                          <a:ext cx="3110230" cy="1577340"/>
                        </a:xfrm>
                        <a:prstGeom prst="rect"/>
                        <a:solidFill>
                          <a:srgbClr val="FFFFFF"/>
                        </a:solidFill>
                      </wps:spPr>
                      <wps:txbx>
                        <w:txbxContent>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Government Program Loans (GP) dropped 26.7% QoQ and 64.3% YoY. This was primarily due to amortizations at both BCP and Mibanco. GP loans in average daily balances represented 3.9% of total loans at quarter-end (vs 5.3% in March 23 and 10.9% in June 22).</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4.2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Government Program Loans (GP) dropped 26.7% QoQ and 64.3% YoY. This was primarily due to amortizations at both BCP and Mibanco. GP loans in average daily balances represented 3.9% of total loans at quarter-end (vs 5.3% in March 23 and 10.9% in June 22).</w:t>
                      </w:r>
                    </w:p>
                  </w:txbxContent>
                </v:textbox>
                <w10:wrap type="square" side="left"/>
              </v:rect>
            </w:pict>
          </mc:Fallback>
        </mc:AlternateContent>
      </w:r>
    </w:p>
    <w:p>
      <w:pPr>
        <w:pStyle w:val="TextBody"/>
        <w:bidi w:val="0"/>
        <w:spacing w:lineRule="auto" w:line="240"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Total loans (in Average Daily Balances) (1) (2)</w:t>
      </w:r>
    </w:p>
    <w:p>
      <w:pPr>
        <w:pStyle w:val="TextBody"/>
        <w:bidi w:val="0"/>
        <w:spacing w:before="0" w:after="0"/>
        <w:jc w:val="center"/>
        <w:rPr>
          <w:caps w:val="false"/>
          <w:smallCaps w:val="false"/>
        </w:rPr>
      </w:pPr>
      <w:r>
        <w:rPr>
          <w:caps w:val="false"/>
          <w:smallCaps w:val="false"/>
        </w:rPr>
        <w:t> </w:t>
      </w:r>
    </w:p>
    <w:tbl>
      <w:tblPr>
        <w:tblW w:w="8165" w:type="dxa"/>
        <w:jc w:val="left"/>
        <w:tblInd w:w="-10" w:type="dxa"/>
        <w:tblLayout w:type="fixed"/>
        <w:tblCellMar>
          <w:top w:w="28" w:type="dxa"/>
          <w:left w:w="40" w:type="dxa"/>
          <w:bottom w:w="0" w:type="dxa"/>
          <w:right w:w="40" w:type="dxa"/>
        </w:tblCellMar>
      </w:tblPr>
      <w:tblGrid>
        <w:gridCol w:w="1670"/>
        <w:gridCol w:w="695"/>
        <w:gridCol w:w="695"/>
        <w:gridCol w:w="695"/>
        <w:gridCol w:w="670"/>
        <w:gridCol w:w="670"/>
        <w:gridCol w:w="500"/>
        <w:gridCol w:w="605"/>
        <w:gridCol w:w="650"/>
        <w:gridCol w:w="650"/>
        <w:gridCol w:w="665"/>
      </w:tblGrid>
      <w:tr>
        <w:trPr/>
        <w:tc>
          <w:tcPr>
            <w:tcW w:w="167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Total Loans</w:t>
            </w:r>
          </w:p>
        </w:tc>
        <w:tc>
          <w:tcPr>
            <w:tcW w:w="2085" w:type="dxa"/>
            <w:gridSpan w:val="3"/>
            <w:tcBorders>
              <w:top w:val="single" w:sz="8" w:space="0" w:color="000000"/>
            </w:tcBorders>
            <w:shd w:fill="2AD2C9" w:val="clear"/>
            <w:tcMar>
              <w:left w:w="0"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As of</w:t>
            </w:r>
          </w:p>
        </w:tc>
        <w:tc>
          <w:tcPr>
            <w:tcW w:w="1340" w:type="dxa"/>
            <w:gridSpan w:val="2"/>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Volume change</w:t>
            </w:r>
          </w:p>
        </w:tc>
        <w:tc>
          <w:tcPr>
            <w:tcW w:w="1105"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change</w:t>
            </w:r>
          </w:p>
        </w:tc>
        <w:tc>
          <w:tcPr>
            <w:tcW w:w="196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Part. in total  loans</w:t>
            </w:r>
          </w:p>
        </w:tc>
      </w:tr>
      <w:tr>
        <w:trPr/>
        <w:tc>
          <w:tcPr>
            <w:tcW w:w="1670"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color w:val="FFFFFF"/>
                <w:sz w:val="18"/>
              </w:rPr>
            </w:pPr>
            <w:r>
              <w:rPr>
                <w:rFonts w:ascii="Arial;Helvetica;Sans-Serif" w:hAnsi="Arial;Helvetica;Sans-Serif"/>
                <w:color w:val="FFFFFF"/>
                <w:sz w:val="18"/>
              </w:rPr>
              <w:t>(S/ millions)</w:t>
            </w:r>
          </w:p>
        </w:tc>
        <w:tc>
          <w:tcPr>
            <w:tcW w:w="69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 22</w:t>
            </w:r>
          </w:p>
        </w:tc>
        <w:tc>
          <w:tcPr>
            <w:tcW w:w="69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Mar 23</w:t>
            </w:r>
          </w:p>
        </w:tc>
        <w:tc>
          <w:tcPr>
            <w:tcW w:w="69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 23</w:t>
            </w:r>
          </w:p>
        </w:tc>
        <w:tc>
          <w:tcPr>
            <w:tcW w:w="670"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QoQ</w:t>
            </w:r>
          </w:p>
        </w:tc>
        <w:tc>
          <w:tcPr>
            <w:tcW w:w="67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YoY</w:t>
            </w:r>
          </w:p>
        </w:tc>
        <w:tc>
          <w:tcPr>
            <w:tcW w:w="50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QoQ</w:t>
            </w:r>
          </w:p>
        </w:tc>
        <w:tc>
          <w:tcPr>
            <w:tcW w:w="60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YoY</w:t>
            </w:r>
          </w:p>
        </w:tc>
        <w:tc>
          <w:tcPr>
            <w:tcW w:w="65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 22</w:t>
            </w:r>
          </w:p>
        </w:tc>
        <w:tc>
          <w:tcPr>
            <w:tcW w:w="65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Mar 23</w:t>
            </w:r>
          </w:p>
        </w:tc>
        <w:tc>
          <w:tcPr>
            <w:tcW w:w="66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 23</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BCP Stand-alone</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119,157</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118,707</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115,763</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-2,944</w:t>
            </w:r>
          </w:p>
        </w:tc>
        <w:tc>
          <w:tcPr>
            <w:tcW w:w="6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-3,394</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-2.5%</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-2.8%</w:t>
            </w:r>
          </w:p>
        </w:tc>
        <w:tc>
          <w:tcPr>
            <w:tcW w:w="650"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82.1%</w:t>
            </w:r>
          </w:p>
        </w:tc>
        <w:tc>
          <w:tcPr>
            <w:tcW w:w="650"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81.9%</w:t>
            </w:r>
          </w:p>
        </w:tc>
        <w:tc>
          <w:tcPr>
            <w:tcW w:w="665"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81.5%</w:t>
            </w:r>
          </w:p>
        </w:tc>
      </w:tr>
      <w:tr>
        <w:trPr/>
        <w:tc>
          <w:tcPr>
            <w:tcW w:w="16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Wholesale Banking</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55,343</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55,141</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52,941</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-2,200</w:t>
            </w:r>
          </w:p>
        </w:tc>
        <w:tc>
          <w:tcPr>
            <w:tcW w:w="6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-2,402</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-4.3%</w:t>
            </w:r>
          </w:p>
        </w:tc>
        <w:tc>
          <w:tcPr>
            <w:tcW w:w="650"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38.1%</w:t>
            </w:r>
          </w:p>
        </w:tc>
        <w:tc>
          <w:tcPr>
            <w:tcW w:w="650"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38.0%</w:t>
            </w:r>
          </w:p>
        </w:tc>
        <w:tc>
          <w:tcPr>
            <w:tcW w:w="665"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37.3%</w:t>
            </w:r>
          </w:p>
        </w:tc>
      </w:tr>
      <w:tr>
        <w:trPr/>
        <w:tc>
          <w:tcPr>
            <w:tcW w:w="1670" w:type="dxa"/>
            <w:tcBorders>
              <w:left w:val="single" w:sz="8" w:space="0" w:color="000000"/>
              <w:right w:val="single" w:sz="8" w:space="0" w:color="000000"/>
            </w:tcBorders>
            <w:shd w:fill="FFFFFF" w:val="clear"/>
            <w:tcMar>
              <w:top w:w="0" w:type="dxa"/>
              <w:left w:w="36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Corporate</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31,741</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32,717</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32,091</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-626</w:t>
            </w:r>
          </w:p>
        </w:tc>
        <w:tc>
          <w:tcPr>
            <w:tcW w:w="670" w:type="dxa"/>
            <w:tcBorders>
              <w:right w:val="single" w:sz="8" w:space="0" w:color="000000"/>
            </w:tcBorders>
            <w:shd w:fill="26D07C"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350</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-1.9%</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21.9%</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22.6%</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22.6%</w:t>
            </w:r>
          </w:p>
        </w:tc>
      </w:tr>
      <w:tr>
        <w:trPr/>
        <w:tc>
          <w:tcPr>
            <w:tcW w:w="1670" w:type="dxa"/>
            <w:tcBorders>
              <w:left w:val="single" w:sz="8" w:space="0" w:color="000000"/>
              <w:right w:val="single" w:sz="8" w:space="0" w:color="000000"/>
            </w:tcBorders>
            <w:shd w:fill="FFFFFF" w:val="clear"/>
            <w:tcMar>
              <w:top w:w="0" w:type="dxa"/>
              <w:left w:w="36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Middle - Market</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23,602</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22,424</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20,850</w:t>
            </w:r>
          </w:p>
        </w:tc>
        <w:tc>
          <w:tcPr>
            <w:tcW w:w="670" w:type="dxa"/>
            <w:tcBorders>
              <w:left w:val="single" w:sz="8" w:space="0" w:color="000000"/>
            </w:tcBorders>
            <w:shd w:fill="E93CAC" w:val="clear"/>
            <w:tcMar>
              <w:top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-1,574</w:t>
            </w:r>
          </w:p>
        </w:tc>
        <w:tc>
          <w:tcPr>
            <w:tcW w:w="670" w:type="dxa"/>
            <w:tcBorders>
              <w:right w:val="single" w:sz="8" w:space="0" w:color="000000"/>
            </w:tcBorders>
            <w:shd w:fill="E93CAC"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-2,752</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-7.0%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-11.7%</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16.3%</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15.5%</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14.7%</w:t>
            </w:r>
          </w:p>
        </w:tc>
      </w:tr>
      <w:tr>
        <w:trPr/>
        <w:tc>
          <w:tcPr>
            <w:tcW w:w="1670" w:type="dxa"/>
            <w:tcBorders>
              <w:left w:val="single" w:sz="8" w:space="0" w:color="000000"/>
              <w:right w:val="single" w:sz="8" w:space="0" w:color="000000"/>
            </w:tcBorders>
            <w:shd w:fill="FFFFFF" w:val="clear"/>
            <w:tcMar>
              <w:top w:w="0" w:type="dxa"/>
              <w:left w:w="18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Retail Banking</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63,814</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63,566</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62,822</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-744</w:t>
            </w:r>
          </w:p>
        </w:tc>
        <w:tc>
          <w:tcPr>
            <w:tcW w:w="6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-992</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-1.2%</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-1.6%</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44.0%</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43.8%</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44.2%</w:t>
            </w:r>
          </w:p>
        </w:tc>
      </w:tr>
      <w:tr>
        <w:trPr/>
        <w:tc>
          <w:tcPr>
            <w:tcW w:w="1670" w:type="dxa"/>
            <w:tcBorders>
              <w:left w:val="single" w:sz="8" w:space="0" w:color="000000"/>
              <w:right w:val="single" w:sz="8" w:space="0" w:color="000000"/>
            </w:tcBorders>
            <w:shd w:fill="FFFFFF" w:val="clear"/>
            <w:tcMar>
              <w:top w:w="0" w:type="dxa"/>
              <w:left w:w="36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SME - Business</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9,292</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7,884</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7,420</w:t>
            </w:r>
          </w:p>
        </w:tc>
        <w:tc>
          <w:tcPr>
            <w:tcW w:w="670" w:type="dxa"/>
            <w:tcBorders>
              <w:left w:val="single" w:sz="8" w:space="0" w:color="000000"/>
            </w:tcBorders>
            <w:shd w:fill="E93CAC" w:val="clear"/>
            <w:tcMar>
              <w:top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-463</w:t>
            </w:r>
          </w:p>
        </w:tc>
        <w:tc>
          <w:tcPr>
            <w:tcW w:w="670" w:type="dxa"/>
            <w:tcBorders>
              <w:right w:val="single" w:sz="8" w:space="0" w:color="000000"/>
            </w:tcBorders>
            <w:shd w:fill="E93CAC"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-1,871</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-5.9%</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-20.1%</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6.4%</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5.2%</w:t>
            </w:r>
          </w:p>
        </w:tc>
      </w:tr>
      <w:tr>
        <w:trPr/>
        <w:tc>
          <w:tcPr>
            <w:tcW w:w="1670" w:type="dxa"/>
            <w:tcBorders>
              <w:left w:val="single" w:sz="8" w:space="0" w:color="000000"/>
              <w:right w:val="single" w:sz="8" w:space="0" w:color="000000"/>
            </w:tcBorders>
            <w:shd w:fill="FFFFFF" w:val="clear"/>
            <w:tcMar>
              <w:top w:w="0" w:type="dxa"/>
              <w:left w:w="36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SME - Pyme</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18,937</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16,996</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16,490</w:t>
            </w:r>
          </w:p>
        </w:tc>
        <w:tc>
          <w:tcPr>
            <w:tcW w:w="670" w:type="dxa"/>
            <w:tcBorders>
              <w:left w:val="single" w:sz="8" w:space="0" w:color="000000"/>
            </w:tcBorders>
            <w:shd w:fill="E93CAC" w:val="clear"/>
            <w:tcMar>
              <w:top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-506</w:t>
            </w:r>
          </w:p>
        </w:tc>
        <w:tc>
          <w:tcPr>
            <w:tcW w:w="670" w:type="dxa"/>
            <w:tcBorders>
              <w:right w:val="single" w:sz="8" w:space="0" w:color="000000"/>
            </w:tcBorders>
            <w:shd w:fill="E93CAC"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-2,447</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-12.9%</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13.0%</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11.7%</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11.6%</w:t>
            </w:r>
          </w:p>
        </w:tc>
      </w:tr>
      <w:tr>
        <w:trPr/>
        <w:tc>
          <w:tcPr>
            <w:tcW w:w="1670" w:type="dxa"/>
            <w:tcBorders>
              <w:left w:val="single" w:sz="8" w:space="0" w:color="000000"/>
              <w:right w:val="single" w:sz="8" w:space="0" w:color="000000"/>
            </w:tcBorders>
            <w:shd w:fill="FFFFFF" w:val="clear"/>
            <w:tcMar>
              <w:top w:w="0" w:type="dxa"/>
              <w:left w:w="36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Mortgage</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19,298</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20,282</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20,448</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167</w:t>
            </w:r>
          </w:p>
        </w:tc>
        <w:tc>
          <w:tcPr>
            <w:tcW w:w="67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1,150</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0.8%</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6.0%</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13.3%</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14.0%</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14.4%</w:t>
            </w:r>
          </w:p>
        </w:tc>
      </w:tr>
      <w:tr>
        <w:trPr/>
        <w:tc>
          <w:tcPr>
            <w:tcW w:w="1670" w:type="dxa"/>
            <w:tcBorders>
              <w:left w:val="single" w:sz="8" w:space="0" w:color="000000"/>
              <w:right w:val="single" w:sz="8" w:space="0" w:color="000000"/>
            </w:tcBorders>
            <w:shd w:fill="FFFFFF" w:val="clear"/>
            <w:tcMar>
              <w:top w:w="0" w:type="dxa"/>
              <w:left w:w="36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Consumer</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11,842</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12,984</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12,771</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-214</w:t>
            </w:r>
          </w:p>
        </w:tc>
        <w:tc>
          <w:tcPr>
            <w:tcW w:w="67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929</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-1.6%</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7.8%</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8.2%</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9.0%</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9.0%</w:t>
            </w:r>
          </w:p>
        </w:tc>
      </w:tr>
      <w:tr>
        <w:trPr/>
        <w:tc>
          <w:tcPr>
            <w:tcW w:w="1670" w:type="dxa"/>
            <w:tcBorders>
              <w:left w:val="single" w:sz="8" w:space="0" w:color="000000"/>
              <w:right w:val="single" w:sz="8" w:space="0" w:color="000000"/>
            </w:tcBorders>
            <w:shd w:fill="FFFFFF" w:val="clear"/>
            <w:tcMar>
              <w:top w:w="0" w:type="dxa"/>
              <w:left w:w="36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Credit Card</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4,445</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5,420</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5,692</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273</w:t>
            </w:r>
          </w:p>
        </w:tc>
        <w:tc>
          <w:tcPr>
            <w:tcW w:w="67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1,247</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5.0%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28.1%</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3.1%</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3.7%</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4.0%</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Mibanco</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14,172</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14,098</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14,232</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134</w:t>
            </w:r>
          </w:p>
        </w:tc>
        <w:tc>
          <w:tcPr>
            <w:tcW w:w="6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61</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0.4%</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9.8%</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9.7%</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10.0%</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Mibanco Colombia</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1,152</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1,250</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1,340</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90</w:t>
            </w:r>
          </w:p>
        </w:tc>
        <w:tc>
          <w:tcPr>
            <w:tcW w:w="6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188</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7.2%</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16.4%</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0.8%</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0.9%</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0.9%</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Bolivia</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8,622</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8,951</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8,834</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-117</w:t>
            </w:r>
          </w:p>
        </w:tc>
        <w:tc>
          <w:tcPr>
            <w:tcW w:w="6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212</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2.5%</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5.9%</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6.2%</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6.2%</w:t>
            </w:r>
          </w:p>
        </w:tc>
      </w:tr>
      <w:tr>
        <w:trPr/>
        <w:tc>
          <w:tcPr>
            <w:tcW w:w="167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 xml:space="preserve">ASB </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2,030</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1,958</w:t>
            </w:r>
          </w:p>
        </w:tc>
        <w:tc>
          <w:tcPr>
            <w:tcW w:w="69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1,831</w:t>
            </w:r>
          </w:p>
        </w:tc>
        <w:tc>
          <w:tcPr>
            <w:tcW w:w="670"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-127</w:t>
            </w:r>
          </w:p>
        </w:tc>
        <w:tc>
          <w:tcPr>
            <w:tcW w:w="6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-199</w:t>
            </w:r>
          </w:p>
        </w:tc>
        <w:tc>
          <w:tcPr>
            <w:tcW w:w="50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-6.5%</w:t>
            </w:r>
          </w:p>
        </w:tc>
        <w:tc>
          <w:tcPr>
            <w:tcW w:w="60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-9.8%</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w:t>
            </w:r>
          </w:p>
        </w:tc>
        <w:tc>
          <w:tcPr>
            <w:tcW w:w="65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w:t>
            </w:r>
          </w:p>
        </w:tc>
      </w:tr>
      <w:tr>
        <w:trPr/>
        <w:tc>
          <w:tcPr>
            <w:tcW w:w="1670" w:type="dxa"/>
            <w:tcBorders>
              <w:top w:val="single" w:sz="8" w:space="0" w:color="000000"/>
              <w:left w:val="single" w:sz="8" w:space="0" w:color="000000"/>
              <w:bottom w:val="single" w:sz="8" w:space="0" w:color="000000"/>
              <w:right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BAP’s total loans</w:t>
            </w:r>
          </w:p>
        </w:tc>
        <w:tc>
          <w:tcPr>
            <w:tcW w:w="695" w:type="dxa"/>
            <w:tcBorders>
              <w:top w:val="single" w:sz="8" w:space="0" w:color="000000"/>
              <w:bottom w:val="single" w:sz="8" w:space="0" w:color="000000"/>
            </w:tcBorders>
            <w:shd w:fill="FFFFFF" w:val="clear"/>
            <w:tcMar>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145,132</w:t>
            </w:r>
          </w:p>
        </w:tc>
        <w:tc>
          <w:tcPr>
            <w:tcW w:w="695" w:type="dxa"/>
            <w:tcBorders>
              <w:top w:val="single" w:sz="8" w:space="0" w:color="000000"/>
              <w:bottom w:val="single" w:sz="8" w:space="0" w:color="000000"/>
            </w:tcBorders>
            <w:shd w:fill="FFFFFF" w:val="clear"/>
            <w:tcMar>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144,964</w:t>
            </w:r>
          </w:p>
        </w:tc>
        <w:tc>
          <w:tcPr>
            <w:tcW w:w="695" w:type="dxa"/>
            <w:tcBorders>
              <w:top w:val="single" w:sz="8" w:space="0" w:color="000000"/>
              <w:bottom w:val="single" w:sz="8" w:space="0" w:color="000000"/>
            </w:tcBorders>
            <w:shd w:fill="FFFFFF" w:val="clear"/>
            <w:tcMar>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142,001</w:t>
            </w:r>
          </w:p>
        </w:tc>
        <w:tc>
          <w:tcPr>
            <w:tcW w:w="670" w:type="dxa"/>
            <w:tcBorders>
              <w:top w:val="single" w:sz="8" w:space="0" w:color="000000"/>
              <w:left w:val="single" w:sz="8" w:space="0" w:color="000000"/>
              <w:bottom w:val="single" w:sz="8" w:space="0" w:color="000000"/>
            </w:tcBorders>
            <w:tcMar>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-2,964</w:t>
            </w:r>
          </w:p>
        </w:tc>
        <w:tc>
          <w:tcPr>
            <w:tcW w:w="67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-3,131</w:t>
            </w:r>
          </w:p>
        </w:tc>
        <w:tc>
          <w:tcPr>
            <w:tcW w:w="50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-2.0%</w:t>
            </w:r>
          </w:p>
        </w:tc>
        <w:tc>
          <w:tcPr>
            <w:tcW w:w="60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-2.2%</w:t>
            </w:r>
          </w:p>
        </w:tc>
        <w:tc>
          <w:tcPr>
            <w:tcW w:w="65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100.0%</w:t>
            </w:r>
          </w:p>
        </w:tc>
        <w:tc>
          <w:tcPr>
            <w:tcW w:w="65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100.0%</w:t>
            </w:r>
          </w:p>
        </w:tc>
        <w:tc>
          <w:tcPr>
            <w:tcW w:w="66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100.0%</w:t>
            </w:r>
          </w:p>
        </w:tc>
      </w:tr>
    </w:tbl>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45">
                <wp:simplePos x="0" y="0"/>
                <wp:positionH relativeFrom="column">
                  <wp:align>right</wp:align>
                </wp:positionH>
                <wp:positionV relativeFrom="line">
                  <wp:posOffset>635</wp:posOffset>
                </wp:positionV>
                <wp:extent cx="1165860" cy="263525"/>
                <wp:effectExtent l="0" t="0" r="0" b="0"/>
                <wp:wrapSquare wrapText="left"/>
                <wp:docPr id="77" name="Frame28"/>
                <a:graphic xmlns:a="http://schemas.openxmlformats.org/drawingml/2006/main">
                  <a:graphicData uri="http://schemas.microsoft.com/office/word/2010/wordprocessingShape">
                    <wps:wsp>
                      <wps:cNvSpPr txBox="1"/>
                      <wps:spPr>
                        <a:xfrm>
                          <a:off x="0" y="0"/>
                          <a:ext cx="1165860" cy="263525"/>
                        </a:xfrm>
                        <a:prstGeom prst="rect"/>
                        <a:solidFill>
                          <a:srgbClr val="FFFFFF"/>
                        </a:solidFill>
                      </wps:spPr>
                      <wps:txbx>
                        <w:txbxContent>
                          <w:p>
                            <w:pPr>
                              <w:pStyle w:val="TextBody"/>
                              <w:bidi w:val="0"/>
                              <w:spacing w:before="100" w:after="0"/>
                              <w:jc w:val="right"/>
                              <w:rPr>
                                <w:caps w:val="false"/>
                                <w:smallCaps w:val="false"/>
                              </w:rPr>
                            </w:pPr>
                            <w:r>
                              <w:rPr>
                                <w:caps w:val="false"/>
                                <w:smallCaps w:val="false"/>
                              </w:rPr>
                              <w:drawing>
                                <wp:inline distT="0" distB="0" distL="0" distR="0">
                                  <wp:extent cx="1333500" cy="200025"/>
                                  <wp:effectExtent l="0" t="0" r="0" b="0"/>
                                  <wp:docPr id="7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0" descr=""/>
                                          <pic:cNvPicPr>
                                            <a:picLocks noChangeAspect="1" noChangeArrowheads="1"/>
                                          </pic:cNvPicPr>
                                        </pic:nvPicPr>
                                        <pic:blipFill>
                                          <a:blip r:embed="rId52"/>
                                          <a:stretch>
                                            <a:fillRect/>
                                          </a:stretch>
                                        </pic:blipFill>
                                        <pic:spPr bwMode="auto">
                                          <a:xfrm>
                                            <a:off x="0" y="0"/>
                                            <a:ext cx="1333500" cy="200025"/>
                                          </a:xfrm>
                                          <a:prstGeom prst="rect">
                                            <a:avLst/>
                                          </a:prstGeom>
                                        </pic:spPr>
                                      </pic:pic>
                                    </a:graphicData>
                                  </a:graphic>
                                </wp:inline>
                              </w:drawing>
                            </w:r>
                          </w:p>
                        </w:txbxContent>
                      </wps:txbx>
                      <wps:bodyPr anchor="t" lIns="0" tIns="0" rIns="0" bIns="0">
                        <a:noAutofit/>
                      </wps:bodyPr>
                    </wps:wsp>
                  </a:graphicData>
                </a:graphic>
                <wp14:sizeRelH relativeFrom="margin">
                  <wp14:pctWidth>18000</wp14:pctWidth>
                </wp14:sizeRelH>
              </wp:anchor>
            </w:drawing>
          </mc:Choice>
          <mc:Fallback>
            <w:pict>
              <v:rect style="position:absolute;rotation:-0;width:91.8pt;height:20.75pt;mso-wrap-distance-left:0pt;mso-wrap-distance-right:0pt;mso-wrap-distance-top:0pt;mso-wrap-distance-bottom:0pt;margin-top:0pt;mso-position-vertical:top;mso-position-vertical-relative:text;margin-left:418.45pt;mso-position-horizontal:right;mso-position-horizontal-relative:text">
                <v:textbox>
                  <w:txbxContent>
                    <w:p>
                      <w:pPr>
                        <w:pStyle w:val="TextBody"/>
                        <w:bidi w:val="0"/>
                        <w:spacing w:before="100" w:after="0"/>
                        <w:jc w:val="right"/>
                        <w:rPr>
                          <w:caps w:val="false"/>
                          <w:smallCaps w:val="false"/>
                        </w:rPr>
                      </w:pPr>
                      <w:r>
                        <w:rPr>
                          <w:caps w:val="false"/>
                          <w:smallCaps w:val="false"/>
                        </w:rPr>
                        <w:drawing>
                          <wp:inline distT="0" distB="0" distL="0" distR="0">
                            <wp:extent cx="1333500" cy="200025"/>
                            <wp:effectExtent l="0" t="0" r="0" b="0"/>
                            <wp:docPr id="7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0" descr=""/>
                                    <pic:cNvPicPr>
                                      <a:picLocks noChangeAspect="1" noChangeArrowheads="1"/>
                                    </pic:cNvPicPr>
                                  </pic:nvPicPr>
                                  <pic:blipFill>
                                    <a:blip r:embed="rId53"/>
                                    <a:stretch>
                                      <a:fillRect/>
                                    </a:stretch>
                                  </pic:blipFill>
                                  <pic:spPr bwMode="auto">
                                    <a:xfrm>
                                      <a:off x="0" y="0"/>
                                      <a:ext cx="1333500" cy="20002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5053965" cy="408940"/>
                <wp:effectExtent l="0" t="0" r="0" b="0"/>
                <wp:wrapSquare wrapText="right"/>
                <wp:docPr id="80" name="Frame27"/>
                <a:graphic xmlns:a="http://schemas.openxmlformats.org/drawingml/2006/main">
                  <a:graphicData uri="http://schemas.microsoft.com/office/word/2010/wordprocessingShape">
                    <wps:wsp>
                      <wps:cNvSpPr txBox="1"/>
                      <wps:spPr>
                        <a:xfrm>
                          <a:off x="0" y="0"/>
                          <a:ext cx="5053965" cy="408940"/>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For consolidation purposes, Loans generated in Foreign Currency (FC) are converted to Local Currency (LC).</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Includes Work out unit, and other banking. For Quarter-end Balances figures, please refer to “12. Annexes – 12.2 Loan Portfolio Quality”.</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Internal Management Figures</w:t>
                            </w:r>
                          </w:p>
                        </w:txbxContent>
                      </wps:txbx>
                      <wps:bodyPr anchor="t" lIns="0" tIns="0" rIns="0" bIns="0">
                        <a:noAutofit/>
                      </wps:bodyPr>
                    </wps:wsp>
                  </a:graphicData>
                </a:graphic>
                <wp14:sizeRelH relativeFrom="margin">
                  <wp14:pctWidth>78000</wp14:pctWidth>
                </wp14:sizeRelH>
              </wp:anchor>
            </w:drawing>
          </mc:Choice>
          <mc:Fallback>
            <w:pict>
              <v:rect style="position:absolute;rotation:-0;width:397.9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For consolidation purposes, Loans generated in Foreign Currency (FC) are converted to Local Currency (LC).</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Includes Work out unit, and other banking. For Quarter-end Balances figures, please refer to “12. Annexes – 12.2 Loan Portfolio Quality”.</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Internal Management Figures</w:t>
                      </w:r>
                    </w:p>
                  </w:txbxContent>
                </v:textbox>
                <w10:wrap type="square" side="right"/>
              </v:rect>
            </w:pict>
          </mc:Fallback>
        </mc:AlternateConten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QoQ and YoY total loans dropped given that growth in structural loans was insufficient to offset the decline registered in GP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8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1" descr=""/>
                          <pic:cNvPicPr>
                            <a:picLocks noChangeAspect="1" noChangeArrowheads="1"/>
                          </pic:cNvPicPr>
                        </pic:nvPicPr>
                        <pic:blipFill>
                          <a:blip r:embed="rId54"/>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2060" w:type="dxa"/>
        <w:jc w:val="left"/>
        <w:tblInd w:w="0" w:type="dxa"/>
        <w:shd w:fill="E93CAC" w:val="clear"/>
        <w:tblLayout w:type="fixed"/>
        <w:tblCellMar>
          <w:top w:w="0" w:type="dxa"/>
          <w:left w:w="0" w:type="dxa"/>
          <w:bottom w:w="0" w:type="dxa"/>
          <w:right w:w="0" w:type="dxa"/>
        </w:tblCellMar>
      </w:tblPr>
      <w:tblGrid>
        <w:gridCol w:w="2060"/>
      </w:tblGrid>
      <w:tr>
        <w:trPr/>
        <w:tc>
          <w:tcPr>
            <w:tcW w:w="206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01. Loan Portfolio</w:t>
            </w:r>
          </w:p>
        </w:tc>
      </w:tr>
    </w:tbl>
    <w:p>
      <w:pPr>
        <w:pStyle w:val="TextBody"/>
        <w:bidi w:val="0"/>
        <w:spacing w:before="0" w:after="0"/>
        <w:jc w:val="center"/>
        <w:rPr>
          <w:caps w:val="false"/>
          <w:smallCaps w:val="false"/>
        </w:rPr>
      </w:pPr>
      <w:r>
        <w:rPr>
          <w:caps w:val="false"/>
          <w:smallCaps w:val="false"/>
        </w:rPr>
        <w:t> </w:t>
      </w:r>
    </w:p>
    <w:p>
      <w:pPr>
        <w:pStyle w:val="TextBody"/>
        <w:bidi w:val="0"/>
        <w:spacing w:lineRule="auto" w:line="240"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Evolution of the Dollarization Level of Loans (in Average Daily Balances</w:t>
      </w:r>
      <w:r>
        <w:rPr>
          <w:rFonts w:ascii="Arial;Helvetica;Sans-Serif" w:hAnsi="Arial;Helvetica;Sans-Serif"/>
          <w:b/>
          <w:i w:val="false"/>
          <w:caps w:val="false"/>
          <w:smallCaps w:val="false"/>
          <w:color w:val="000000"/>
          <w:sz w:val="20"/>
        </w:rPr>
        <w:t>) (1)(2)</w:t>
      </w:r>
    </w:p>
    <w:p>
      <w:pPr>
        <w:pStyle w:val="TextBody"/>
        <w:bidi w:val="0"/>
        <w:spacing w:before="0" w:after="0"/>
        <w:jc w:val="center"/>
        <w:rPr>
          <w:caps w:val="false"/>
          <w:smallCaps w:val="false"/>
        </w:rPr>
      </w:pPr>
      <w:r>
        <w:rPr>
          <w:caps w:val="false"/>
          <w:smallCaps w:val="false"/>
        </w:rPr>
        <w:t> </w:t>
      </w:r>
    </w:p>
    <w:tbl>
      <w:tblPr>
        <w:tblW w:w="9802" w:type="dxa"/>
        <w:jc w:val="left"/>
        <w:tblInd w:w="-10" w:type="dxa"/>
        <w:tblLayout w:type="fixed"/>
        <w:tblCellMar>
          <w:top w:w="28" w:type="dxa"/>
          <w:left w:w="48" w:type="dxa"/>
          <w:bottom w:w="0" w:type="dxa"/>
          <w:right w:w="48" w:type="dxa"/>
        </w:tblCellMar>
      </w:tblPr>
      <w:tblGrid>
        <w:gridCol w:w="1250"/>
        <w:gridCol w:w="485"/>
        <w:gridCol w:w="455"/>
        <w:gridCol w:w="440"/>
        <w:gridCol w:w="440"/>
        <w:gridCol w:w="455"/>
        <w:gridCol w:w="440"/>
        <w:gridCol w:w="455"/>
        <w:gridCol w:w="455"/>
        <w:gridCol w:w="602"/>
        <w:gridCol w:w="722"/>
        <w:gridCol w:w="471"/>
        <w:gridCol w:w="487"/>
        <w:gridCol w:w="471"/>
        <w:gridCol w:w="455"/>
        <w:gridCol w:w="410"/>
        <w:gridCol w:w="508"/>
        <w:gridCol w:w="801"/>
      </w:tblGrid>
      <w:tr>
        <w:trPr/>
        <w:tc>
          <w:tcPr>
            <w:tcW w:w="1250" w:type="dxa"/>
            <w:vMerge w:val="restart"/>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Total Loans</w:t>
            </w:r>
          </w:p>
        </w:tc>
        <w:tc>
          <w:tcPr>
            <w:tcW w:w="2715" w:type="dxa"/>
            <w:gridSpan w:val="6"/>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Local Currency (LC)</w:t>
            </w:r>
          </w:p>
        </w:tc>
        <w:tc>
          <w:tcPr>
            <w:tcW w:w="910" w:type="dxa"/>
            <w:gridSpan w:val="2"/>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c>
          <w:tcPr>
            <w:tcW w:w="1324" w:type="dxa"/>
            <w:gridSpan w:val="2"/>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 Structural</w:t>
            </w:r>
          </w:p>
        </w:tc>
        <w:tc>
          <w:tcPr>
            <w:tcW w:w="1429"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Foreign Currency (FC)</w:t>
            </w:r>
          </w:p>
        </w:tc>
        <w:tc>
          <w:tcPr>
            <w:tcW w:w="865" w:type="dxa"/>
            <w:gridSpan w:val="2"/>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c>
          <w:tcPr>
            <w:tcW w:w="1309"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part. by currency</w:t>
            </w:r>
          </w:p>
        </w:tc>
      </w:tr>
      <w:tr>
        <w:trPr/>
        <w:tc>
          <w:tcPr>
            <w:tcW w:w="1250" w:type="dxa"/>
            <w:vMerge w:val="continue"/>
            <w:tcBorders>
              <w:top w:val="single" w:sz="8" w:space="0" w:color="000000"/>
              <w:left w:val="single" w:sz="8" w:space="0" w:color="000000"/>
              <w:right w:val="single" w:sz="8" w:space="0" w:color="000000"/>
            </w:tcBorders>
            <w:shd w:fill="2AD2C9" w:val="clear"/>
            <w:vAlign w:val="center"/>
          </w:tcPr>
          <w:p>
            <w:pPr>
              <w:pStyle w:val="Normal"/>
              <w:bidi w:val="0"/>
              <w:jc w:val="left"/>
              <w:rPr/>
            </w:pPr>
            <w:r>
              <w:rPr/>
            </w:r>
          </w:p>
        </w:tc>
        <w:tc>
          <w:tcPr>
            <w:tcW w:w="1380" w:type="dxa"/>
            <w:gridSpan w:val="3"/>
            <w:tcBorders>
              <w:bottom w:val="single" w:sz="8" w:space="0" w:color="FFFFFF"/>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Total</w:t>
            </w:r>
          </w:p>
        </w:tc>
        <w:tc>
          <w:tcPr>
            <w:tcW w:w="1335" w:type="dxa"/>
            <w:gridSpan w:val="3"/>
            <w:tcBorders>
              <w:bottom w:val="single" w:sz="8" w:space="0" w:color="FFFFFF"/>
              <w:right w:val="single" w:sz="8" w:space="0" w:color="000000"/>
            </w:tcBorders>
            <w:shd w:fill="2AD2C9" w:val="clear"/>
            <w:tcMar>
              <w:top w:w="0" w:type="dxa"/>
              <w:left w:w="0" w:type="dxa"/>
              <w:bottom w:w="28" w:type="dxa"/>
              <w:right w:w="10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Structural</w:t>
            </w:r>
          </w:p>
        </w:tc>
        <w:tc>
          <w:tcPr>
            <w:tcW w:w="910" w:type="dxa"/>
            <w:gridSpan w:val="2"/>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c>
          <w:tcPr>
            <w:tcW w:w="1324" w:type="dxa"/>
            <w:gridSpan w:val="2"/>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c>
          <w:tcPr>
            <w:tcW w:w="1429" w:type="dxa"/>
            <w:gridSpan w:val="3"/>
            <w:tcBorders>
              <w:bottom w:val="single" w:sz="8" w:space="0" w:color="FFFFFF"/>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Total</w:t>
            </w:r>
          </w:p>
        </w:tc>
        <w:tc>
          <w:tcPr>
            <w:tcW w:w="865" w:type="dxa"/>
            <w:gridSpan w:val="2"/>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c>
          <w:tcPr>
            <w:tcW w:w="1309" w:type="dxa"/>
            <w:gridSpan w:val="2"/>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Jun 23</w:t>
            </w:r>
          </w:p>
        </w:tc>
      </w:tr>
      <w:tr>
        <w:trPr/>
        <w:tc>
          <w:tcPr>
            <w:tcW w:w="1250"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left"/>
              <w:rPr>
                <w:rFonts w:ascii="Arial;Helvetica;Sans-Serif" w:hAnsi="Arial;Helvetica;Sans-Serif"/>
                <w:color w:val="FFFFFF"/>
                <w:sz w:val="14"/>
              </w:rPr>
            </w:pPr>
            <w:r>
              <w:rPr>
                <w:rFonts w:ascii="Arial;Helvetica;Sans-Serif" w:hAnsi="Arial;Helvetica;Sans-Serif"/>
                <w:color w:val="FFFFFF"/>
                <w:sz w:val="14"/>
              </w:rPr>
              <w:t>(S/ millions)</w:t>
            </w:r>
          </w:p>
        </w:tc>
        <w:tc>
          <w:tcPr>
            <w:tcW w:w="485"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Jun 22</w:t>
            </w:r>
          </w:p>
        </w:tc>
        <w:tc>
          <w:tcPr>
            <w:tcW w:w="45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Mar 23</w:t>
            </w:r>
          </w:p>
        </w:tc>
        <w:tc>
          <w:tcPr>
            <w:tcW w:w="4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Jun 23</w:t>
            </w:r>
          </w:p>
        </w:tc>
        <w:tc>
          <w:tcPr>
            <w:tcW w:w="440"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Jun 22</w:t>
            </w:r>
          </w:p>
        </w:tc>
        <w:tc>
          <w:tcPr>
            <w:tcW w:w="45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Mar 23</w:t>
            </w:r>
          </w:p>
        </w:tc>
        <w:tc>
          <w:tcPr>
            <w:tcW w:w="440"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Jun 23</w:t>
            </w:r>
          </w:p>
        </w:tc>
        <w:tc>
          <w:tcPr>
            <w:tcW w:w="45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QoQ</w:t>
            </w:r>
          </w:p>
        </w:tc>
        <w:tc>
          <w:tcPr>
            <w:tcW w:w="45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YoY</w:t>
            </w:r>
          </w:p>
        </w:tc>
        <w:tc>
          <w:tcPr>
            <w:tcW w:w="602"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QoQ</w:t>
            </w:r>
          </w:p>
        </w:tc>
        <w:tc>
          <w:tcPr>
            <w:tcW w:w="722"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YoY</w:t>
            </w:r>
          </w:p>
        </w:tc>
        <w:tc>
          <w:tcPr>
            <w:tcW w:w="471"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Jun 22</w:t>
            </w:r>
          </w:p>
        </w:tc>
        <w:tc>
          <w:tcPr>
            <w:tcW w:w="487"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Mar 23</w:t>
            </w:r>
          </w:p>
        </w:tc>
        <w:tc>
          <w:tcPr>
            <w:tcW w:w="471"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Jun 23</w:t>
            </w:r>
          </w:p>
        </w:tc>
        <w:tc>
          <w:tcPr>
            <w:tcW w:w="455"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Mar 23</w:t>
            </w:r>
          </w:p>
        </w:tc>
        <w:tc>
          <w:tcPr>
            <w:tcW w:w="41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QoQ</w:t>
            </w:r>
          </w:p>
        </w:tc>
        <w:tc>
          <w:tcPr>
            <w:tcW w:w="508"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YoY</w:t>
            </w:r>
          </w:p>
        </w:tc>
        <w:tc>
          <w:tcPr>
            <w:tcW w:w="801"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LC</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BCP Stand-alone</w:t>
            </w:r>
          </w:p>
        </w:tc>
        <w:tc>
          <w:tcPr>
            <w:tcW w:w="48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85,162</w:t>
            </w:r>
          </w:p>
        </w:tc>
        <w:tc>
          <w:tcPr>
            <w:tcW w:w="45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82,117</w:t>
            </w:r>
          </w:p>
        </w:tc>
        <w:tc>
          <w:tcPr>
            <w:tcW w:w="440"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80,559</w:t>
            </w:r>
          </w:p>
        </w:tc>
        <w:tc>
          <w:tcPr>
            <w:tcW w:w="440" w:type="dxa"/>
            <w:tcBorders>
              <w:top w:val="single" w:sz="8" w:space="0" w:color="000000"/>
            </w:tcBorders>
            <w:shd w:fill="FFFFFF" w:val="clear"/>
            <w:tcMar>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71,253</w:t>
            </w:r>
          </w:p>
        </w:tc>
        <w:tc>
          <w:tcPr>
            <w:tcW w:w="455" w:type="dxa"/>
            <w:tcBorders>
              <w:top w:val="single" w:sz="8" w:space="0" w:color="000000"/>
            </w:tcBorders>
            <w:shd w:fill="FFFFFF" w:val="clear"/>
            <w:tcMar>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75,201</w:t>
            </w:r>
          </w:p>
        </w:tc>
        <w:tc>
          <w:tcPr>
            <w:tcW w:w="440" w:type="dxa"/>
            <w:tcBorders>
              <w:top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75,489</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-1.9%</w:t>
            </w:r>
          </w:p>
        </w:tc>
        <w:tc>
          <w:tcPr>
            <w:tcW w:w="45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-5.4%</w:t>
            </w:r>
          </w:p>
        </w:tc>
        <w:tc>
          <w:tcPr>
            <w:tcW w:w="602"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0.4%</w:t>
            </w:r>
          </w:p>
        </w:tc>
        <w:tc>
          <w:tcPr>
            <w:tcW w:w="722"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5.9%</w:t>
            </w:r>
          </w:p>
        </w:tc>
        <w:tc>
          <w:tcPr>
            <w:tcW w:w="471"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8,977</w:t>
            </w:r>
          </w:p>
        </w:tc>
        <w:tc>
          <w:tcPr>
            <w:tcW w:w="487" w:type="dxa"/>
            <w:tcBorders>
              <w:top w:val="single" w:sz="8" w:space="0" w:color="000000"/>
            </w:tcBorders>
            <w:tcMar>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9,615</w:t>
            </w:r>
          </w:p>
        </w:tc>
        <w:tc>
          <w:tcPr>
            <w:tcW w:w="471"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9,582</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-0.3%</w:t>
            </w:r>
          </w:p>
        </w:tc>
        <w:tc>
          <w:tcPr>
            <w:tcW w:w="4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6.7%</w:t>
            </w:r>
          </w:p>
        </w:tc>
        <w:tc>
          <w:tcPr>
            <w:tcW w:w="508"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69.6%</w:t>
            </w:r>
          </w:p>
        </w:tc>
        <w:tc>
          <w:tcPr>
            <w:tcW w:w="801" w:type="dxa"/>
            <w:tcBorders>
              <w:right w:val="single" w:sz="8" w:space="0" w:color="000000"/>
            </w:tcBorders>
            <w:shd w:fill="FFFFFF" w:val="clear"/>
            <w:tcMar>
              <w:top w:w="0" w:type="dxa"/>
              <w:left w:w="0" w:type="dxa"/>
            </w:tcMar>
            <w:vAlign w:val="center"/>
          </w:tcPr>
          <w:p>
            <w:pPr>
              <w:pStyle w:val="TableContents"/>
              <w:bidi w:val="0"/>
              <w:spacing w:before="0" w:after="283"/>
              <w:ind w:left="0" w:right="0" w:firstLine="221"/>
              <w:jc w:val="center"/>
              <w:rPr>
                <w:rFonts w:ascii="Arial;Helvetica;Sans-Serif" w:hAnsi="Arial;Helvetica;Sans-Serif"/>
                <w:b/>
                <w:sz w:val="14"/>
              </w:rPr>
            </w:pPr>
            <w:r>
              <w:rPr>
                <w:rFonts w:ascii="Arial;Helvetica;Sans-Serif" w:hAnsi="Arial;Helvetica;Sans-Serif"/>
                <w:b/>
                <w:sz w:val="14"/>
              </w:rPr>
              <w:t>30.4%</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Wholesale Banking</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28,403</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25,984</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25,062</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25,416</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24,616</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24,143</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-3.5%</w:t>
            </w:r>
          </w:p>
        </w:tc>
        <w:tc>
          <w:tcPr>
            <w:tcW w:w="45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-11.8%</w:t>
            </w:r>
          </w:p>
        </w:tc>
        <w:tc>
          <w:tcPr>
            <w:tcW w:w="602"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-1.9%</w:t>
            </w:r>
          </w:p>
        </w:tc>
        <w:tc>
          <w:tcPr>
            <w:tcW w:w="722"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-5.0%</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7,113</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7,662</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7,589</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-1.0%</w:t>
            </w:r>
          </w:p>
        </w:tc>
        <w:tc>
          <w:tcPr>
            <w:tcW w:w="4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6.7%</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47.3%</w:t>
            </w:r>
          </w:p>
        </w:tc>
        <w:tc>
          <w:tcPr>
            <w:tcW w:w="801" w:type="dxa"/>
            <w:tcBorders>
              <w:right w:val="single" w:sz="8" w:space="0" w:color="000000"/>
            </w:tcBorders>
            <w:tcMar>
              <w:top w:w="0" w:type="dxa"/>
              <w:left w:w="0" w:type="dxa"/>
            </w:tcMar>
            <w:vAlign w:val="center"/>
          </w:tcPr>
          <w:p>
            <w:pPr>
              <w:pStyle w:val="TableContents"/>
              <w:bidi w:val="0"/>
              <w:spacing w:before="0" w:after="283"/>
              <w:ind w:left="0" w:right="0" w:firstLine="220"/>
              <w:jc w:val="center"/>
              <w:rPr>
                <w:rFonts w:ascii="Arial;Helvetica;Sans-Serif" w:hAnsi="Arial;Helvetica;Sans-Serif"/>
                <w:b/>
                <w:sz w:val="14"/>
              </w:rPr>
            </w:pPr>
            <w:r>
              <w:rPr>
                <w:rFonts w:ascii="Arial;Helvetica;Sans-Serif" w:hAnsi="Arial;Helvetica;Sans-Serif"/>
                <w:b/>
                <w:sz w:val="14"/>
              </w:rPr>
              <w:t>52.7%</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r>
              <w:rPr>
                <w:rFonts w:ascii="Arial;Helvetica;Sans-Serif" w:hAnsi="Arial;Helvetica;Sans-Serif"/>
                <w:sz w:val="14"/>
              </w:rPr>
              <w:t>Corporate</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15,376</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15,065</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15,267</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15,040</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14,890</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15,140</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-0.7%</w:t>
            </w:r>
          </w:p>
        </w:tc>
        <w:tc>
          <w:tcPr>
            <w:tcW w:w="602"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1.7%</w:t>
            </w:r>
          </w:p>
        </w:tc>
        <w:tc>
          <w:tcPr>
            <w:tcW w:w="722"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0.7%</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4,321</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4,639</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4,579</w:t>
            </w:r>
          </w:p>
        </w:tc>
        <w:tc>
          <w:tcPr>
            <w:tcW w:w="455" w:type="dxa"/>
            <w:tcBorders/>
            <w:shd w:fill="E93CAC"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w:t>
            </w:r>
          </w:p>
        </w:tc>
        <w:tc>
          <w:tcPr>
            <w:tcW w:w="41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47.6%</w:t>
            </w:r>
          </w:p>
        </w:tc>
        <w:tc>
          <w:tcPr>
            <w:tcW w:w="801" w:type="dxa"/>
            <w:tcBorders>
              <w:right w:val="single" w:sz="8" w:space="0" w:color="000000"/>
            </w:tcBorders>
            <w:tcMar>
              <w:top w:w="0" w:type="dxa"/>
              <w:left w:w="0" w:type="dxa"/>
            </w:tcMar>
            <w:vAlign w:val="center"/>
          </w:tcPr>
          <w:p>
            <w:pPr>
              <w:pStyle w:val="TableContents"/>
              <w:bidi w:val="0"/>
              <w:spacing w:before="0" w:after="283"/>
              <w:ind w:left="0" w:right="0" w:firstLine="220"/>
              <w:jc w:val="center"/>
              <w:rPr>
                <w:rFonts w:ascii="Arial;Helvetica;Sans-Serif" w:hAnsi="Arial;Helvetica;Sans-Serif"/>
                <w:sz w:val="14"/>
              </w:rPr>
            </w:pPr>
            <w:r>
              <w:rPr>
                <w:rFonts w:ascii="Arial;Helvetica;Sans-Serif" w:hAnsi="Arial;Helvetica;Sans-Serif"/>
                <w:sz w:val="14"/>
              </w:rPr>
              <w:t>52.4%</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r>
              <w:rPr>
                <w:rFonts w:ascii="Arial;Helvetica;Sans-Serif" w:hAnsi="Arial;Helvetica;Sans-Serif"/>
                <w:sz w:val="14"/>
              </w:rPr>
              <w:t>Middle-Market</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13,027</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10,919</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9,795</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10,377</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9,725</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9,003</w:t>
            </w:r>
          </w:p>
        </w:tc>
        <w:tc>
          <w:tcPr>
            <w:tcW w:w="455" w:type="dxa"/>
            <w:tcBorders>
              <w:left w:val="single" w:sz="8" w:space="0" w:color="000000"/>
            </w:tcBorders>
            <w:shd w:fill="E93CAC" w:val="clear"/>
            <w:tcMar>
              <w:top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-10.3%</w:t>
            </w:r>
          </w:p>
        </w:tc>
        <w:tc>
          <w:tcPr>
            <w:tcW w:w="455" w:type="dxa"/>
            <w:tcBorders/>
            <w:shd w:fill="E93CAC"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-24.8%</w:t>
            </w:r>
          </w:p>
        </w:tc>
        <w:tc>
          <w:tcPr>
            <w:tcW w:w="602" w:type="dxa"/>
            <w:tcBorders>
              <w:left w:val="single" w:sz="8" w:space="0" w:color="000000"/>
            </w:tcBorders>
            <w:shd w:fill="E93CAC" w:val="clear"/>
            <w:tcMar>
              <w:top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-7.4%</w:t>
            </w:r>
          </w:p>
        </w:tc>
        <w:tc>
          <w:tcPr>
            <w:tcW w:w="722" w:type="dxa"/>
            <w:tcBorders>
              <w:right w:val="single" w:sz="8" w:space="0" w:color="000000"/>
            </w:tcBorders>
            <w:shd w:fill="E93CAC"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-13.2%</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2,793</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3,023</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3,009</w:t>
            </w:r>
          </w:p>
        </w:tc>
        <w:tc>
          <w:tcPr>
            <w:tcW w:w="455" w:type="dxa"/>
            <w:tcBorders/>
            <w:shd w:fill="E93CAC"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-0.5%</w:t>
            </w:r>
          </w:p>
        </w:tc>
        <w:tc>
          <w:tcPr>
            <w:tcW w:w="410" w:type="dxa"/>
            <w:tcBorders>
              <w:right w:val="single" w:sz="8" w:space="0" w:color="000000"/>
            </w:tcBorders>
            <w:shd w:fill="26D07C"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7.8%</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47.0%</w:t>
            </w:r>
          </w:p>
        </w:tc>
        <w:tc>
          <w:tcPr>
            <w:tcW w:w="801" w:type="dxa"/>
            <w:tcBorders>
              <w:right w:val="single" w:sz="8" w:space="0" w:color="000000"/>
            </w:tcBorders>
            <w:tcMar>
              <w:top w:w="0" w:type="dxa"/>
              <w:left w:w="0" w:type="dxa"/>
            </w:tcMar>
            <w:vAlign w:val="center"/>
          </w:tcPr>
          <w:p>
            <w:pPr>
              <w:pStyle w:val="TableContents"/>
              <w:bidi w:val="0"/>
              <w:spacing w:before="0" w:after="283"/>
              <w:ind w:left="0" w:right="0" w:firstLine="221"/>
              <w:jc w:val="center"/>
              <w:rPr>
                <w:rFonts w:ascii="Arial;Helvetica;Sans-Serif" w:hAnsi="Arial;Helvetica;Sans-Serif"/>
                <w:sz w:val="14"/>
              </w:rPr>
            </w:pPr>
            <w:r>
              <w:rPr>
                <w:rFonts w:ascii="Arial;Helvetica;Sans-Serif" w:hAnsi="Arial;Helvetica;Sans-Serif"/>
                <w:sz w:val="14"/>
              </w:rPr>
              <w:t>53.0%</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Retail Banking</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56,759</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56,133</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55,498</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45,837</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50,586</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51,346</w:t>
            </w:r>
          </w:p>
        </w:tc>
        <w:tc>
          <w:tcPr>
            <w:tcW w:w="455"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-1.1%</w:t>
            </w:r>
          </w:p>
        </w:tc>
        <w:tc>
          <w:tcPr>
            <w:tcW w:w="45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-2.2%</w:t>
            </w:r>
          </w:p>
        </w:tc>
        <w:tc>
          <w:tcPr>
            <w:tcW w:w="602"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1.5%</w:t>
            </w:r>
          </w:p>
        </w:tc>
        <w:tc>
          <w:tcPr>
            <w:tcW w:w="722"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12.0%</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1,863</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1,953</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1,994</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2.1%</w:t>
            </w:r>
          </w:p>
        </w:tc>
        <w:tc>
          <w:tcPr>
            <w:tcW w:w="4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7.0%</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88.3%</w:t>
            </w:r>
          </w:p>
        </w:tc>
        <w:tc>
          <w:tcPr>
            <w:tcW w:w="801" w:type="dxa"/>
            <w:tcBorders>
              <w:right w:val="single" w:sz="8" w:space="0" w:color="000000"/>
            </w:tcBorders>
            <w:tcMar>
              <w:top w:w="0" w:type="dxa"/>
              <w:left w:w="0" w:type="dxa"/>
            </w:tcMar>
            <w:vAlign w:val="center"/>
          </w:tcPr>
          <w:p>
            <w:pPr>
              <w:pStyle w:val="TableContents"/>
              <w:bidi w:val="0"/>
              <w:spacing w:before="0" w:after="283"/>
              <w:ind w:left="0" w:right="0" w:firstLine="220"/>
              <w:jc w:val="center"/>
              <w:rPr>
                <w:rFonts w:ascii="Arial;Helvetica;Sans-Serif" w:hAnsi="Arial;Helvetica;Sans-Serif"/>
                <w:b/>
                <w:sz w:val="14"/>
              </w:rPr>
            </w:pPr>
            <w:r>
              <w:rPr>
                <w:rFonts w:ascii="Arial;Helvetica;Sans-Serif" w:hAnsi="Arial;Helvetica;Sans-Serif"/>
                <w:b/>
                <w:sz w:val="14"/>
              </w:rPr>
              <w:t>11.7%</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r>
              <w:rPr>
                <w:rFonts w:ascii="Arial;Helvetica;Sans-Serif" w:hAnsi="Arial;Helvetica;Sans-Serif"/>
                <w:sz w:val="14"/>
              </w:rPr>
              <w:t>SME - Business</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6,586</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4,970</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4,486</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2,399</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2,836</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2,987</w:t>
            </w:r>
          </w:p>
        </w:tc>
        <w:tc>
          <w:tcPr>
            <w:tcW w:w="455" w:type="dxa"/>
            <w:tcBorders>
              <w:left w:val="single" w:sz="8" w:space="0" w:color="000000"/>
            </w:tcBorders>
            <w:shd w:fill="E93CAC" w:val="clear"/>
            <w:tcMar>
              <w:top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-9.7%</w:t>
            </w:r>
          </w:p>
        </w:tc>
        <w:tc>
          <w:tcPr>
            <w:tcW w:w="455" w:type="dxa"/>
            <w:tcBorders>
              <w:right w:val="single" w:sz="8" w:space="0" w:color="000000"/>
            </w:tcBorders>
            <w:shd w:fill="E93CAC"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-31.9%</w:t>
            </w:r>
          </w:p>
        </w:tc>
        <w:tc>
          <w:tcPr>
            <w:tcW w:w="602" w:type="dxa"/>
            <w:tcBorders/>
            <w:shd w:fill="00D274"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5.3%</w:t>
            </w:r>
          </w:p>
        </w:tc>
        <w:tc>
          <w:tcPr>
            <w:tcW w:w="722"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24.5%</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715</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766</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799</w:t>
            </w:r>
          </w:p>
        </w:tc>
        <w:tc>
          <w:tcPr>
            <w:tcW w:w="455" w:type="dxa"/>
            <w:tcBorders/>
            <w:shd w:fill="00D274"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4.3%</w:t>
            </w:r>
          </w:p>
        </w:tc>
        <w:tc>
          <w:tcPr>
            <w:tcW w:w="410" w:type="dxa"/>
            <w:tcBorders>
              <w:right w:val="single" w:sz="8" w:space="0" w:color="000000"/>
            </w:tcBorders>
            <w:shd w:fill="26D07C"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11.8%</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60.5%</w:t>
            </w:r>
          </w:p>
        </w:tc>
        <w:tc>
          <w:tcPr>
            <w:tcW w:w="801" w:type="dxa"/>
            <w:tcBorders>
              <w:right w:val="single" w:sz="8" w:space="0" w:color="000000"/>
            </w:tcBorders>
            <w:tcMar>
              <w:top w:w="0" w:type="dxa"/>
              <w:left w:w="0" w:type="dxa"/>
            </w:tcMar>
            <w:vAlign w:val="center"/>
          </w:tcPr>
          <w:p>
            <w:pPr>
              <w:pStyle w:val="TableContents"/>
              <w:bidi w:val="0"/>
              <w:spacing w:before="0" w:after="283"/>
              <w:ind w:left="0" w:right="0" w:firstLine="220"/>
              <w:jc w:val="center"/>
              <w:rPr>
                <w:rFonts w:ascii="Arial;Helvetica;Sans-Serif" w:hAnsi="Arial;Helvetica;Sans-Serif"/>
                <w:sz w:val="14"/>
              </w:rPr>
            </w:pPr>
            <w:r>
              <w:rPr>
                <w:rFonts w:ascii="Arial;Helvetica;Sans-Serif" w:hAnsi="Arial;Helvetica;Sans-Serif"/>
                <w:sz w:val="14"/>
              </w:rPr>
              <w:t>39.5%</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r>
              <w:rPr>
                <w:rFonts w:ascii="Arial;Helvetica;Sans-Serif" w:hAnsi="Arial;Helvetica;Sans-Serif"/>
                <w:sz w:val="14"/>
              </w:rPr>
              <w:t>SME - Pyme</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18,781</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16,830</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16,332</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12,046</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13,417</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13,680</w:t>
            </w:r>
          </w:p>
        </w:tc>
        <w:tc>
          <w:tcPr>
            <w:tcW w:w="455" w:type="dxa"/>
            <w:tcBorders/>
            <w:shd w:fill="E93CAC"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w:t>
            </w:r>
          </w:p>
        </w:tc>
        <w:tc>
          <w:tcPr>
            <w:tcW w:w="455" w:type="dxa"/>
            <w:tcBorders>
              <w:right w:val="single" w:sz="8" w:space="0" w:color="000000"/>
            </w:tcBorders>
            <w:shd w:fill="E93CAC"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-13.0%</w:t>
            </w:r>
          </w:p>
        </w:tc>
        <w:tc>
          <w:tcPr>
            <w:tcW w:w="602" w:type="dxa"/>
            <w:tcBorders/>
            <w:shd w:fill="00D274"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w:t>
            </w:r>
          </w:p>
        </w:tc>
        <w:tc>
          <w:tcPr>
            <w:tcW w:w="722"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13.6%</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41</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44</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43</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-1.7%</w:t>
            </w:r>
          </w:p>
        </w:tc>
        <w:tc>
          <w:tcPr>
            <w:tcW w:w="4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3.6%</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99.0%</w:t>
            </w:r>
          </w:p>
        </w:tc>
        <w:tc>
          <w:tcPr>
            <w:tcW w:w="801" w:type="dxa"/>
            <w:tcBorders>
              <w:right w:val="single" w:sz="8" w:space="0" w:color="000000"/>
            </w:tcBorders>
            <w:tcMar>
              <w:top w:w="0" w:type="dxa"/>
              <w:left w:w="0" w:type="dxa"/>
            </w:tcMar>
            <w:vAlign w:val="center"/>
          </w:tcPr>
          <w:p>
            <w:pPr>
              <w:pStyle w:val="TableContents"/>
              <w:bidi w:val="0"/>
              <w:spacing w:before="0" w:after="283"/>
              <w:ind w:left="0" w:right="0" w:firstLine="220"/>
              <w:jc w:val="center"/>
              <w:rPr>
                <w:rFonts w:ascii="Arial;Helvetica;Sans-Serif" w:hAnsi="Arial;Helvetica;Sans-Serif"/>
                <w:sz w:val="14"/>
              </w:rPr>
            </w:pPr>
            <w:r>
              <w:rPr>
                <w:rFonts w:ascii="Arial;Helvetica;Sans-Serif" w:hAnsi="Arial;Helvetica;Sans-Serif"/>
                <w:sz w:val="14"/>
              </w:rPr>
              <w:t>1.0%</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r>
              <w:rPr>
                <w:rFonts w:ascii="Arial;Helvetica;Sans-Serif" w:hAnsi="Arial;Helvetica;Sans-Serif"/>
                <w:sz w:val="14"/>
              </w:rPr>
              <w:t>Mortgage</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17,351</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18,264</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18,495</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17,351</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18,264</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18,495</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w:t>
            </w:r>
          </w:p>
        </w:tc>
        <w:tc>
          <w:tcPr>
            <w:tcW w:w="45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6.6%</w:t>
            </w:r>
          </w:p>
        </w:tc>
        <w:tc>
          <w:tcPr>
            <w:tcW w:w="602"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w:t>
            </w:r>
          </w:p>
        </w:tc>
        <w:tc>
          <w:tcPr>
            <w:tcW w:w="722"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6.6%</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514</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530</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532</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0.2%</w:t>
            </w:r>
          </w:p>
        </w:tc>
        <w:tc>
          <w:tcPr>
            <w:tcW w:w="4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3.4%</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90.4%</w:t>
            </w:r>
          </w:p>
        </w:tc>
        <w:tc>
          <w:tcPr>
            <w:tcW w:w="801" w:type="dxa"/>
            <w:tcBorders>
              <w:right w:val="single" w:sz="8" w:space="0" w:color="000000"/>
            </w:tcBorders>
            <w:tcMar>
              <w:top w:w="0" w:type="dxa"/>
              <w:left w:w="0" w:type="dxa"/>
            </w:tcMar>
            <w:vAlign w:val="center"/>
          </w:tcPr>
          <w:p>
            <w:pPr>
              <w:pStyle w:val="TableContents"/>
              <w:bidi w:val="0"/>
              <w:spacing w:before="0" w:after="283"/>
              <w:ind w:left="0" w:right="0" w:firstLine="220"/>
              <w:jc w:val="center"/>
              <w:rPr>
                <w:rFonts w:ascii="Arial;Helvetica;Sans-Serif" w:hAnsi="Arial;Helvetica;Sans-Serif"/>
                <w:sz w:val="14"/>
              </w:rPr>
            </w:pPr>
            <w:r>
              <w:rPr>
                <w:rFonts w:ascii="Arial;Helvetica;Sans-Serif" w:hAnsi="Arial;Helvetica;Sans-Serif"/>
                <w:sz w:val="14"/>
              </w:rPr>
              <w:t>9.6%</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r>
              <w:rPr>
                <w:rFonts w:ascii="Arial;Helvetica;Sans-Serif" w:hAnsi="Arial;Helvetica;Sans-Serif"/>
                <w:sz w:val="14"/>
              </w:rPr>
              <w:t>Consumer</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10,367</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11,514</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11,388</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10,367</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11,514</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11,388</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w:t>
            </w:r>
          </w:p>
        </w:tc>
        <w:tc>
          <w:tcPr>
            <w:tcW w:w="455"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9.8%</w:t>
            </w:r>
          </w:p>
        </w:tc>
        <w:tc>
          <w:tcPr>
            <w:tcW w:w="602"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w:t>
            </w:r>
          </w:p>
        </w:tc>
        <w:tc>
          <w:tcPr>
            <w:tcW w:w="722"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9.8%</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390</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386</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376</w:t>
            </w:r>
          </w:p>
        </w:tc>
        <w:tc>
          <w:tcPr>
            <w:tcW w:w="455" w:type="dxa"/>
            <w:tcBorders/>
            <w:shd w:fill="E93CAC"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-2.5%</w:t>
            </w:r>
          </w:p>
        </w:tc>
        <w:tc>
          <w:tcPr>
            <w:tcW w:w="410" w:type="dxa"/>
            <w:tcBorders>
              <w:right w:val="single" w:sz="8" w:space="0" w:color="000000"/>
            </w:tcBorders>
            <w:shd w:fill="E93CAC"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-3.4%</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89.2%</w:t>
            </w:r>
          </w:p>
        </w:tc>
        <w:tc>
          <w:tcPr>
            <w:tcW w:w="801" w:type="dxa"/>
            <w:tcBorders>
              <w:right w:val="single" w:sz="8" w:space="0" w:color="000000"/>
            </w:tcBorders>
            <w:tcMar>
              <w:top w:w="0" w:type="dxa"/>
              <w:left w:w="0" w:type="dxa"/>
            </w:tcMar>
            <w:vAlign w:val="center"/>
          </w:tcPr>
          <w:p>
            <w:pPr>
              <w:pStyle w:val="TableContents"/>
              <w:bidi w:val="0"/>
              <w:spacing w:before="0" w:after="283"/>
              <w:ind w:left="0" w:right="0" w:firstLine="220"/>
              <w:jc w:val="center"/>
              <w:rPr>
                <w:rFonts w:ascii="Arial;Helvetica;Sans-Serif" w:hAnsi="Arial;Helvetica;Sans-Serif"/>
                <w:sz w:val="14"/>
              </w:rPr>
            </w:pPr>
            <w:r>
              <w:rPr>
                <w:rFonts w:ascii="Arial;Helvetica;Sans-Serif" w:hAnsi="Arial;Helvetica;Sans-Serif"/>
                <w:sz w:val="14"/>
              </w:rPr>
              <w:t>10.8%</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r>
              <w:rPr>
                <w:rFonts w:ascii="Arial;Helvetica;Sans-Serif" w:hAnsi="Arial;Helvetica;Sans-Serif"/>
                <w:sz w:val="14"/>
              </w:rPr>
              <w:t>Credit Card</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3,674</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4,555</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4,796</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3,674</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4,555</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4,796</w:t>
            </w:r>
          </w:p>
        </w:tc>
        <w:tc>
          <w:tcPr>
            <w:tcW w:w="455" w:type="dxa"/>
            <w:tcBorders/>
            <w:shd w:fill="00D274"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5.3%</w:t>
            </w:r>
          </w:p>
        </w:tc>
        <w:tc>
          <w:tcPr>
            <w:tcW w:w="455"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30.5%</w:t>
            </w:r>
          </w:p>
        </w:tc>
        <w:tc>
          <w:tcPr>
            <w:tcW w:w="602" w:type="dxa"/>
            <w:tcBorders/>
            <w:shd w:fill="00D274"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5.3%</w:t>
            </w:r>
          </w:p>
        </w:tc>
        <w:tc>
          <w:tcPr>
            <w:tcW w:w="722"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30.5%</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204</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227</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244</w:t>
            </w:r>
          </w:p>
        </w:tc>
        <w:tc>
          <w:tcPr>
            <w:tcW w:w="455" w:type="dxa"/>
            <w:tcBorders/>
            <w:shd w:fill="00D274" w:val="clear"/>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7.3%</w:t>
            </w:r>
          </w:p>
        </w:tc>
        <w:tc>
          <w:tcPr>
            <w:tcW w:w="410"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19.9%</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84.3%</w:t>
            </w:r>
          </w:p>
        </w:tc>
        <w:tc>
          <w:tcPr>
            <w:tcW w:w="80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15.7%</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Mibanco</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13,696</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13,619</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13,746</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11,837</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12,856</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13,242</w:t>
            </w:r>
          </w:p>
        </w:tc>
        <w:tc>
          <w:tcPr>
            <w:tcW w:w="45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0.9%</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0.4%</w:t>
            </w:r>
          </w:p>
        </w:tc>
        <w:tc>
          <w:tcPr>
            <w:tcW w:w="602" w:type="dxa"/>
            <w:tcBorders/>
            <w:shd w:fill="00D274"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3.0%</w:t>
            </w:r>
          </w:p>
        </w:tc>
        <w:tc>
          <w:tcPr>
            <w:tcW w:w="722" w:type="dxa"/>
            <w:tcBorders>
              <w:right w:val="single" w:sz="8" w:space="0" w:color="000000"/>
            </w:tcBorders>
            <w:shd w:fill="00D274" w:val="clear"/>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11.9%</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126</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126</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132</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5.1%</w:t>
            </w:r>
          </w:p>
        </w:tc>
        <w:tc>
          <w:tcPr>
            <w:tcW w:w="4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5.3%</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96.6%</w:t>
            </w:r>
          </w:p>
        </w:tc>
        <w:tc>
          <w:tcPr>
            <w:tcW w:w="80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3.4%</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Mibanco Colombia</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40" w:type="dxa"/>
            <w:tcBorders/>
            <w:tcMar>
              <w:top w:w="0" w:type="dxa"/>
              <w:left w:w="0" w:type="dxa"/>
              <w:right w:w="0" w:type="dxa"/>
            </w:tcMar>
            <w:vAlign w:val="center"/>
          </w:tcPr>
          <w:p>
            <w:pPr>
              <w:pStyle w:val="TableContents"/>
              <w:bidi w:val="0"/>
              <w:spacing w:before="0" w:after="283"/>
              <w:jc w:val="center"/>
              <w:rPr/>
            </w:pPr>
            <w:r>
              <w:rPr/>
              <w:t> </w:t>
            </w:r>
            <w:r>
              <w:rPr>
                <w:rFonts w:ascii="Arial;Helvetica;Sans-Serif" w:hAnsi="Arial;Helvetica;Sans-Serif"/>
                <w:b/>
                <w:sz w:val="14"/>
              </w:rPr>
              <w:t xml:space="preserve">- </w:t>
            </w:r>
          </w:p>
        </w:tc>
        <w:tc>
          <w:tcPr>
            <w:tcW w:w="455" w:type="dxa"/>
            <w:tcBorders/>
            <w:tcMar>
              <w:top w:w="0" w:type="dxa"/>
              <w:left w:w="0" w:type="dxa"/>
              <w:right w:w="0" w:type="dxa"/>
            </w:tcMar>
            <w:vAlign w:val="center"/>
          </w:tcPr>
          <w:p>
            <w:pPr>
              <w:pStyle w:val="TableContents"/>
              <w:bidi w:val="0"/>
              <w:spacing w:before="0" w:after="283"/>
              <w:jc w:val="center"/>
              <w:rPr/>
            </w:pPr>
            <w:r>
              <w:rPr/>
              <w:t> </w:t>
            </w:r>
            <w:r>
              <w:rPr>
                <w:rFonts w:ascii="Arial;Helvetica;Sans-Serif" w:hAnsi="Arial;Helvetica;Sans-Serif"/>
                <w:b/>
                <w:sz w:val="14"/>
              </w:rPr>
              <w:t xml:space="preserve">- </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pPr>
            <w:r>
              <w:rPr/>
              <w:t> </w:t>
            </w:r>
            <w:r>
              <w:rPr>
                <w:rFonts w:ascii="Arial;Helvetica;Sans-Serif" w:hAnsi="Arial;Helvetica;Sans-Serif"/>
                <w:b/>
                <w:sz w:val="14"/>
              </w:rPr>
              <w:t xml:space="preserve">- </w:t>
            </w:r>
          </w:p>
        </w:tc>
        <w:tc>
          <w:tcPr>
            <w:tcW w:w="45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55"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602" w:type="dxa"/>
            <w:tcBorders>
              <w:left w:val="single" w:sz="8" w:space="0" w:color="000000"/>
            </w:tcBorders>
            <w:shd w:fill="FFFFFF" w:val="clear"/>
            <w:tcMar>
              <w:top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722"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304</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329</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365</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11.1%</w:t>
            </w:r>
          </w:p>
        </w:tc>
        <w:tc>
          <w:tcPr>
            <w:tcW w:w="4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19.9%</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80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100.0%</w:t>
            </w:r>
          </w:p>
        </w:tc>
      </w:tr>
      <w:tr>
        <w:trPr/>
        <w:tc>
          <w:tcPr>
            <w:tcW w:w="125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Bolivia</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40" w:type="dxa"/>
            <w:tcBorders/>
            <w:tcMar>
              <w:top w:w="0" w:type="dxa"/>
              <w:left w:w="0" w:type="dxa"/>
              <w:right w:w="0" w:type="dxa"/>
            </w:tcMar>
            <w:vAlign w:val="center"/>
          </w:tcPr>
          <w:p>
            <w:pPr>
              <w:pStyle w:val="TableContents"/>
              <w:bidi w:val="0"/>
              <w:spacing w:before="0" w:after="283"/>
              <w:jc w:val="center"/>
              <w:rPr/>
            </w:pPr>
            <w:r>
              <w:rPr/>
              <w:t> </w:t>
            </w:r>
            <w:r>
              <w:rPr>
                <w:rFonts w:ascii="Arial;Helvetica;Sans-Serif" w:hAnsi="Arial;Helvetica;Sans-Serif"/>
                <w:b/>
                <w:sz w:val="14"/>
              </w:rPr>
              <w:t xml:space="preserve">- </w:t>
            </w:r>
          </w:p>
        </w:tc>
        <w:tc>
          <w:tcPr>
            <w:tcW w:w="455" w:type="dxa"/>
            <w:tcBorders/>
            <w:tcMar>
              <w:top w:w="0" w:type="dxa"/>
              <w:left w:w="0" w:type="dxa"/>
              <w:right w:w="0" w:type="dxa"/>
            </w:tcMar>
            <w:vAlign w:val="center"/>
          </w:tcPr>
          <w:p>
            <w:pPr>
              <w:pStyle w:val="TableContents"/>
              <w:bidi w:val="0"/>
              <w:spacing w:before="0" w:after="283"/>
              <w:jc w:val="center"/>
              <w:rPr/>
            </w:pPr>
            <w:r>
              <w:rPr/>
              <w:t> </w:t>
            </w:r>
            <w:r>
              <w:rPr>
                <w:rFonts w:ascii="Arial;Helvetica;Sans-Serif" w:hAnsi="Arial;Helvetica;Sans-Serif"/>
                <w:b/>
                <w:sz w:val="14"/>
              </w:rPr>
              <w:t xml:space="preserve">- </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pPr>
            <w:r>
              <w:rPr/>
              <w:t> </w:t>
            </w:r>
            <w:r>
              <w:rPr>
                <w:rFonts w:ascii="Arial;Helvetica;Sans-Serif" w:hAnsi="Arial;Helvetica;Sans-Serif"/>
                <w:b/>
                <w:sz w:val="14"/>
              </w:rPr>
              <w:t xml:space="preserve">- </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602"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722"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71"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2,277</w:t>
            </w:r>
          </w:p>
        </w:tc>
        <w:tc>
          <w:tcPr>
            <w:tcW w:w="487"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2,352</w:t>
            </w:r>
          </w:p>
        </w:tc>
        <w:tc>
          <w:tcPr>
            <w:tcW w:w="47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2,405</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2.2%</w:t>
            </w:r>
          </w:p>
        </w:tc>
        <w:tc>
          <w:tcPr>
            <w:tcW w:w="4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5.6%</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801"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100.0%</w:t>
            </w:r>
          </w:p>
        </w:tc>
      </w:tr>
      <w:tr>
        <w:trPr/>
        <w:tc>
          <w:tcPr>
            <w:tcW w:w="125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 xml:space="preserve">ASB </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r>
              <w:rPr>
                <w:rFonts w:ascii="Arial;Helvetica;Sans-Serif" w:hAnsi="Arial;Helvetica;Sans-Serif"/>
                <w:b/>
                <w:sz w:val="14"/>
              </w:rPr>
              <w:t xml:space="preserve">-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pPr>
            <w:r>
              <w:rPr/>
              <w:t> </w:t>
            </w:r>
            <w:r>
              <w:rPr>
                <w:rFonts w:ascii="Arial;Helvetica;Sans-Serif" w:hAnsi="Arial;Helvetica;Sans-Serif"/>
                <w:b/>
                <w:sz w:val="14"/>
              </w:rPr>
              <w:t xml:space="preserve">- </w:t>
            </w:r>
          </w:p>
        </w:tc>
        <w:tc>
          <w:tcPr>
            <w:tcW w:w="4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r>
              <w:rPr>
                <w:rFonts w:ascii="Arial;Helvetica;Sans-Serif" w:hAnsi="Arial;Helvetica;Sans-Serif"/>
                <w:b/>
                <w:sz w:val="14"/>
              </w:rPr>
              <w:t xml:space="preserve">-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5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602"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722"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471"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536</w:t>
            </w:r>
          </w:p>
        </w:tc>
        <w:tc>
          <w:tcPr>
            <w:tcW w:w="487"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515</w:t>
            </w:r>
          </w:p>
        </w:tc>
        <w:tc>
          <w:tcPr>
            <w:tcW w:w="47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498</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-3.1%</w:t>
            </w:r>
          </w:p>
        </w:tc>
        <w:tc>
          <w:tcPr>
            <w:tcW w:w="4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-7.0%</w:t>
            </w:r>
          </w:p>
        </w:tc>
        <w:tc>
          <w:tcPr>
            <w:tcW w:w="508"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80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100.0%</w:t>
            </w:r>
          </w:p>
        </w:tc>
      </w:tr>
      <w:tr>
        <w:trPr/>
        <w:tc>
          <w:tcPr>
            <w:tcW w:w="1250"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Total loans</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 xml:space="preserve">98,857 </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95,735</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94,305</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83,091</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88,058</w:t>
            </w:r>
          </w:p>
        </w:tc>
        <w:tc>
          <w:tcPr>
            <w:tcW w:w="4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88,730</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-1.5%</w:t>
            </w:r>
          </w:p>
        </w:tc>
        <w:tc>
          <w:tcPr>
            <w:tcW w:w="45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-4.6%</w:t>
            </w:r>
          </w:p>
        </w:tc>
        <w:tc>
          <w:tcPr>
            <w:tcW w:w="602"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0.8%</w:t>
            </w:r>
          </w:p>
        </w:tc>
        <w:tc>
          <w:tcPr>
            <w:tcW w:w="72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6.8%</w:t>
            </w:r>
          </w:p>
        </w:tc>
        <w:tc>
          <w:tcPr>
            <w:tcW w:w="471"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12,220</w:t>
            </w:r>
          </w:p>
        </w:tc>
        <w:tc>
          <w:tcPr>
            <w:tcW w:w="487"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12,936</w:t>
            </w:r>
          </w:p>
        </w:tc>
        <w:tc>
          <w:tcPr>
            <w:tcW w:w="47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12,982</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0.4%</w:t>
            </w:r>
          </w:p>
        </w:tc>
        <w:tc>
          <w:tcPr>
            <w:tcW w:w="4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6.2%</w:t>
            </w:r>
          </w:p>
        </w:tc>
        <w:tc>
          <w:tcPr>
            <w:tcW w:w="508"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66.4%</w:t>
            </w:r>
          </w:p>
        </w:tc>
        <w:tc>
          <w:tcPr>
            <w:tcW w:w="80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33.6%</w:t>
            </w:r>
          </w:p>
        </w:tc>
      </w:tr>
    </w:tbl>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41">
                <wp:simplePos x="0" y="0"/>
                <wp:positionH relativeFrom="column">
                  <wp:align>right</wp:align>
                </wp:positionH>
                <wp:positionV relativeFrom="line">
                  <wp:posOffset>635</wp:posOffset>
                </wp:positionV>
                <wp:extent cx="1165860" cy="276225"/>
                <wp:effectExtent l="0" t="0" r="0" b="0"/>
                <wp:wrapSquare wrapText="left"/>
                <wp:docPr id="82" name="Frame30"/>
                <a:graphic xmlns:a="http://schemas.openxmlformats.org/drawingml/2006/main">
                  <a:graphicData uri="http://schemas.microsoft.com/office/word/2010/wordprocessingShape">
                    <wps:wsp>
                      <wps:cNvSpPr txBox="1"/>
                      <wps:spPr>
                        <a:xfrm>
                          <a:off x="0" y="0"/>
                          <a:ext cx="1165860" cy="276225"/>
                        </a:xfrm>
                        <a:prstGeom prst="rect"/>
                        <a:solidFill>
                          <a:srgbClr val="FFFFFF"/>
                        </a:solidFill>
                      </wps:spPr>
                      <wps:txbx>
                        <w:txbxContent>
                          <w:p>
                            <w:pPr>
                              <w:pStyle w:val="TextBody"/>
                              <w:bidi w:val="0"/>
                              <w:spacing w:before="120" w:after="0"/>
                              <w:jc w:val="right"/>
                              <w:rPr>
                                <w:caps w:val="false"/>
                                <w:smallCaps w:val="false"/>
                              </w:rPr>
                            </w:pPr>
                            <w:r>
                              <w:rPr>
                                <w:caps w:val="false"/>
                                <w:smallCaps w:val="false"/>
                              </w:rPr>
                              <w:drawing>
                                <wp:inline distT="0" distB="0" distL="0" distR="0">
                                  <wp:extent cx="1333500" cy="200025"/>
                                  <wp:effectExtent l="0" t="0" r="0" b="0"/>
                                  <wp:docPr id="8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2" descr=""/>
                                          <pic:cNvPicPr>
                                            <a:picLocks noChangeAspect="1" noChangeArrowheads="1"/>
                                          </pic:cNvPicPr>
                                        </pic:nvPicPr>
                                        <pic:blipFill>
                                          <a:blip r:embed="rId55"/>
                                          <a:stretch>
                                            <a:fillRect/>
                                          </a:stretch>
                                        </pic:blipFill>
                                        <pic:spPr bwMode="auto">
                                          <a:xfrm>
                                            <a:off x="0" y="0"/>
                                            <a:ext cx="1333500" cy="200025"/>
                                          </a:xfrm>
                                          <a:prstGeom prst="rect">
                                            <a:avLst/>
                                          </a:prstGeom>
                                        </pic:spPr>
                                      </pic:pic>
                                    </a:graphicData>
                                  </a:graphic>
                                </wp:inline>
                              </w:drawing>
                            </w:r>
                          </w:p>
                        </w:txbxContent>
                      </wps:txbx>
                      <wps:bodyPr anchor="t" lIns="0" tIns="0" rIns="0" bIns="0">
                        <a:noAutofit/>
                      </wps:bodyPr>
                    </wps:wsp>
                  </a:graphicData>
                </a:graphic>
                <wp14:sizeRelH relativeFrom="margin">
                  <wp14:pctWidth>18000</wp14:pctWidth>
                </wp14:sizeRelH>
              </wp:anchor>
            </w:drawing>
          </mc:Choice>
          <mc:Fallback>
            <w:pict>
              <v:rect style="position:absolute;rotation:-0;width:91.8pt;height:21.75pt;mso-wrap-distance-left:0pt;mso-wrap-distance-right:0pt;mso-wrap-distance-top:0pt;mso-wrap-distance-bottom:0pt;margin-top:0pt;mso-position-vertical:top;mso-position-vertical-relative:text;margin-left:418.45pt;mso-position-horizontal:right;mso-position-horizontal-relative:text">
                <v:textbox>
                  <w:txbxContent>
                    <w:p>
                      <w:pPr>
                        <w:pStyle w:val="TextBody"/>
                        <w:bidi w:val="0"/>
                        <w:spacing w:before="120" w:after="0"/>
                        <w:jc w:val="right"/>
                        <w:rPr>
                          <w:caps w:val="false"/>
                          <w:smallCaps w:val="false"/>
                        </w:rPr>
                      </w:pPr>
                      <w:r>
                        <w:rPr>
                          <w:caps w:val="false"/>
                          <w:smallCaps w:val="false"/>
                        </w:rPr>
                        <w:drawing>
                          <wp:inline distT="0" distB="0" distL="0" distR="0">
                            <wp:extent cx="1333500" cy="200025"/>
                            <wp:effectExtent l="0" t="0" r="0" b="0"/>
                            <wp:docPr id="8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 descr=""/>
                                    <pic:cNvPicPr>
                                      <a:picLocks noChangeAspect="1" noChangeArrowheads="1"/>
                                    </pic:cNvPicPr>
                                  </pic:nvPicPr>
                                  <pic:blipFill>
                                    <a:blip r:embed="rId56"/>
                                    <a:stretch>
                                      <a:fillRect/>
                                    </a:stretch>
                                  </pic:blipFill>
                                  <pic:spPr bwMode="auto">
                                    <a:xfrm>
                                      <a:off x="0" y="0"/>
                                      <a:ext cx="1333500" cy="20002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5053965" cy="408940"/>
                <wp:effectExtent l="0" t="0" r="0" b="0"/>
                <wp:wrapSquare wrapText="right"/>
                <wp:docPr id="85" name="Frame29"/>
                <a:graphic xmlns:a="http://schemas.openxmlformats.org/drawingml/2006/main">
                  <a:graphicData uri="http://schemas.microsoft.com/office/word/2010/wordprocessingShape">
                    <wps:wsp>
                      <wps:cNvSpPr txBox="1"/>
                      <wps:spPr>
                        <a:xfrm>
                          <a:off x="0" y="0"/>
                          <a:ext cx="5053965" cy="408940"/>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For consolidation purposes, Loans generated in Foreign Currency (FC) are converted to Local Currency (LC).</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Includes Work out unit, and other banking. For Quarter-end Balances figures, please refer to “12. Annexes – 12.2 Loan Portfolio Quality”</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Internal Management Figures</w:t>
                            </w:r>
                          </w:p>
                        </w:txbxContent>
                      </wps:txbx>
                      <wps:bodyPr anchor="t" lIns="0" tIns="0" rIns="0" bIns="0">
                        <a:noAutofit/>
                      </wps:bodyPr>
                    </wps:wsp>
                  </a:graphicData>
                </a:graphic>
                <wp14:sizeRelH relativeFrom="margin">
                  <wp14:pctWidth>78000</wp14:pctWidth>
                </wp14:sizeRelH>
              </wp:anchor>
            </w:drawing>
          </mc:Choice>
          <mc:Fallback>
            <w:pict>
              <v:rect style="position:absolute;rotation:-0;width:397.9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For consolidation purposes, Loans generated in Foreign Currency (FC) are converted to Local Currency (LC).</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Includes Work out unit, and other banking. For Quarter-end Balances figures, please refer to “12. Annexes – 12.2 Loan Portfolio Quality”</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Internal Management Figures</w:t>
                      </w:r>
                    </w:p>
                  </w:txbxContent>
                </v:textbox>
                <w10:wrap type="square" side="right"/>
              </v:rect>
            </w:pict>
          </mc:Fallback>
        </mc:AlternateConten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end of June 2023, the dollarization of structural loans fell -60bps QoQ (35.0% in June 23). This evolution was driven by: i) loan growth in LC across Retail Banking segments, with the exception of consumer loans, where loans are typically disbursed in soles; and ii) by a variation in the exchange rate (-3.6% QoQ), which impacted Wholesale Banking in particular, where loans are mainly disbursed in US Dollars.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the dollarization of the structural portfolio dropped 81bps due to an uptick in structural loans in LC (+6.8%) which exceeded the FC growth (+6.2%). Expansion in the LC volume this quarter was buoyed by growth in loans across Retail Banking segments while the uptick in the FC volume was driven by Wholesale Banking, where a larger proportion of loans is concentrated in US Dollars.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Evolution of the Dollarization Level of Structural Loans (</w:t>
      </w:r>
      <w:r>
        <w:rPr>
          <w:rFonts w:ascii="Arial;Helvetica;Sans-Serif" w:hAnsi="Arial;Helvetica;Sans-Serif"/>
          <w:b/>
          <w:i w:val="false"/>
          <w:caps w:val="false"/>
          <w:smallCaps w:val="false"/>
          <w:color w:val="000000"/>
          <w:sz w:val="20"/>
        </w:rPr>
        <w:t>in Average Daily Balances)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2162175"/>
            <wp:effectExtent l="0" t="0" r="0" b="0"/>
            <wp:docPr id="8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 descr=""/>
                    <pic:cNvPicPr>
                      <a:picLocks noChangeAspect="1" noChangeArrowheads="1"/>
                    </pic:cNvPicPr>
                  </pic:nvPicPr>
                  <pic:blipFill>
                    <a:blip r:embed="rId57"/>
                    <a:stretch>
                      <a:fillRect/>
                    </a:stretch>
                  </pic:blipFill>
                  <pic:spPr bwMode="auto">
                    <a:xfrm>
                      <a:off x="0" y="0"/>
                      <a:ext cx="6667500" cy="2162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The FC share of Credicorp’s loan portfolio is calculated including BCP Bolivia and ASB Bank Corp., however the chart shows only the loan books of BCP Stand-alone and Mibanco.</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The year with the historic maximum level of dollarization for Wholesale Banking was 2012, for Mibanco was 2016, for Credit Card was in 2021 and for the rest of segments was 2009.</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For dollarization figures in quarter-end period, please refer to “12. Annexes – 12.2 Loan Portfolio Quality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Loan Evolution in Quarter-end Balances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Structural loans measured in quarter-end balances dropped 0.5% QoQ, driven by the same factors as those seen in the analysis of average daily balances. If we include the contraction of GP loans in the analysis, total loans fell 1.6% QoQ.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YoY Terms, structural loans reported a 1.6% increase in quarter-end balances, propelled by the same factors as those seen in the ADB dynamic. If we include the drop in GP loans in the analysis, total loans also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8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4" descr=""/>
                          <pic:cNvPicPr>
                            <a:picLocks noChangeAspect="1" noChangeArrowheads="1"/>
                          </pic:cNvPicPr>
                        </pic:nvPicPr>
                        <pic:blipFill>
                          <a:blip r:embed="rId5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2060" w:type="dxa"/>
        <w:jc w:val="left"/>
        <w:tblInd w:w="0" w:type="dxa"/>
        <w:shd w:fill="E93CAC" w:val="clear"/>
        <w:tblLayout w:type="fixed"/>
        <w:tblCellMar>
          <w:top w:w="0" w:type="dxa"/>
          <w:left w:w="0" w:type="dxa"/>
          <w:bottom w:w="0" w:type="dxa"/>
          <w:right w:w="0" w:type="dxa"/>
        </w:tblCellMar>
      </w:tblPr>
      <w:tblGrid>
        <w:gridCol w:w="2060"/>
      </w:tblGrid>
      <w:tr>
        <w:trPr/>
        <w:tc>
          <w:tcPr>
            <w:tcW w:w="206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01. Loan Portfolio</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 Portfolio Quality</w:t>
      </w:r>
    </w:p>
    <w:p>
      <w:pPr>
        <w:pStyle w:val="TextBody"/>
        <w:bidi w:val="0"/>
        <w:spacing w:before="0" w:after="0"/>
        <w:jc w:val="both"/>
        <w:rPr>
          <w:caps w:val="false"/>
          <w:smallCaps w:val="false"/>
        </w:rPr>
      </w:pPr>
      <w:r>
        <w:rPr>
          <w:caps w:val="false"/>
          <w:smallCaps w:val="false"/>
        </w:rPr>
        <w:t> </w:t>
      </w:r>
    </w:p>
    <w:p>
      <w:pPr>
        <w:pStyle w:val="TextBody"/>
        <w:bidi w:val="0"/>
        <w:spacing w:lineRule="auto" w:line="240" w:before="0" w:after="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0000"/>
          <w:sz w:val="20"/>
        </w:rPr>
        <w:t>Quality of the Structural Portfolio (in Quarter-end balances)</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(1)(2)</w:t>
      </w:r>
    </w:p>
    <w:p>
      <w:pPr>
        <w:pStyle w:val="TextBody"/>
        <w:bidi w:val="0"/>
        <w:spacing w:before="0" w:after="0"/>
        <w:jc w:val="center"/>
        <w:rPr>
          <w:caps w:val="false"/>
          <w:smallCaps w:val="false"/>
        </w:rPr>
      </w:pPr>
      <w:r>
        <w:rPr>
          <w:caps w:val="false"/>
          <w:smallCaps w:val="false"/>
        </w:rPr>
        <w:t> </w:t>
      </w:r>
    </w:p>
    <w:tbl>
      <w:tblPr>
        <w:tblW w:w="9210" w:type="dxa"/>
        <w:jc w:val="left"/>
        <w:tblInd w:w="-10" w:type="dxa"/>
        <w:tblLayout w:type="fixed"/>
        <w:tblCellMar>
          <w:top w:w="28" w:type="dxa"/>
          <w:left w:w="40" w:type="dxa"/>
          <w:bottom w:w="0" w:type="dxa"/>
          <w:right w:w="0" w:type="dxa"/>
        </w:tblCellMar>
      </w:tblPr>
      <w:tblGrid>
        <w:gridCol w:w="4580"/>
        <w:gridCol w:w="1040"/>
        <w:gridCol w:w="1085"/>
        <w:gridCol w:w="1085"/>
        <w:gridCol w:w="665"/>
        <w:gridCol w:w="755"/>
      </w:tblGrid>
      <w:tr>
        <w:trPr/>
        <w:tc>
          <w:tcPr>
            <w:tcW w:w="4580" w:type="dxa"/>
            <w:tcBorders>
              <w:top w:val="single" w:sz="8" w:space="0" w:color="000000"/>
              <w:left w:val="single" w:sz="8" w:space="0" w:color="000000"/>
            </w:tcBorders>
            <w:shd w:fill="2AD2C9" w:val="clear"/>
            <w:vAlign w:val="center"/>
          </w:tcPr>
          <w:p>
            <w:pPr>
              <w:pStyle w:val="TableContents"/>
              <w:bidi w:val="0"/>
              <w:spacing w:before="0" w:after="283"/>
              <w:jc w:val="left"/>
              <w:rPr>
                <w:color w:val="FFFFFF"/>
              </w:rPr>
            </w:pPr>
            <w:r>
              <w:rPr>
                <w:color w:val="FFFFFF"/>
              </w:rPr>
              <w:t> </w:t>
            </w:r>
          </w:p>
        </w:tc>
        <w:tc>
          <w:tcPr>
            <w:tcW w:w="3210" w:type="dxa"/>
            <w:gridSpan w:val="3"/>
            <w:vMerge w:val="restart"/>
            <w:tcBorders>
              <w:top w:val="single" w:sz="8" w:space="0" w:color="000000"/>
              <w:left w:val="single" w:sz="8" w:space="0" w:color="000000"/>
            </w:tcBorders>
            <w:shd w:fill="2AD2C9"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of</w:t>
            </w:r>
          </w:p>
        </w:tc>
        <w:tc>
          <w:tcPr>
            <w:tcW w:w="1420" w:type="dxa"/>
            <w:gridSpan w:val="2"/>
            <w:vMerge w:val="restart"/>
            <w:tcBorders>
              <w:top w:val="single" w:sz="8" w:space="0" w:color="000000"/>
              <w:left w:val="single" w:sz="8" w:space="0" w:color="000000"/>
              <w:right w:val="single" w:sz="8" w:space="0" w:color="000000"/>
            </w:tcBorders>
            <w:shd w:fill="2AD2C9" w:val="clear"/>
            <w:tcMar>
              <w:right w:w="4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r>
      <w:tr>
        <w:trPr/>
        <w:tc>
          <w:tcPr>
            <w:tcW w:w="4580" w:type="dxa"/>
            <w:tcBorders>
              <w:left w:val="single" w:sz="8" w:space="0" w:color="000000"/>
            </w:tcBorders>
            <w:shd w:fill="2AD2C9" w:val="clear"/>
            <w:tcMar>
              <w:top w:w="0"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Structural Portfolio quality and Delinquency ratios</w:t>
            </w:r>
          </w:p>
        </w:tc>
        <w:tc>
          <w:tcPr>
            <w:tcW w:w="3210" w:type="dxa"/>
            <w:gridSpan w:val="3"/>
            <w:vMerge w:val="continue"/>
            <w:tcBorders>
              <w:top w:val="single" w:sz="8" w:space="0" w:color="000000"/>
              <w:left w:val="single" w:sz="8" w:space="0" w:color="000000"/>
            </w:tcBorders>
            <w:shd w:fill="2AD2C9" w:val="clear"/>
            <w:vAlign w:val="center"/>
          </w:tcPr>
          <w:p>
            <w:pPr>
              <w:pStyle w:val="Normal"/>
              <w:bidi w:val="0"/>
              <w:jc w:val="left"/>
              <w:rPr/>
            </w:pPr>
            <w:r>
              <w:rPr/>
            </w:r>
          </w:p>
        </w:tc>
        <w:tc>
          <w:tcPr>
            <w:tcW w:w="1420" w:type="dxa"/>
            <w:gridSpan w:val="2"/>
            <w:vMerge w:val="continue"/>
            <w:tcBorders>
              <w:top w:val="single" w:sz="8" w:space="0" w:color="000000"/>
              <w:left w:val="single" w:sz="8" w:space="0" w:color="000000"/>
              <w:right w:val="single" w:sz="8" w:space="0" w:color="000000"/>
            </w:tcBorders>
            <w:shd w:fill="2AD2C9" w:val="clear"/>
            <w:tcMar>
              <w:right w:w="40" w:type="dxa"/>
            </w:tcMar>
            <w:vAlign w:val="center"/>
          </w:tcPr>
          <w:p>
            <w:pPr>
              <w:pStyle w:val="Normal"/>
              <w:bidi w:val="0"/>
              <w:jc w:val="left"/>
              <w:rPr/>
            </w:pPr>
            <w:r>
              <w:rPr/>
            </w:r>
          </w:p>
        </w:tc>
      </w:tr>
      <w:tr>
        <w:trPr/>
        <w:tc>
          <w:tcPr>
            <w:tcW w:w="458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S/000</w:t>
            </w:r>
          </w:p>
        </w:tc>
        <w:tc>
          <w:tcPr>
            <w:tcW w:w="104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22</w:t>
            </w:r>
          </w:p>
        </w:tc>
        <w:tc>
          <w:tcPr>
            <w:tcW w:w="108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 23</w:t>
            </w:r>
          </w:p>
        </w:tc>
        <w:tc>
          <w:tcPr>
            <w:tcW w:w="108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23</w:t>
            </w:r>
          </w:p>
        </w:tc>
        <w:tc>
          <w:tcPr>
            <w:tcW w:w="66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QoQ</w:t>
            </w:r>
          </w:p>
        </w:tc>
        <w:tc>
          <w:tcPr>
            <w:tcW w:w="755" w:type="dxa"/>
            <w:tcBorders>
              <w:bottom w:val="single" w:sz="8" w:space="0" w:color="000000"/>
              <w:right w:val="single" w:sz="8" w:space="0" w:color="000000"/>
            </w:tcBorders>
            <w:shd w:fill="2AD2C9" w:val="clear"/>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YoY</w:t>
            </w:r>
          </w:p>
        </w:tc>
      </w:tr>
      <w:tr>
        <w:trPr/>
        <w:tc>
          <w:tcPr>
            <w:tcW w:w="458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Structural loans (Quarter-end balance)</w:t>
            </w:r>
          </w:p>
        </w:tc>
        <w:tc>
          <w:tcPr>
            <w:tcW w:w="10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135,722,381</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138,615,801</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137,905,144</w:t>
            </w:r>
          </w:p>
        </w:tc>
        <w:tc>
          <w:tcPr>
            <w:tcW w:w="66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-0.5%</w:t>
            </w:r>
          </w:p>
        </w:tc>
        <w:tc>
          <w:tcPr>
            <w:tcW w:w="755" w:type="dxa"/>
            <w:tcBorders>
              <w:bottom w:val="single" w:sz="8" w:space="0" w:color="000000"/>
              <w:right w:val="single" w:sz="8" w:space="0" w:color="000000"/>
            </w:tcBorders>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1.6%</w:t>
            </w:r>
          </w:p>
        </w:tc>
      </w:tr>
      <w:tr>
        <w:trPr/>
        <w:tc>
          <w:tcPr>
            <w:tcW w:w="458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Structural Allowance for loan losses</w:t>
            </w:r>
          </w:p>
        </w:tc>
        <w:tc>
          <w:tcPr>
            <w:tcW w:w="10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8,112,356</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7,779,501</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7,824,302</w:t>
            </w:r>
          </w:p>
        </w:tc>
        <w:tc>
          <w:tcPr>
            <w:tcW w:w="66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0.6%</w:t>
            </w:r>
          </w:p>
        </w:tc>
        <w:tc>
          <w:tcPr>
            <w:tcW w:w="755" w:type="dxa"/>
            <w:tcBorders>
              <w:bottom w:val="single" w:sz="8" w:space="0" w:color="000000"/>
              <w:right w:val="single" w:sz="8" w:space="0" w:color="000000"/>
            </w:tcBorders>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-3.6%</w:t>
            </w:r>
          </w:p>
        </w:tc>
      </w:tr>
      <w:tr>
        <w:trPr/>
        <w:tc>
          <w:tcPr>
            <w:tcW w:w="458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Structural Write-offs </w:t>
            </w:r>
          </w:p>
        </w:tc>
        <w:tc>
          <w:tcPr>
            <w:tcW w:w="10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413,501</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16"/>
              </w:rPr>
              <w:t>677,148</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16"/>
              </w:rPr>
              <w:t>682,154</w:t>
            </w:r>
          </w:p>
        </w:tc>
        <w:tc>
          <w:tcPr>
            <w:tcW w:w="66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0.7%</w:t>
            </w:r>
          </w:p>
        </w:tc>
        <w:tc>
          <w:tcPr>
            <w:tcW w:w="755" w:type="dxa"/>
            <w:tcBorders>
              <w:bottom w:val="single" w:sz="8" w:space="0" w:color="000000"/>
              <w:right w:val="single" w:sz="8" w:space="0" w:color="000000"/>
            </w:tcBorders>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65.0%</w:t>
            </w:r>
          </w:p>
        </w:tc>
      </w:tr>
      <w:tr>
        <w:trPr/>
        <w:tc>
          <w:tcPr>
            <w:tcW w:w="458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Structural IOLs</w:t>
            </w:r>
          </w:p>
        </w:tc>
        <w:tc>
          <w:tcPr>
            <w:tcW w:w="1040" w:type="dxa"/>
            <w:tcBorders>
              <w:left w:val="single" w:sz="8" w:space="0" w:color="000000"/>
            </w:tcBorders>
            <w:tcMar>
              <w:top w:w="0" w:type="dxa"/>
            </w:tcMar>
            <w:vAlign w:val="center"/>
          </w:tcPr>
          <w:p>
            <w:pPr>
              <w:pStyle w:val="TableContents"/>
              <w:bidi w:val="0"/>
              <w:spacing w:before="0" w:after="283"/>
              <w:jc w:val="right"/>
              <w:rPr/>
            </w:pPr>
            <w:r>
              <w:rPr/>
              <w:t>     </w:t>
            </w:r>
            <w:r>
              <w:rPr>
                <w:rFonts w:ascii="Arial;Helvetica;Sans-Serif" w:hAnsi="Arial;Helvetica;Sans-Serif"/>
                <w:sz w:val="16"/>
              </w:rPr>
              <w:t>5,163,525</w:t>
            </w:r>
          </w:p>
        </w:tc>
        <w:tc>
          <w:tcPr>
            <w:tcW w:w="1085"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4,952,108</w:t>
            </w:r>
          </w:p>
        </w:tc>
        <w:tc>
          <w:tcPr>
            <w:tcW w:w="1085"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5,182,725</w:t>
            </w:r>
          </w:p>
        </w:tc>
        <w:tc>
          <w:tcPr>
            <w:tcW w:w="665" w:type="dxa"/>
            <w:tcBorders>
              <w:left w:val="single" w:sz="8" w:space="0" w:color="000000"/>
            </w:tcBorders>
            <w:tcMar>
              <w:top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4.7%</w:t>
            </w:r>
          </w:p>
        </w:tc>
        <w:tc>
          <w:tcPr>
            <w:tcW w:w="755" w:type="dxa"/>
            <w:tcBorders>
              <w:right w:val="single" w:sz="8" w:space="0" w:color="000000"/>
            </w:tcBorders>
            <w:tcMar>
              <w:top w:w="0" w:type="dxa"/>
              <w:left w:w="0" w:type="dxa"/>
              <w:right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0.4%</w:t>
            </w:r>
          </w:p>
        </w:tc>
      </w:tr>
      <w:tr>
        <w:trPr/>
        <w:tc>
          <w:tcPr>
            <w:tcW w:w="458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Structural Refinanced loans</w:t>
            </w:r>
          </w:p>
        </w:tc>
        <w:tc>
          <w:tcPr>
            <w:tcW w:w="1040" w:type="dxa"/>
            <w:tcBorders>
              <w:left w:val="single" w:sz="8" w:space="0" w:color="000000"/>
            </w:tcBorders>
            <w:tcMar>
              <w:top w:w="0" w:type="dxa"/>
            </w:tcMar>
            <w:vAlign w:val="center"/>
          </w:tcPr>
          <w:p>
            <w:pPr>
              <w:pStyle w:val="TableContents"/>
              <w:bidi w:val="0"/>
              <w:spacing w:before="0" w:after="283"/>
              <w:jc w:val="right"/>
              <w:rPr/>
            </w:pPr>
            <w:r>
              <w:rPr/>
              <w:t>     </w:t>
            </w:r>
            <w:r>
              <w:rPr>
                <w:rFonts w:ascii="Arial;Helvetica;Sans-Serif" w:hAnsi="Arial;Helvetica;Sans-Serif"/>
                <w:sz w:val="16"/>
              </w:rPr>
              <w:t>1,686,186</w:t>
            </w:r>
          </w:p>
        </w:tc>
        <w:tc>
          <w:tcPr>
            <w:tcW w:w="1085"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2,121,068</w:t>
            </w:r>
          </w:p>
        </w:tc>
        <w:tc>
          <w:tcPr>
            <w:tcW w:w="1085" w:type="dxa"/>
            <w:tcBorders/>
            <w:tcMar>
              <w:top w:w="0" w:type="dxa"/>
              <w:left w:w="0" w:type="dxa"/>
            </w:tcMar>
            <w:vAlign w:val="center"/>
          </w:tcPr>
          <w:p>
            <w:pPr>
              <w:pStyle w:val="TableContents"/>
              <w:bidi w:val="0"/>
              <w:spacing w:before="0" w:after="283"/>
              <w:jc w:val="right"/>
              <w:rPr/>
            </w:pPr>
            <w:r>
              <w:rPr/>
              <w:t>     </w:t>
            </w:r>
            <w:r>
              <w:rPr>
                <w:rFonts w:ascii="Arial;Helvetica;Sans-Serif" w:hAnsi="Arial;Helvetica;Sans-Serif"/>
                <w:sz w:val="16"/>
              </w:rPr>
              <w:t>2,084,124</w:t>
            </w:r>
          </w:p>
        </w:tc>
        <w:tc>
          <w:tcPr>
            <w:tcW w:w="665" w:type="dxa"/>
            <w:tcBorders>
              <w:left w:val="single" w:sz="8" w:space="0" w:color="000000"/>
            </w:tcBorders>
            <w:tcMar>
              <w:top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-1.7%</w:t>
            </w:r>
          </w:p>
        </w:tc>
        <w:tc>
          <w:tcPr>
            <w:tcW w:w="755" w:type="dxa"/>
            <w:tcBorders>
              <w:right w:val="single" w:sz="8" w:space="0" w:color="000000"/>
            </w:tcBorders>
            <w:tcMar>
              <w:top w:w="0" w:type="dxa"/>
              <w:left w:w="0" w:type="dxa"/>
              <w:right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23.6%</w:t>
            </w:r>
          </w:p>
        </w:tc>
      </w:tr>
      <w:tr>
        <w:trPr/>
        <w:tc>
          <w:tcPr>
            <w:tcW w:w="458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Structural NPLs</w:t>
            </w:r>
          </w:p>
        </w:tc>
        <w:tc>
          <w:tcPr>
            <w:tcW w:w="10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pPr>
            <w:r>
              <w:rPr/>
              <w:t>     </w:t>
            </w:r>
            <w:r>
              <w:rPr>
                <w:rFonts w:ascii="Arial;Helvetica;Sans-Serif" w:hAnsi="Arial;Helvetica;Sans-Serif"/>
                <w:sz w:val="16"/>
              </w:rPr>
              <w:t>6,849,711</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16"/>
              </w:rPr>
              <w:t>7,073,176</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rFonts w:ascii="Arial;Helvetica;Sans-Serif" w:hAnsi="Arial;Helvetica;Sans-Serif"/>
                <w:sz w:val="16"/>
              </w:rPr>
              <w:t>7,266,849</w:t>
            </w:r>
          </w:p>
        </w:tc>
        <w:tc>
          <w:tcPr>
            <w:tcW w:w="66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w:t>
            </w:r>
          </w:p>
        </w:tc>
        <w:tc>
          <w:tcPr>
            <w:tcW w:w="755" w:type="dxa"/>
            <w:tcBorders>
              <w:bottom w:val="single" w:sz="8" w:space="0" w:color="000000"/>
              <w:right w:val="single" w:sz="8" w:space="0" w:color="000000"/>
            </w:tcBorders>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6.1%</w:t>
            </w:r>
          </w:p>
        </w:tc>
      </w:tr>
      <w:tr>
        <w:trPr/>
        <w:tc>
          <w:tcPr>
            <w:tcW w:w="4580"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Structural IOL ratio</w:t>
            </w:r>
          </w:p>
        </w:tc>
        <w:tc>
          <w:tcPr>
            <w:tcW w:w="104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3.80%</w:t>
            </w:r>
          </w:p>
        </w:tc>
        <w:tc>
          <w:tcPr>
            <w:tcW w:w="1085"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3.57%</w:t>
            </w:r>
          </w:p>
        </w:tc>
        <w:tc>
          <w:tcPr>
            <w:tcW w:w="1085"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3.76%</w:t>
            </w:r>
          </w:p>
        </w:tc>
        <w:tc>
          <w:tcPr>
            <w:tcW w:w="665" w:type="dxa"/>
            <w:tcBorders>
              <w:left w:val="single" w:sz="8" w:space="0" w:color="000000"/>
            </w:tcBorders>
            <w:tcMar>
              <w:top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19 bps</w:t>
            </w:r>
          </w:p>
        </w:tc>
        <w:tc>
          <w:tcPr>
            <w:tcW w:w="755" w:type="dxa"/>
            <w:tcBorders>
              <w:right w:val="single" w:sz="8" w:space="0" w:color="000000"/>
            </w:tcBorders>
            <w:tcMar>
              <w:top w:w="0" w:type="dxa"/>
              <w:left w:w="0" w:type="dxa"/>
              <w:right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 bps</w:t>
            </w:r>
          </w:p>
        </w:tc>
      </w:tr>
      <w:tr>
        <w:trPr/>
        <w:tc>
          <w:tcPr>
            <w:tcW w:w="458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Structural NPL ratio</w:t>
            </w:r>
          </w:p>
        </w:tc>
        <w:tc>
          <w:tcPr>
            <w:tcW w:w="104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5.05%</w:t>
            </w:r>
          </w:p>
        </w:tc>
        <w:tc>
          <w:tcPr>
            <w:tcW w:w="1085"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5.10%</w:t>
            </w:r>
          </w:p>
        </w:tc>
        <w:tc>
          <w:tcPr>
            <w:tcW w:w="1085"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5.27%</w:t>
            </w:r>
          </w:p>
        </w:tc>
        <w:tc>
          <w:tcPr>
            <w:tcW w:w="665" w:type="dxa"/>
            <w:tcBorders>
              <w:left w:val="single" w:sz="8" w:space="0" w:color="000000"/>
            </w:tcBorders>
            <w:tcMar>
              <w:top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17 bps</w:t>
            </w:r>
          </w:p>
        </w:tc>
        <w:tc>
          <w:tcPr>
            <w:tcW w:w="755" w:type="dxa"/>
            <w:tcBorders>
              <w:right w:val="single" w:sz="8" w:space="0" w:color="000000"/>
            </w:tcBorders>
            <w:tcMar>
              <w:top w:w="0" w:type="dxa"/>
              <w:left w:w="0" w:type="dxa"/>
              <w:right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 bps</w:t>
            </w:r>
          </w:p>
        </w:tc>
      </w:tr>
      <w:tr>
        <w:trPr/>
        <w:tc>
          <w:tcPr>
            <w:tcW w:w="458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Structural Allowance for loan losses over Structural loans</w:t>
            </w:r>
          </w:p>
        </w:tc>
        <w:tc>
          <w:tcPr>
            <w:tcW w:w="104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6.0%</w:t>
            </w:r>
          </w:p>
        </w:tc>
        <w:tc>
          <w:tcPr>
            <w:tcW w:w="1085"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5.6%</w:t>
            </w:r>
          </w:p>
        </w:tc>
        <w:tc>
          <w:tcPr>
            <w:tcW w:w="1085" w:type="dxa"/>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5.7%</w:t>
            </w:r>
          </w:p>
        </w:tc>
        <w:tc>
          <w:tcPr>
            <w:tcW w:w="665" w:type="dxa"/>
            <w:tcBorders>
              <w:left w:val="single" w:sz="8" w:space="0" w:color="000000"/>
            </w:tcBorders>
            <w:tcMar>
              <w:top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 bps</w:t>
            </w:r>
          </w:p>
        </w:tc>
        <w:tc>
          <w:tcPr>
            <w:tcW w:w="755" w:type="dxa"/>
            <w:tcBorders>
              <w:right w:val="single" w:sz="8" w:space="0" w:color="000000"/>
            </w:tcBorders>
            <w:tcMar>
              <w:top w:w="0" w:type="dxa"/>
              <w:left w:w="0" w:type="dxa"/>
              <w:right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-31 bps</w:t>
            </w:r>
          </w:p>
        </w:tc>
      </w:tr>
      <w:tr>
        <w:trPr/>
        <w:tc>
          <w:tcPr>
            <w:tcW w:w="458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Structural Coverage ratio of NPLs </w:t>
            </w:r>
          </w:p>
        </w:tc>
        <w:tc>
          <w:tcPr>
            <w:tcW w:w="10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118.4%</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110.0%</w:t>
            </w:r>
          </w:p>
        </w:tc>
        <w:tc>
          <w:tcPr>
            <w:tcW w:w="108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107.7%</w:t>
            </w:r>
          </w:p>
        </w:tc>
        <w:tc>
          <w:tcPr>
            <w:tcW w:w="66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-232 bps</w:t>
            </w:r>
          </w:p>
        </w:tc>
        <w:tc>
          <w:tcPr>
            <w:tcW w:w="755" w:type="dxa"/>
            <w:tcBorders>
              <w:bottom w:val="single" w:sz="8" w:space="0" w:color="000000"/>
              <w:right w:val="single" w:sz="8" w:space="0" w:color="000000"/>
            </w:tcBorders>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-1076 bps</w:t>
            </w:r>
          </w:p>
        </w:tc>
      </w:tr>
    </w:tbl>
    <w:p>
      <w:pPr>
        <w:pStyle w:val="TextBody"/>
        <w:bidi w:val="0"/>
        <w:spacing w:before="0" w:after="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The Structural Portfolio excludes Government Programs (GP) effects.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Over recent quarters, client payment capacities in </w:t>
      </w:r>
      <w:r>
        <w:rPr>
          <w:rFonts w:ascii="Arial;Helvetica;Sans-Serif" w:hAnsi="Arial;Helvetica;Sans-Serif"/>
          <w:b/>
          <w:i w:val="false"/>
          <w:caps w:val="false"/>
          <w:smallCaps w:val="false"/>
          <w:sz w:val="20"/>
        </w:rPr>
        <w:t>Retail Banking</w:t>
      </w:r>
      <w:r>
        <w:rPr>
          <w:rFonts w:ascii="Arial;Helvetica;Sans-Serif" w:hAnsi="Arial;Helvetica;Sans-Serif"/>
          <w:b w:val="false"/>
          <w:i w:val="false"/>
          <w:caps w:val="false"/>
          <w:smallCaps w:val="false"/>
          <w:sz w:val="20"/>
        </w:rPr>
        <w:t xml:space="preserve"> and at </w:t>
      </w:r>
      <w:r>
        <w:rPr>
          <w:rFonts w:ascii="Arial;Helvetica;Sans-Serif" w:hAnsi="Arial;Helvetica;Sans-Serif"/>
          <w:b/>
          <w:i w:val="false"/>
          <w:caps w:val="false"/>
          <w:smallCaps w:val="false"/>
          <w:sz w:val="20"/>
        </w:rPr>
        <w:t>Mibanco</w:t>
      </w:r>
      <w:r>
        <w:rPr>
          <w:rFonts w:ascii="Arial;Helvetica;Sans-Serif" w:hAnsi="Arial;Helvetica;Sans-Serif"/>
          <w:b w:val="false"/>
          <w:i w:val="false"/>
          <w:caps w:val="false"/>
          <w:smallCaps w:val="false"/>
          <w:sz w:val="20"/>
        </w:rPr>
        <w:t xml:space="preserve"> clients have been affected by a challenging macroeconomic environment, which reflects a contraction in domestic demand, high inflation and high interest rates. In this context, the structural loan volume rose 2.9% and 6.3% respectively QoQ and YoY. </w:t>
      </w:r>
      <w:r>
        <w:rPr>
          <w:rFonts w:ascii="Arial;Helvetica;Sans-Serif" w:hAnsi="Arial;Helvetica;Sans-Serif"/>
          <w:b/>
          <w:i w:val="false"/>
          <w:caps w:val="false"/>
          <w:smallCaps w:val="false"/>
          <w:sz w:val="20"/>
        </w:rPr>
        <w:t>QoQ</w:t>
      </w:r>
      <w:r>
        <w:rPr>
          <w:rFonts w:ascii="Arial;Helvetica;Sans-Serif" w:hAnsi="Arial;Helvetica;Sans-Serif"/>
          <w:b w:val="false"/>
          <w:i w:val="false"/>
          <w:caps w:val="false"/>
          <w:smallCaps w:val="false"/>
          <w:sz w:val="20"/>
        </w:rPr>
        <w:t xml:space="preserve">, growth was driven by an increase in NPLs at </w:t>
      </w:r>
      <w:r>
        <w:rPr>
          <w:rFonts w:ascii="Arial;Helvetica;Sans-Serif" w:hAnsi="Arial;Helvetica;Sans-Serif"/>
          <w:b/>
          <w:i w:val="false"/>
          <w:caps w:val="false"/>
          <w:smallCaps w:val="false"/>
          <w:sz w:val="20"/>
        </w:rPr>
        <w:t>Mibanco</w:t>
      </w:r>
      <w:r>
        <w:rPr>
          <w:rFonts w:ascii="Arial;Helvetica;Sans-Serif" w:hAnsi="Arial;Helvetica;Sans-Serif"/>
          <w:b w:val="false"/>
          <w:i w:val="false"/>
          <w:caps w:val="false"/>
          <w:smallCaps w:val="false"/>
          <w:sz w:val="20"/>
        </w:rPr>
        <w:t xml:space="preserve"> and in </w:t>
      </w:r>
      <w:r>
        <w:rPr>
          <w:rFonts w:ascii="Arial;Helvetica;Sans-Serif" w:hAnsi="Arial;Helvetica;Sans-Serif"/>
          <w:b/>
          <w:i w:val="false"/>
          <w:caps w:val="false"/>
          <w:smallCaps w:val="false"/>
          <w:sz w:val="20"/>
        </w:rPr>
        <w:t>Retail Banking</w:t>
      </w:r>
      <w:r>
        <w:rPr>
          <w:rFonts w:ascii="Arial;Helvetica;Sans-Serif" w:hAnsi="Arial;Helvetica;Sans-Serif"/>
          <w:b w:val="false"/>
          <w:i w:val="false"/>
          <w:caps w:val="false"/>
          <w:smallCaps w:val="false"/>
          <w:sz w:val="20"/>
        </w:rPr>
        <w:t xml:space="preserve">. This uptick was partially offset by the sale of delinquent </w:t>
      </w:r>
      <w:r>
        <w:rPr>
          <w:rFonts w:ascii="Arial;Helvetica;Sans-Serif" w:hAnsi="Arial;Helvetica;Sans-Serif"/>
          <w:b/>
          <w:i w:val="false"/>
          <w:caps w:val="false"/>
          <w:smallCaps w:val="false"/>
          <w:sz w:val="20"/>
        </w:rPr>
        <w:t>Wholesale Banking</w:t>
      </w:r>
      <w:r>
        <w:rPr>
          <w:rFonts w:ascii="Arial;Helvetica;Sans-Serif" w:hAnsi="Arial;Helvetica;Sans-Serif"/>
          <w:b w:val="false"/>
          <w:i w:val="false"/>
          <w:caps w:val="false"/>
          <w:smallCaps w:val="false"/>
          <w:sz w:val="20"/>
        </w:rPr>
        <w:t xml:space="preserve"> portfolio in the energy sector in 2Q23. </w:t>
      </w: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xml:space="preserve">, the dynamics reflect growth in the refinanced portfolio in </w:t>
      </w:r>
      <w:r>
        <w:rPr>
          <w:rFonts w:ascii="Arial;Helvetica;Sans-Serif" w:hAnsi="Arial;Helvetica;Sans-Serif"/>
          <w:b/>
          <w:i w:val="false"/>
          <w:caps w:val="false"/>
          <w:smallCaps w:val="false"/>
          <w:sz w:val="20"/>
        </w:rPr>
        <w:t>Wholesale Banking</w:t>
      </w:r>
      <w:r>
        <w:rPr>
          <w:rFonts w:ascii="Arial;Helvetica;Sans-Serif" w:hAnsi="Arial;Helvetica;Sans-Serif"/>
          <w:b w:val="false"/>
          <w:i w:val="false"/>
          <w:caps w:val="false"/>
          <w:smallCaps w:val="false"/>
          <w:sz w:val="20"/>
        </w:rPr>
        <w:t xml:space="preserve">, which began in 2022 and continued until 1Q23, and to an uptick in IOL loans in </w:t>
      </w:r>
      <w:r>
        <w:rPr>
          <w:rFonts w:ascii="Arial;Helvetica;Sans-Serif" w:hAnsi="Arial;Helvetica;Sans-Serif"/>
          <w:b/>
          <w:i w:val="false"/>
          <w:caps w:val="false"/>
          <w:smallCaps w:val="false"/>
          <w:sz w:val="20"/>
        </w:rPr>
        <w:t>Individuals</w:t>
      </w:r>
      <w:r>
        <w:rPr>
          <w:rFonts w:ascii="Arial;Helvetica;Sans-Serif" w:hAnsi="Arial;Helvetica;Sans-Serif"/>
          <w:b w:val="false"/>
          <w:i w:val="false"/>
          <w:caps w:val="false"/>
          <w:smallCaps w:val="false"/>
          <w:sz w:val="20"/>
        </w:rPr>
        <w:t xml:space="preserve"> and </w:t>
      </w:r>
      <w:r>
        <w:rPr>
          <w:rFonts w:ascii="Arial;Helvetica;Sans-Serif" w:hAnsi="Arial;Helvetica;Sans-Serif"/>
          <w:b/>
          <w:i w:val="false"/>
          <w:caps w:val="false"/>
          <w:smallCaps w:val="false"/>
          <w:sz w:val="20"/>
        </w:rPr>
        <w:t>Mibanco</w:t>
      </w:r>
      <w:r>
        <w:rPr>
          <w:rFonts w:ascii="Arial;Helvetica;Sans-Serif" w:hAnsi="Arial;Helvetica;Sans-Serif"/>
          <w:b w:val="false"/>
          <w:i w:val="false"/>
          <w:caps w:val="false"/>
          <w:smallCaps w:val="false"/>
          <w:sz w:val="20"/>
        </w:rPr>
        <w:t xml:space="preserve">. Noteworthy, Wholesale Banking’s provisions models foresaw the potential deterioration and steps were taken to fully provision the portfolio in advance. This growth was partially offset by the sale of a </w:t>
      </w:r>
      <w:r>
        <w:rPr>
          <w:rFonts w:ascii="Arial;Helvetica;Sans-Serif" w:hAnsi="Arial;Helvetica;Sans-Serif"/>
          <w:b/>
          <w:i w:val="false"/>
          <w:caps w:val="false"/>
          <w:smallCaps w:val="false"/>
          <w:sz w:val="20"/>
        </w:rPr>
        <w:t>Retail Banking</w:t>
      </w:r>
      <w:r>
        <w:rPr>
          <w:rFonts w:ascii="Arial;Helvetica;Sans-Serif" w:hAnsi="Arial;Helvetica;Sans-Serif"/>
          <w:b w:val="false"/>
          <w:i w:val="false"/>
          <w:caps w:val="false"/>
          <w:smallCaps w:val="false"/>
          <w:sz w:val="20"/>
        </w:rPr>
        <w:t xml:space="preserve"> portfolio in 1Q23.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Structural NPL Ratio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715000" cy="3362325"/>
            <wp:effectExtent l="0" t="0" r="0" b="0"/>
            <wp:docPr id="8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5" descr=""/>
                    <pic:cNvPicPr>
                      <a:picLocks noChangeAspect="1" noChangeArrowheads="1"/>
                    </pic:cNvPicPr>
                  </pic:nvPicPr>
                  <pic:blipFill>
                    <a:blip r:embed="rId59"/>
                    <a:stretch>
                      <a:fillRect/>
                    </a:stretch>
                  </pic:blipFill>
                  <pic:spPr bwMode="auto">
                    <a:xfrm>
                      <a:off x="0" y="0"/>
                      <a:ext cx="5715000" cy="3362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the </w:t>
      </w:r>
      <w:r>
        <w:rPr>
          <w:rFonts w:ascii="Arial;Helvetica;Sans-Serif" w:hAnsi="Arial;Helvetica;Sans-Serif"/>
          <w:b/>
          <w:i w:val="false"/>
          <w:caps w:val="false"/>
          <w:smallCaps w:val="false"/>
          <w:sz w:val="20"/>
        </w:rPr>
        <w:t>QoQ</w:t>
      </w:r>
      <w:r>
        <w:rPr>
          <w:rFonts w:ascii="Arial;Helvetica;Sans-Serif" w:hAnsi="Arial;Helvetica;Sans-Serif"/>
          <w:b w:val="false"/>
          <w:i w:val="false"/>
          <w:caps w:val="false"/>
          <w:smallCaps w:val="false"/>
          <w:sz w:val="20"/>
        </w:rPr>
        <w:t xml:space="preserve"> analysis, the structural NPL volume rose due to the deterioration of clients payment behavior given the challenging macroeconomic environment explained lines above. The segments that contributed to growth were:</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8"/>
        <w:gridCol w:w="9939"/>
      </w:tblGrid>
      <w:tr>
        <w:trPr/>
        <w:tc>
          <w:tcPr>
            <w:tcW w:w="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b/>
              </w:rPr>
              <w:t xml:space="preserve">Mibanco, </w:t>
            </w:r>
            <w:r>
              <w:rPr/>
              <w:t>where reprogrammed loans from 1Q23 became delinquent this quarter.</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SME-Pyme</w:t>
            </w:r>
            <w:r>
              <w:rPr/>
              <w:t>, which reported growth in IOLs that was concentrated in lower-ticket loans (&lt; than S/90 thousand) and higher-risk segments.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Consumer and Credit Cards</w:t>
            </w:r>
            <w:r>
              <w:rPr/>
              <w:t>, where IOLs were concentrated in the most vulnerable subsegments, which report high levels of leverage systemic wide and tend to experience unstable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8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6" descr=""/>
                          <pic:cNvPicPr>
                            <a:picLocks noChangeAspect="1" noChangeArrowheads="1"/>
                          </pic:cNvPicPr>
                        </pic:nvPicPr>
                        <pic:blipFill>
                          <a:blip r:embed="rId60"/>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2060" w:type="dxa"/>
        <w:jc w:val="left"/>
        <w:tblInd w:w="0" w:type="dxa"/>
        <w:shd w:fill="E93CAC" w:val="clear"/>
        <w:tblLayout w:type="fixed"/>
        <w:tblCellMar>
          <w:top w:w="0" w:type="dxa"/>
          <w:left w:w="0" w:type="dxa"/>
          <w:bottom w:w="0" w:type="dxa"/>
          <w:right w:w="0" w:type="dxa"/>
        </w:tblCellMar>
      </w:tblPr>
      <w:tblGrid>
        <w:gridCol w:w="2060"/>
      </w:tblGrid>
      <w:tr>
        <w:trPr/>
        <w:tc>
          <w:tcPr>
            <w:tcW w:w="206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01. Loan Portfolio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This growth was partially offset by the sale of an overdue loan portfolio of a </w:t>
      </w:r>
      <w:r>
        <w:rPr>
          <w:rFonts w:ascii="Arial;Helvetica;Sans-Serif" w:hAnsi="Arial;Helvetica;Sans-Serif"/>
          <w:b/>
          <w:i w:val="false"/>
          <w:caps w:val="false"/>
          <w:smallCaps w:val="false"/>
          <w:sz w:val="20"/>
        </w:rPr>
        <w:t>Wholesale Banking</w:t>
      </w:r>
      <w:r>
        <w:rPr>
          <w:rFonts w:ascii="Arial;Helvetica;Sans-Serif" w:hAnsi="Arial;Helvetica;Sans-Serif"/>
          <w:b w:val="false"/>
          <w:i w:val="false"/>
          <w:caps w:val="false"/>
          <w:smallCaps w:val="false"/>
          <w:sz w:val="20"/>
        </w:rPr>
        <w:t xml:space="preserve"> client of the energy sector.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aforementioned context, the Structural NPL ratio increased 17 bps QoQ, standing at 5.4%.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growth in the loan volume was partially offset by an uptick in NPL loans, which was driven by:</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Wholesale Banking</w:t>
            </w:r>
            <w:r>
              <w:rPr/>
              <w:t>, given that in 2022 some loans in the commercial real estate and tourism sectors─ which continued to suffer fallout from the pandemic─ were refinanced. It is important to note that these loans are covered by guarantees that exceed 100% of the debt.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Consumer and Credit Cards</w:t>
            </w:r>
            <w:r>
              <w:rPr/>
              <w:t>, where the portfolio deteriorated due to the same reasons outlined in the QoQ analysis.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242424"/>
          <w:sz w:val="20"/>
        </w:rPr>
      </w:pPr>
      <w:r>
        <w:rPr>
          <w:rFonts w:ascii="Arial;Helvetica;Sans-Serif" w:hAnsi="Arial;Helvetica;Sans-Serif"/>
          <w:b w:val="false"/>
          <w:i w:val="false"/>
          <w:caps w:val="false"/>
          <w:smallCaps w:val="false"/>
          <w:color w:val="242424"/>
          <w:sz w:val="20"/>
        </w:rPr>
        <w:t>Structural NPL ratio declined 4bps YoY driven by the loan growth outlined in the previous section and by the sale of the Retail Banking portfolio in 1Q23.</w:t>
      </w:r>
    </w:p>
    <w:p>
      <w:pPr>
        <w:pStyle w:val="TextBody"/>
        <w:bidi w:val="0"/>
        <w:spacing w:before="0" w:after="0"/>
        <w:jc w:val="both"/>
        <w:rPr>
          <w:caps w:val="false"/>
          <w:smallCaps w:val="false"/>
          <w:color w:val="242424"/>
        </w:rPr>
      </w:pPr>
      <w:r>
        <w:rPr>
          <w:caps w:val="false"/>
          <w:smallCaps w:val="false"/>
          <w:color w:val="242424"/>
        </w:rPr>
        <w:t> </w:t>
      </w:r>
    </w:p>
    <w:p>
      <w:pPr>
        <w:pStyle w:val="TextBody"/>
        <w:bidi w:val="0"/>
        <w:spacing w:before="0" w:after="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3110230" cy="2096135"/>
                <wp:effectExtent l="0" t="0" r="0" b="0"/>
                <wp:wrapSquare wrapText="right"/>
                <wp:docPr id="90" name="Frame31"/>
                <a:graphic xmlns:a="http://schemas.openxmlformats.org/drawingml/2006/main">
                  <a:graphicData uri="http://schemas.microsoft.com/office/word/2010/wordprocessingShape">
                    <wps:wsp>
                      <wps:cNvSpPr txBox="1"/>
                      <wps:spPr>
                        <a:xfrm>
                          <a:off x="0" y="0"/>
                          <a:ext cx="3110230" cy="2096135"/>
                        </a:xfrm>
                        <a:prstGeom prst="rect"/>
                        <a:solidFill>
                          <a:srgbClr val="FFFFFF"/>
                        </a:solidFill>
                      </wps:spPr>
                      <wps:txb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Structural write-offs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quarter-end balances – S/ thousands)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1628775"/>
                                  <wp:effectExtent l="0" t="0" r="0" b="0"/>
                                  <wp:docPr id="9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7" descr=""/>
                                          <pic:cNvPicPr>
                                            <a:picLocks noChangeAspect="1" noChangeArrowheads="1"/>
                                          </pic:cNvPicPr>
                                        </pic:nvPicPr>
                                        <pic:blipFill>
                                          <a:blip r:embed="rId61"/>
                                          <a:stretch>
                                            <a:fillRect/>
                                          </a:stretch>
                                        </pic:blipFill>
                                        <pic:spPr bwMode="auto">
                                          <a:xfrm>
                                            <a:off x="0" y="0"/>
                                            <a:ext cx="3333750" cy="162877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Structural write-offs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quarter-end balances – S/ thousands)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1628775"/>
                            <wp:effectExtent l="0" t="0" r="0" b="0"/>
                            <wp:docPr id="9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7" descr=""/>
                                    <pic:cNvPicPr>
                                      <a:picLocks noChangeAspect="1" noChangeArrowheads="1"/>
                                    </pic:cNvPicPr>
                                  </pic:nvPicPr>
                                  <pic:blipFill>
                                    <a:blip r:embed="rId62"/>
                                    <a:stretch>
                                      <a:fillRect/>
                                    </a:stretch>
                                  </pic:blipFill>
                                  <pic:spPr bwMode="auto">
                                    <a:xfrm>
                                      <a:off x="0" y="0"/>
                                      <a:ext cx="3333750" cy="162877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81">
                <wp:simplePos x="0" y="0"/>
                <wp:positionH relativeFrom="column">
                  <wp:align>right</wp:align>
                </wp:positionH>
                <wp:positionV relativeFrom="line">
                  <wp:posOffset>635</wp:posOffset>
                </wp:positionV>
                <wp:extent cx="3110230" cy="1869440"/>
                <wp:effectExtent l="0" t="0" r="0" b="0"/>
                <wp:wrapSquare wrapText="left"/>
                <wp:docPr id="93" name="Frame32"/>
                <a:graphic xmlns:a="http://schemas.openxmlformats.org/drawingml/2006/main">
                  <a:graphicData uri="http://schemas.microsoft.com/office/word/2010/wordprocessingShape">
                    <wps:wsp>
                      <wps:cNvSpPr txBox="1"/>
                      <wps:spPr>
                        <a:xfrm>
                          <a:off x="0" y="0"/>
                          <a:ext cx="3110230" cy="1869440"/>
                        </a:xfrm>
                        <a:prstGeom prst="rect"/>
                        <a:solidFill>
                          <a:srgbClr val="FFFFFF"/>
                        </a:solidFill>
                      </wps:spPr>
                      <wps:txbx>
                        <w:txbxContent>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QoQ</w:t>
                            </w:r>
                            <w:r>
                              <w:rPr>
                                <w:rFonts w:ascii="Arial;Helvetica;Sans-Serif" w:hAnsi="Arial;Helvetica;Sans-Serif"/>
                                <w:b w:val="false"/>
                                <w:i w:val="false"/>
                                <w:caps w:val="false"/>
                                <w:smallCaps w:val="false"/>
                                <w:color w:val="000000"/>
                                <w:sz w:val="20"/>
                              </w:rPr>
                              <w:t xml:space="preserve">, structural write-offs remained at high levels and reported an increase of 0.7% after a significant number of write-offs of higher-risk loans were made in the Consumer and Credit Card Segments.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xml:space="preserve">, growth in structural loans (+64.8%) was driven by the </w:t>
                            </w:r>
                            <w:r>
                              <w:rPr>
                                <w:rFonts w:ascii="Arial;Helvetica;Sans-Serif" w:hAnsi="Arial;Helvetica;Sans-Serif"/>
                                <w:b/>
                                <w:i w:val="false"/>
                                <w:caps w:val="false"/>
                                <w:smallCaps w:val="false"/>
                                <w:sz w:val="20"/>
                              </w:rPr>
                              <w:t>SME-Pyme</w:t>
                            </w:r>
                            <w:r>
                              <w:rPr>
                                <w:rFonts w:ascii="Arial;Helvetica;Sans-Serif" w:hAnsi="Arial;Helvetica;Sans-Serif"/>
                                <w:b w:val="false"/>
                                <w:i w:val="false"/>
                                <w:caps w:val="false"/>
                                <w:smallCaps w:val="false"/>
                                <w:sz w:val="20"/>
                              </w:rPr>
                              <w:t xml:space="preserve"> and </w:t>
                            </w:r>
                            <w:r>
                              <w:rPr>
                                <w:rFonts w:ascii="Arial;Helvetica;Sans-Serif" w:hAnsi="Arial;Helvetica;Sans-Serif"/>
                                <w:b/>
                                <w:i w:val="false"/>
                                <w:caps w:val="false"/>
                                <w:smallCaps w:val="false"/>
                                <w:sz w:val="20"/>
                              </w:rPr>
                              <w:t>Consumer</w:t>
                            </w:r>
                            <w:r>
                              <w:rPr>
                                <w:rFonts w:ascii="Arial;Helvetica;Sans-Serif" w:hAnsi="Arial;Helvetica;Sans-Serif"/>
                                <w:b w:val="false"/>
                                <w:i w:val="false"/>
                                <w:caps w:val="false"/>
                                <w:smallCaps w:val="false"/>
                                <w:sz w:val="20"/>
                              </w:rPr>
                              <w:t xml:space="preserve"> segments as well as </w:t>
                            </w:r>
                            <w:r>
                              <w:rPr>
                                <w:rFonts w:ascii="Arial;Helvetica;Sans-Serif" w:hAnsi="Arial;Helvetica;Sans-Serif"/>
                                <w:b/>
                                <w:i w:val="false"/>
                                <w:caps w:val="false"/>
                                <w:smallCaps w:val="false"/>
                                <w:sz w:val="20"/>
                              </w:rPr>
                              <w:t>Mibanco</w:t>
                            </w:r>
                            <w:r>
                              <w:rPr>
                                <w:rFonts w:ascii="Arial;Helvetica;Sans-Serif" w:hAnsi="Arial;Helvetica;Sans-Serif"/>
                                <w:b w:val="false"/>
                                <w:i w:val="false"/>
                                <w:caps w:val="false"/>
                                <w:smallCaps w:val="false"/>
                                <w:sz w:val="20"/>
                              </w:rPr>
                              <w:t>. This growth was driven by write-offs on loans in default.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7.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QoQ</w:t>
                      </w:r>
                      <w:r>
                        <w:rPr>
                          <w:rFonts w:ascii="Arial;Helvetica;Sans-Serif" w:hAnsi="Arial;Helvetica;Sans-Serif"/>
                          <w:b w:val="false"/>
                          <w:i w:val="false"/>
                          <w:caps w:val="false"/>
                          <w:smallCaps w:val="false"/>
                          <w:color w:val="000000"/>
                          <w:sz w:val="20"/>
                        </w:rPr>
                        <w:t xml:space="preserve">, structural write-offs remained at high levels and reported an increase of 0.7% after a significant number of write-offs of higher-risk loans were made in the Consumer and Credit Card Segments.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xml:space="preserve">, growth in structural loans (+64.8%) was driven by the </w:t>
                      </w:r>
                      <w:r>
                        <w:rPr>
                          <w:rFonts w:ascii="Arial;Helvetica;Sans-Serif" w:hAnsi="Arial;Helvetica;Sans-Serif"/>
                          <w:b/>
                          <w:i w:val="false"/>
                          <w:caps w:val="false"/>
                          <w:smallCaps w:val="false"/>
                          <w:sz w:val="20"/>
                        </w:rPr>
                        <w:t>SME-Pyme</w:t>
                      </w:r>
                      <w:r>
                        <w:rPr>
                          <w:rFonts w:ascii="Arial;Helvetica;Sans-Serif" w:hAnsi="Arial;Helvetica;Sans-Serif"/>
                          <w:b w:val="false"/>
                          <w:i w:val="false"/>
                          <w:caps w:val="false"/>
                          <w:smallCaps w:val="false"/>
                          <w:sz w:val="20"/>
                        </w:rPr>
                        <w:t xml:space="preserve"> and </w:t>
                      </w:r>
                      <w:r>
                        <w:rPr>
                          <w:rFonts w:ascii="Arial;Helvetica;Sans-Serif" w:hAnsi="Arial;Helvetica;Sans-Serif"/>
                          <w:b/>
                          <w:i w:val="false"/>
                          <w:caps w:val="false"/>
                          <w:smallCaps w:val="false"/>
                          <w:sz w:val="20"/>
                        </w:rPr>
                        <w:t>Consumer</w:t>
                      </w:r>
                      <w:r>
                        <w:rPr>
                          <w:rFonts w:ascii="Arial;Helvetica;Sans-Serif" w:hAnsi="Arial;Helvetica;Sans-Serif"/>
                          <w:b w:val="false"/>
                          <w:i w:val="false"/>
                          <w:caps w:val="false"/>
                          <w:smallCaps w:val="false"/>
                          <w:sz w:val="20"/>
                        </w:rPr>
                        <w:t xml:space="preserve"> segments as well as </w:t>
                      </w:r>
                      <w:r>
                        <w:rPr>
                          <w:rFonts w:ascii="Arial;Helvetica;Sans-Serif" w:hAnsi="Arial;Helvetica;Sans-Serif"/>
                          <w:b/>
                          <w:i w:val="false"/>
                          <w:caps w:val="false"/>
                          <w:smallCaps w:val="false"/>
                          <w:sz w:val="20"/>
                        </w:rPr>
                        <w:t>Mibanco</w:t>
                      </w:r>
                      <w:r>
                        <w:rPr>
                          <w:rFonts w:ascii="Arial;Helvetica;Sans-Serif" w:hAnsi="Arial;Helvetica;Sans-Serif"/>
                          <w:b w:val="false"/>
                          <w:i w:val="false"/>
                          <w:caps w:val="false"/>
                          <w:smallCaps w:val="false"/>
                          <w:sz w:val="20"/>
                        </w:rPr>
                        <w:t>. This growth was driven by write-offs on loans in default.</w:t>
                      </w:r>
                    </w:p>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3110230" cy="2445385"/>
                <wp:effectExtent l="0" t="0" r="0" b="0"/>
                <wp:wrapSquare wrapText="right"/>
                <wp:docPr id="94" name="Frame33"/>
                <a:graphic xmlns:a="http://schemas.openxmlformats.org/drawingml/2006/main">
                  <a:graphicData uri="http://schemas.microsoft.com/office/word/2010/wordprocessingShape">
                    <wps:wsp>
                      <wps:cNvSpPr txBox="1"/>
                      <wps:spPr>
                        <a:xfrm>
                          <a:off x="0" y="0"/>
                          <a:ext cx="3110230" cy="2445385"/>
                        </a:xfrm>
                        <a:prstGeom prst="rect"/>
                        <a:solidFill>
                          <a:srgbClr val="FFFFFF"/>
                        </a:solidFill>
                      </wps:spPr>
                      <wps:txb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Coverage Ratio of Structural NPL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2124075"/>
                                  <wp:effectExtent l="0" t="0" r="0" b="0"/>
                                  <wp:docPr id="9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8" descr=""/>
                                          <pic:cNvPicPr>
                                            <a:picLocks noChangeAspect="1" noChangeArrowheads="1"/>
                                          </pic:cNvPicPr>
                                        </pic:nvPicPr>
                                        <pic:blipFill>
                                          <a:blip r:embed="rId63"/>
                                          <a:stretch>
                                            <a:fillRect/>
                                          </a:stretch>
                                        </pic:blipFill>
                                        <pic:spPr bwMode="auto">
                                          <a:xfrm>
                                            <a:off x="0" y="0"/>
                                            <a:ext cx="3333750" cy="212407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2.5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Coverage Ratio of Structural NPL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2124075"/>
                            <wp:effectExtent l="0" t="0" r="0" b="0"/>
                            <wp:docPr id="9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8" descr=""/>
                                    <pic:cNvPicPr>
                                      <a:picLocks noChangeAspect="1" noChangeArrowheads="1"/>
                                    </pic:cNvPicPr>
                                  </pic:nvPicPr>
                                  <pic:blipFill>
                                    <a:blip r:embed="rId64"/>
                                    <a:stretch>
                                      <a:fillRect/>
                                    </a:stretch>
                                  </pic:blipFill>
                                  <pic:spPr bwMode="auto">
                                    <a:xfrm>
                                      <a:off x="0" y="0"/>
                                      <a:ext cx="3333750" cy="212407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182">
                <wp:simplePos x="0" y="0"/>
                <wp:positionH relativeFrom="column">
                  <wp:align>right</wp:align>
                </wp:positionH>
                <wp:positionV relativeFrom="line">
                  <wp:posOffset>635</wp:posOffset>
                </wp:positionV>
                <wp:extent cx="3110230" cy="2249170"/>
                <wp:effectExtent l="0" t="0" r="0" b="0"/>
                <wp:wrapSquare wrapText="left"/>
                <wp:docPr id="97" name="Frame34"/>
                <a:graphic xmlns:a="http://schemas.openxmlformats.org/drawingml/2006/main">
                  <a:graphicData uri="http://schemas.microsoft.com/office/word/2010/wordprocessingShape">
                    <wps:wsp>
                      <wps:cNvSpPr txBox="1"/>
                      <wps:spPr>
                        <a:xfrm>
                          <a:off x="0" y="0"/>
                          <a:ext cx="3110230" cy="2249170"/>
                        </a:xfrm>
                        <a:prstGeom prst="rect"/>
                        <a:solidFill>
                          <a:srgbClr val="FFFFFF"/>
                        </a:solidFill>
                      </wps:spPr>
                      <wps:txbx>
                        <w:txbxContent>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QoQ</w:t>
                            </w:r>
                            <w:r>
                              <w:rPr>
                                <w:rFonts w:ascii="Arial;Helvetica;Sans-Serif" w:hAnsi="Arial;Helvetica;Sans-Serif"/>
                                <w:b w:val="false"/>
                                <w:i w:val="false"/>
                                <w:caps w:val="false"/>
                                <w:smallCaps w:val="false"/>
                                <w:color w:val="000000"/>
                                <w:sz w:val="20"/>
                              </w:rPr>
                              <w:t xml:space="preserve">, Coverage of NPL Loans decline 232bps. This drop was driven primarily by </w:t>
                            </w:r>
                            <w:r>
                              <w:rPr>
                                <w:rFonts w:ascii="Arial;Helvetica;Sans-Serif" w:hAnsi="Arial;Helvetica;Sans-Serif"/>
                                <w:b/>
                                <w:i w:val="false"/>
                                <w:caps w:val="false"/>
                                <w:smallCaps w:val="false"/>
                                <w:color w:val="000000"/>
                                <w:sz w:val="20"/>
                              </w:rPr>
                              <w:t>Mibanco</w:t>
                            </w:r>
                            <w:r>
                              <w:rPr>
                                <w:rFonts w:ascii="Arial;Helvetica;Sans-Serif" w:hAnsi="Arial;Helvetica;Sans-Serif"/>
                                <w:b w:val="false"/>
                                <w:i w:val="false"/>
                                <w:caps w:val="false"/>
                                <w:smallCaps w:val="false"/>
                                <w:color w:val="000000"/>
                                <w:sz w:val="20"/>
                              </w:rPr>
                              <w:t xml:space="preserve">, which has yet to write off the underperforming portion of portfolio in 1Q23 that received reprogramming and was subsequently unable to service its debt.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xml:space="preserve"> Coverage for the NPL portfolio declined 1,076bps. This drop was attributable to </w:t>
                            </w:r>
                            <w:r>
                              <w:rPr>
                                <w:rFonts w:ascii="Arial;Helvetica;Sans-Serif" w:hAnsi="Arial;Helvetica;Sans-Serif"/>
                                <w:b/>
                                <w:i w:val="false"/>
                                <w:caps w:val="false"/>
                                <w:smallCaps w:val="false"/>
                                <w:sz w:val="20"/>
                              </w:rPr>
                              <w:t>Wholesale Banking</w:t>
                            </w:r>
                            <w:r>
                              <w:rPr>
                                <w:rFonts w:ascii="Arial;Helvetica;Sans-Serif" w:hAnsi="Arial;Helvetica;Sans-Serif"/>
                                <w:b w:val="false"/>
                                <w:i w:val="false"/>
                                <w:caps w:val="false"/>
                                <w:smallCaps w:val="false"/>
                                <w:sz w:val="20"/>
                              </w:rPr>
                              <w:t>, where structural NPL loan volumes have risen significantly due to an uptick in refinanced loans. Nevertheless, these loans have not triggered a considerable increase in provisions given that they are covered by guarantees whose commercial value is well above the total volume of the borrowers’ debt.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7.1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QoQ</w:t>
                      </w:r>
                      <w:r>
                        <w:rPr>
                          <w:rFonts w:ascii="Arial;Helvetica;Sans-Serif" w:hAnsi="Arial;Helvetica;Sans-Serif"/>
                          <w:b w:val="false"/>
                          <w:i w:val="false"/>
                          <w:caps w:val="false"/>
                          <w:smallCaps w:val="false"/>
                          <w:color w:val="000000"/>
                          <w:sz w:val="20"/>
                        </w:rPr>
                        <w:t xml:space="preserve">, Coverage of NPL Loans decline 232bps. This drop was driven primarily by </w:t>
                      </w:r>
                      <w:r>
                        <w:rPr>
                          <w:rFonts w:ascii="Arial;Helvetica;Sans-Serif" w:hAnsi="Arial;Helvetica;Sans-Serif"/>
                          <w:b/>
                          <w:i w:val="false"/>
                          <w:caps w:val="false"/>
                          <w:smallCaps w:val="false"/>
                          <w:color w:val="000000"/>
                          <w:sz w:val="20"/>
                        </w:rPr>
                        <w:t>Mibanco</w:t>
                      </w:r>
                      <w:r>
                        <w:rPr>
                          <w:rFonts w:ascii="Arial;Helvetica;Sans-Serif" w:hAnsi="Arial;Helvetica;Sans-Serif"/>
                          <w:b w:val="false"/>
                          <w:i w:val="false"/>
                          <w:caps w:val="false"/>
                          <w:smallCaps w:val="false"/>
                          <w:color w:val="000000"/>
                          <w:sz w:val="20"/>
                        </w:rPr>
                        <w:t xml:space="preserve">, which has yet to write off the underperforming portion of portfolio in 1Q23 that received reprogramming and was subsequently unable to service its debt.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xml:space="preserve"> Coverage for the NPL portfolio declined 1,076bps. This drop was attributable to </w:t>
                      </w:r>
                      <w:r>
                        <w:rPr>
                          <w:rFonts w:ascii="Arial;Helvetica;Sans-Serif" w:hAnsi="Arial;Helvetica;Sans-Serif"/>
                          <w:b/>
                          <w:i w:val="false"/>
                          <w:caps w:val="false"/>
                          <w:smallCaps w:val="false"/>
                          <w:sz w:val="20"/>
                        </w:rPr>
                        <w:t>Wholesale Banking</w:t>
                      </w:r>
                      <w:r>
                        <w:rPr>
                          <w:rFonts w:ascii="Arial;Helvetica;Sans-Serif" w:hAnsi="Arial;Helvetica;Sans-Serif"/>
                          <w:b w:val="false"/>
                          <w:i w:val="false"/>
                          <w:caps w:val="false"/>
                          <w:smallCaps w:val="false"/>
                          <w:sz w:val="20"/>
                        </w:rPr>
                        <w:t>, where structural NPL loan volumes have risen significantly due to an uptick in refinanced loans. Nevertheless, these loans have not triggered a considerable increase in provisions given that they are covered by guarantees whose commercial value is well above the total volume of the borrowers’ debt.</w:t>
                      </w:r>
                    </w:p>
                  </w:txbxContent>
                </v:textbox>
                <w10:wrap type="square" side="left"/>
              </v:rect>
            </w:pict>
          </mc:Fallback>
        </mc:AlternateConten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9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9" descr=""/>
                          <pic:cNvPicPr>
                            <a:picLocks noChangeAspect="1" noChangeArrowheads="1"/>
                          </pic:cNvPicPr>
                        </pic:nvPicPr>
                        <pic:blipFill>
                          <a:blip r:embed="rId65"/>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895" w:type="dxa"/>
        <w:jc w:val="left"/>
        <w:tblInd w:w="0" w:type="dxa"/>
        <w:tblLayout w:type="fixed"/>
        <w:tblCellMar>
          <w:top w:w="0" w:type="dxa"/>
          <w:left w:w="0" w:type="dxa"/>
          <w:bottom w:w="0" w:type="dxa"/>
          <w:right w:w="0" w:type="dxa"/>
        </w:tblCellMar>
      </w:tblPr>
      <w:tblGrid>
        <w:gridCol w:w="1895"/>
      </w:tblGrid>
      <w:tr>
        <w:trPr/>
        <w:tc>
          <w:tcPr>
            <w:tcW w:w="1895" w:type="dxa"/>
            <w:tcBorders/>
            <w:shd w:fill="E93CAC" w:val="clear"/>
            <w:vAlign w:val="center"/>
          </w:tcPr>
          <w:p>
            <w:pPr>
              <w:pStyle w:val="TableContents"/>
              <w:bidi w:val="0"/>
              <w:spacing w:before="0" w:after="283"/>
              <w:jc w:val="left"/>
              <w:rPr>
                <w:b/>
                <w:color w:val="FFFFFF"/>
                <w:sz w:val="24"/>
              </w:rPr>
            </w:pPr>
            <w:r>
              <w:rPr>
                <w:b/>
                <w:color w:val="FFFFFF"/>
                <w:sz w:val="24"/>
              </w:rPr>
              <w:t>01. Loan Portfolio</w:t>
            </w:r>
          </w:p>
        </w:tc>
      </w:tr>
    </w:tbl>
    <w:p>
      <w:pPr>
        <w:pStyle w:val="TextBody"/>
        <w:bidi w:val="0"/>
        <w:spacing w:before="0" w:after="0"/>
        <w:ind w:left="0" w:right="0" w:hanging="0"/>
        <w:jc w:val="both"/>
        <w:rPr>
          <w:caps w:val="false"/>
          <w:smallCaps w:val="false"/>
        </w:rPr>
      </w:pPr>
      <w:r>
        <w:rPr>
          <w:caps w:val="false"/>
          <w:smallCaps w:val="false"/>
        </w:rPr>
        <w:t> </w:t>
      </w:r>
    </w:p>
    <w:tbl>
      <w:tblPr>
        <w:tblW w:w="4370" w:type="dxa"/>
        <w:jc w:val="left"/>
        <w:tblInd w:w="0" w:type="dxa"/>
        <w:tblLayout w:type="fixed"/>
        <w:tblCellMar>
          <w:top w:w="0" w:type="dxa"/>
          <w:left w:w="0" w:type="dxa"/>
          <w:bottom w:w="0" w:type="dxa"/>
          <w:right w:w="0" w:type="dxa"/>
        </w:tblCellMar>
      </w:tblPr>
      <w:tblGrid>
        <w:gridCol w:w="4235"/>
        <w:gridCol w:w="60"/>
        <w:gridCol w:w="75"/>
      </w:tblGrid>
      <w:tr>
        <w:trPr/>
        <w:tc>
          <w:tcPr>
            <w:tcW w:w="423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0000"/>
                <w:sz w:val="20"/>
              </w:rPr>
              <w:t xml:space="preserve">NPL loans in the Government Loan Portfolio </w:t>
            </w:r>
            <w:r>
              <w:rPr>
                <w:rFonts w:ascii="Arial;Helvetica;Sans-Serif" w:hAnsi="Arial;Helvetica;Sans-Serif"/>
                <w:b w:val="false"/>
                <w:i w:val="false"/>
                <w:caps w:val="false"/>
                <w:smallCaps w:val="false"/>
                <w:sz w:val="20"/>
              </w:rPr>
              <w:br/>
            </w:r>
            <w:r>
              <w:rPr>
                <w:rFonts w:ascii="Arial;Helvetica;Sans-Serif" w:hAnsi="Arial;Helvetica;Sans-Serif"/>
                <w:b w:val="false"/>
                <w:i w:val="false"/>
                <w:caps w:val="false"/>
                <w:smallCaps w:val="false"/>
                <w:color w:val="000000"/>
                <w:sz w:val="20"/>
              </w:rPr>
              <w:t>(in quarter-end balances– S/ thousands)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2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6075"/>
        <w:gridCol w:w="60"/>
        <w:gridCol w:w="4070"/>
      </w:tblGrid>
      <w:tr>
        <w:trPr/>
        <w:tc>
          <w:tcPr>
            <w:tcW w:w="607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3810000" cy="1981200"/>
                  <wp:effectExtent l="0" t="0" r="0" b="0"/>
                  <wp:docPr id="9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0" descr=""/>
                          <pic:cNvPicPr>
                            <a:picLocks noChangeAspect="1" noChangeArrowheads="1"/>
                          </pic:cNvPicPr>
                        </pic:nvPicPr>
                        <pic:blipFill>
                          <a:blip r:embed="rId66"/>
                          <a:stretch>
                            <a:fillRect/>
                          </a:stretch>
                        </pic:blipFill>
                        <pic:spPr bwMode="auto">
                          <a:xfrm>
                            <a:off x="0" y="0"/>
                            <a:ext cx="3810000" cy="1981200"/>
                          </a:xfrm>
                          <a:prstGeom prst="rect">
                            <a:avLst/>
                          </a:prstGeom>
                        </pic:spPr>
                      </pic:pic>
                    </a:graphicData>
                  </a:graphic>
                </wp:inline>
              </w:drawing>
            </w: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QoQ, </w:t>
            </w:r>
            <w:r>
              <w:rPr>
                <w:rFonts w:ascii="Arial;Helvetica;Sans-Serif" w:hAnsi="Arial;Helvetica;Sans-Serif"/>
                <w:b w:val="false"/>
                <w:i w:val="false"/>
                <w:caps w:val="false"/>
                <w:smallCaps w:val="false"/>
                <w:sz w:val="20"/>
              </w:rPr>
              <w:t>the non-performing GP portfolio decreased after more honoring processes were rolled out for Reactiva loans. At the end of June 2023, S/1,465 million had been received from State guarantees.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To execute honoring processes, loans must have been delinquent for a period exceeding 90 days. Average guarantees stand at </w:t>
            </w:r>
            <w:r>
              <w:rPr>
                <w:rFonts w:ascii="Arial;Helvetica;Sans-Serif" w:hAnsi="Arial;Helvetica;Sans-Serif"/>
                <w:b w:val="false"/>
                <w:i w:val="false"/>
                <w:caps w:val="false"/>
                <w:smallCaps w:val="false"/>
                <w:color w:val="000000"/>
                <w:sz w:val="20"/>
              </w:rPr>
              <w:t>84%, 91% and 97% for Wholesale Banking, Retail Banking and Mibanco,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Quality of the Total Portfolio (in quarter-end balances)</w:t>
      </w:r>
    </w:p>
    <w:p>
      <w:pPr>
        <w:pStyle w:val="TextBody"/>
        <w:bidi w:val="0"/>
        <w:spacing w:before="0" w:after="0"/>
        <w:ind w:left="0" w:right="0" w:hanging="0"/>
        <w:jc w:val="center"/>
        <w:rPr>
          <w:caps w:val="false"/>
          <w:smallCaps w:val="false"/>
        </w:rPr>
      </w:pPr>
      <w:r>
        <w:rPr>
          <w:caps w:val="false"/>
          <w:smallCaps w:val="false"/>
        </w:rPr>
        <w:t> </w:t>
      </w:r>
    </w:p>
    <w:tbl>
      <w:tblPr>
        <w:tblW w:w="7830" w:type="dxa"/>
        <w:jc w:val="left"/>
        <w:tblInd w:w="-10" w:type="dxa"/>
        <w:tblLayout w:type="fixed"/>
        <w:tblCellMar>
          <w:top w:w="28" w:type="dxa"/>
          <w:left w:w="60" w:type="dxa"/>
          <w:bottom w:w="0" w:type="dxa"/>
          <w:right w:w="60" w:type="dxa"/>
        </w:tblCellMar>
      </w:tblPr>
      <w:tblGrid>
        <w:gridCol w:w="3635"/>
        <w:gridCol w:w="920"/>
        <w:gridCol w:w="920"/>
        <w:gridCol w:w="920"/>
        <w:gridCol w:w="710"/>
        <w:gridCol w:w="725"/>
      </w:tblGrid>
      <w:tr>
        <w:trPr/>
        <w:tc>
          <w:tcPr>
            <w:tcW w:w="363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Loan Portfolio quality and Delinquency ratios</w:t>
            </w:r>
          </w:p>
        </w:tc>
        <w:tc>
          <w:tcPr>
            <w:tcW w:w="2760" w:type="dxa"/>
            <w:gridSpan w:val="3"/>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As of</w:t>
            </w:r>
          </w:p>
        </w:tc>
        <w:tc>
          <w:tcPr>
            <w:tcW w:w="1435" w:type="dxa"/>
            <w:gridSpan w:val="2"/>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r>
      <w:tr>
        <w:trPr/>
        <w:tc>
          <w:tcPr>
            <w:tcW w:w="3635"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760" w:type="dxa"/>
            <w:gridSpan w:val="3"/>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c>
          <w:tcPr>
            <w:tcW w:w="1435" w:type="dxa"/>
            <w:gridSpan w:val="2"/>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r>
      <w:tr>
        <w:trPr/>
        <w:tc>
          <w:tcPr>
            <w:tcW w:w="363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S/000</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22</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Mar 23</w:t>
            </w:r>
          </w:p>
        </w:tc>
        <w:tc>
          <w:tcPr>
            <w:tcW w:w="92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23</w:t>
            </w:r>
          </w:p>
        </w:tc>
        <w:tc>
          <w:tcPr>
            <w:tcW w:w="71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QoQ</w:t>
            </w:r>
          </w:p>
        </w:tc>
        <w:tc>
          <w:tcPr>
            <w:tcW w:w="72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YoY</w:t>
            </w:r>
          </w:p>
        </w:tc>
      </w:tr>
      <w:tr>
        <w:trPr/>
        <w:tc>
          <w:tcPr>
            <w:tcW w:w="363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Total loans (Quarter-end balance)</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150,370,184</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145,165,713</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142,845,549</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-1.6%</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-5.0%</w:t>
            </w:r>
          </w:p>
        </w:tc>
      </w:tr>
      <w:tr>
        <w:trPr/>
        <w:tc>
          <w:tcPr>
            <w:tcW w:w="363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Allowance for loan losses</w:t>
            </w:r>
          </w:p>
        </w:tc>
        <w:tc>
          <w:tcPr>
            <w:tcW w:w="92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8,306,500</w:t>
            </w:r>
          </w:p>
        </w:tc>
        <w:tc>
          <w:tcPr>
            <w:tcW w:w="92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7,915,350</w:t>
            </w:r>
          </w:p>
        </w:tc>
        <w:tc>
          <w:tcPr>
            <w:tcW w:w="92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7,956,184</w:t>
            </w:r>
          </w:p>
        </w:tc>
        <w:tc>
          <w:tcPr>
            <w:tcW w:w="710"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0.5%</w:t>
            </w:r>
          </w:p>
        </w:tc>
        <w:tc>
          <w:tcPr>
            <w:tcW w:w="7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w:t>
            </w:r>
          </w:p>
        </w:tc>
      </w:tr>
      <w:tr>
        <w:trPr/>
        <w:tc>
          <w:tcPr>
            <w:tcW w:w="363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Write-offs</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413,501</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677,148</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682,154</w:t>
            </w:r>
          </w:p>
        </w:tc>
        <w:tc>
          <w:tcPr>
            <w:tcW w:w="710"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0.7%</w:t>
            </w:r>
          </w:p>
        </w:tc>
        <w:tc>
          <w:tcPr>
            <w:tcW w:w="7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65.0%</w:t>
            </w:r>
          </w:p>
        </w:tc>
      </w:tr>
      <w:tr>
        <w:trPr/>
        <w:tc>
          <w:tcPr>
            <w:tcW w:w="3635" w:type="dxa"/>
            <w:tcBorders>
              <w:top w:val="single" w:sz="8" w:space="0" w:color="000000"/>
              <w:left w:val="single" w:sz="8" w:space="0" w:color="000000"/>
              <w:right w:val="single" w:sz="8" w:space="0" w:color="000000"/>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Internal overdue loans (IOLs) (1)(2)</w:t>
            </w:r>
          </w:p>
        </w:tc>
        <w:tc>
          <w:tcPr>
            <w:tcW w:w="920" w:type="dxa"/>
            <w:tcBorders>
              <w:top w:val="single" w:sz="8" w:space="0" w:color="000000"/>
              <w:right w:val="single" w:sz="8" w:space="0" w:color="000000"/>
            </w:tcBorders>
            <w:tcMar>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6,105,256</w:t>
            </w:r>
          </w:p>
        </w:tc>
        <w:tc>
          <w:tcPr>
            <w:tcW w:w="920" w:type="dxa"/>
            <w:tcBorders>
              <w:top w:val="single" w:sz="8" w:space="0" w:color="000000"/>
              <w:right w:val="single" w:sz="8" w:space="0" w:color="000000"/>
            </w:tcBorders>
            <w:tcMar>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5,789,497</w:t>
            </w:r>
          </w:p>
        </w:tc>
        <w:tc>
          <w:tcPr>
            <w:tcW w:w="920" w:type="dxa"/>
            <w:tcBorders>
              <w:top w:val="single" w:sz="8" w:space="0" w:color="000000"/>
              <w:right w:val="single" w:sz="8" w:space="0" w:color="000000"/>
            </w:tcBorders>
            <w:tcMar>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5,979,395</w:t>
            </w:r>
          </w:p>
        </w:tc>
        <w:tc>
          <w:tcPr>
            <w:tcW w:w="710"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3.3%</w:t>
            </w:r>
          </w:p>
        </w:tc>
        <w:tc>
          <w:tcPr>
            <w:tcW w:w="7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-2.1%</w:t>
            </w:r>
          </w:p>
        </w:tc>
      </w:tr>
      <w:tr>
        <w:trPr/>
        <w:tc>
          <w:tcPr>
            <w:tcW w:w="3635"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Internal overdue loans over 90-days (1)</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4,596,259</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4,386,959</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4,862,669</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10.8%</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5.8%</w:t>
            </w:r>
          </w:p>
        </w:tc>
      </w:tr>
      <w:tr>
        <w:trPr/>
        <w:tc>
          <w:tcPr>
            <w:tcW w:w="3635" w:type="dxa"/>
            <w:tcBorders>
              <w:left w:val="single" w:sz="8" w:space="0" w:color="000000"/>
              <w:right w:val="single" w:sz="8" w:space="0" w:color="000000"/>
            </w:tcBorders>
            <w:shd w:fill="FFFFFF" w:val="clear"/>
            <w:tcMar>
              <w:top w:w="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Refinanced Loans (2)</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1,686,186</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2,121,068</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2,084,124</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23.6%</w:t>
            </w:r>
          </w:p>
        </w:tc>
      </w:tr>
      <w:tr>
        <w:trPr/>
        <w:tc>
          <w:tcPr>
            <w:tcW w:w="3635" w:type="dxa"/>
            <w:tcBorders>
              <w:left w:val="single" w:sz="8" w:space="0" w:color="000000"/>
              <w:right w:val="single" w:sz="8" w:space="0" w:color="000000"/>
            </w:tcBorders>
            <w:shd w:fill="FFFFFF" w:val="clear"/>
            <w:tcMar>
              <w:top w:w="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Non-performing loans (NPLs) (3)</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7,791,442</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7,910,565</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8,063,519</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w:t>
            </w:r>
          </w:p>
        </w:tc>
      </w:tr>
      <w:tr>
        <w:trPr/>
        <w:tc>
          <w:tcPr>
            <w:tcW w:w="3635" w:type="dxa"/>
            <w:tcBorders>
              <w:top w:val="single" w:sz="8" w:space="0" w:color="000000"/>
              <w:left w:val="single" w:sz="8" w:space="0" w:color="000000"/>
              <w:right w:val="single" w:sz="8" w:space="0" w:color="000000"/>
            </w:tcBorders>
            <w:shd w:fill="FFFFFF" w:val="cle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IOL ratio</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4.1%</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4.0%</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4.2%</w:t>
            </w:r>
          </w:p>
        </w:tc>
        <w:tc>
          <w:tcPr>
            <w:tcW w:w="710"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20bps</w:t>
            </w:r>
          </w:p>
        </w:tc>
        <w:tc>
          <w:tcPr>
            <w:tcW w:w="7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13bps</w:t>
            </w:r>
          </w:p>
        </w:tc>
      </w:tr>
      <w:tr>
        <w:trPr/>
        <w:tc>
          <w:tcPr>
            <w:tcW w:w="363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IOL over 90-days ratio</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3.1%</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3.0%</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3.4%</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38bps</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34bps</w:t>
            </w:r>
          </w:p>
        </w:tc>
      </w:tr>
      <w:tr>
        <w:trPr/>
        <w:tc>
          <w:tcPr>
            <w:tcW w:w="363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NPL ratio </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5.2%</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5.4%</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5.6%</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19bps</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46bps</w:t>
            </w:r>
          </w:p>
        </w:tc>
      </w:tr>
      <w:tr>
        <w:trPr/>
        <w:tc>
          <w:tcPr>
            <w:tcW w:w="363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Allowance for loan losses over Total loans</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5.5%</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5.5%</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5.6%</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12bps</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5bps</w:t>
            </w:r>
          </w:p>
        </w:tc>
      </w:tr>
      <w:tr>
        <w:trPr/>
        <w:tc>
          <w:tcPr>
            <w:tcW w:w="363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Coverage ratio of IOLs</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136.1%</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136.7%</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133.1%</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-366bps</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-300bps</w:t>
            </w:r>
          </w:p>
        </w:tc>
      </w:tr>
      <w:tr>
        <w:trPr/>
        <w:tc>
          <w:tcPr>
            <w:tcW w:w="363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Coverage ratio of IOL 90-days</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180.7%</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180.4%</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163.6%</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-1681bps</w:t>
            </w:r>
          </w:p>
        </w:tc>
        <w:tc>
          <w:tcPr>
            <w:tcW w:w="72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-1710bps</w:t>
            </w:r>
          </w:p>
        </w:tc>
      </w:tr>
      <w:tr>
        <w:trPr/>
        <w:tc>
          <w:tcPr>
            <w:tcW w:w="3635"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Coverage ratio of NPLs</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106.6%</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100.1%</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98.7%</w:t>
            </w:r>
          </w:p>
        </w:tc>
        <w:tc>
          <w:tcPr>
            <w:tcW w:w="7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-100bps</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-790bps</w:t>
            </w:r>
          </w:p>
        </w:tc>
      </w:tr>
    </w:tbl>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Includes Overdue Loans and Loans under legal collection (Quarter-end balances net of deferred earnings).</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 Figures net of deferred earnings.</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 Non-performing Loans include Internal overdue loans and Refinanced loans (Quarter-end balances net of deferred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aforementioned context, Credicorp’s NPL Ratio rose 21bps QoQ and 48bps YoY. This evolution was fueled by growth in structural NPL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21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0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1" descr=""/>
                          <pic:cNvPicPr>
                            <a:picLocks noChangeAspect="1" noChangeArrowheads="1"/>
                          </pic:cNvPicPr>
                        </pic:nvPicPr>
                        <pic:blipFill>
                          <a:blip r:embed="rId67"/>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575"/>
        <w:gridCol w:w="1415"/>
      </w:tblGrid>
      <w:tr>
        <w:trPr/>
        <w:tc>
          <w:tcPr>
            <w:tcW w:w="575" w:type="dxa"/>
            <w:tcBorders/>
            <w:vAlign w:val="center"/>
          </w:tcPr>
          <w:p>
            <w:pPr>
              <w:pStyle w:val="TableContents"/>
              <w:bidi w:val="0"/>
              <w:spacing w:before="0" w:after="283"/>
              <w:jc w:val="both"/>
              <w:rPr>
                <w:rFonts w:ascii="Arial;Helvetica;Sans-Serif" w:hAnsi="Arial;Helvetica;Sans-Serif"/>
                <w:b/>
                <w:i w:val="false"/>
                <w:caps w:val="false"/>
                <w:smallCaps w:val="false"/>
                <w:color w:val="E93CAC"/>
                <w:sz w:val="48"/>
              </w:rPr>
            </w:pPr>
            <w:r>
              <w:rPr>
                <w:rFonts w:ascii="Arial;Helvetica;Sans-Serif" w:hAnsi="Arial;Helvetica;Sans-Serif"/>
                <w:b/>
                <w:i w:val="false"/>
                <w:caps w:val="false"/>
                <w:smallCaps w:val="false"/>
                <w:color w:val="E93CAC"/>
                <w:sz w:val="48"/>
              </w:rPr>
              <w:t>02</w:t>
            </w:r>
          </w:p>
        </w:tc>
        <w:tc>
          <w:tcPr>
            <w:tcW w:w="141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E93CAC"/>
                <w:sz w:val="36"/>
              </w:rPr>
            </w:pPr>
            <w:r>
              <w:rPr>
                <w:rFonts w:ascii="Arial;Helvetica;Sans-Serif" w:hAnsi="Arial;Helvetica;Sans-Serif"/>
                <w:b w:val="false"/>
                <w:i w:val="false"/>
                <w:caps w:val="false"/>
                <w:smallCaps w:val="false"/>
                <w:color w:val="E93CAC"/>
                <w:sz w:val="36"/>
              </w:rPr>
              <w:t>Deposits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At the end of 2Q23, 65.1% of deposits were low-cost, which represents a competitive advantage in a context of historically high interest rates.</w:t>
            </w:r>
          </w:p>
          <w:p>
            <w:pPr>
              <w:pStyle w:val="TableContents"/>
              <w:bidi w:val="0"/>
              <w:jc w:val="both"/>
              <w:rPr>
                <w:caps w:val="false"/>
                <w:smallCaps w:val="false"/>
              </w:rPr>
            </w:pPr>
            <w:r>
              <w:rPr>
                <w:caps w:val="false"/>
                <w:smallCaps w:val="false"/>
              </w:rPr>
              <w:t> </w:t>
            </w:r>
          </w:p>
          <w:p>
            <w:pPr>
              <w:pStyle w:val="TableContents"/>
              <w:bidi w:val="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The low-cost deposit balance fell 12.3% YoY and 7.4% QoQ, which reflected a drop in balances for Savings Deposits and Demand Deposits at BCP Stand-alone and Mibanco after liquidity levels normalized system-wide. YoY, low-cost deposits at BCP and Mibanco declined less than the banking system, where Credicorp leads the system with a market share of 40.6% as of June 2023. Over this period, the increase registered in Time Deposits, which reflected client moves to migrate from low-cost, low-interest deposits to higher-yield products, was also noteworthy.</w:t>
            </w:r>
          </w:p>
          <w:p>
            <w:pPr>
              <w:pStyle w:val="TableContents"/>
              <w:bidi w:val="0"/>
              <w:jc w:val="both"/>
              <w:rPr>
                <w:caps w:val="false"/>
                <w:smallCaps w:val="false"/>
                <w:color w:val="FFFFFF"/>
              </w:rPr>
            </w:pPr>
            <w:r>
              <w:rPr>
                <w:caps w:val="false"/>
                <w:smallCaps w:val="false"/>
                <w:color w:val="FFFFFF"/>
              </w:rPr>
              <w:t> </w:t>
            </w:r>
          </w:p>
          <w:p>
            <w:pPr>
              <w:pStyle w:val="TableContents"/>
              <w:bidi w:val="0"/>
              <w:spacing w:before="0" w:after="283"/>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At the end of June 2023, the market share of deposits held by BCP Stand-alone + Mibanco stood at 34.5% (-85bps with regard to June 22).</w:t>
            </w:r>
          </w:p>
        </w:tc>
      </w:tr>
    </w:tbl>
    <w:p>
      <w:pPr>
        <w:pStyle w:val="TextBody"/>
        <w:bidi w:val="0"/>
        <w:jc w:val="left"/>
        <w:rPr>
          <w:caps w:val="false"/>
          <w:smallCaps w:val="false"/>
        </w:rPr>
      </w:pPr>
      <w:r>
        <w:rPr>
          <w:caps w:val="false"/>
          <w:smallCaps w:val="false"/>
        </w:rPr>
        <w:t> </w:t>
      </w:r>
    </w:p>
    <w:tbl>
      <w:tblPr>
        <w:tblW w:w="7000" w:type="dxa"/>
        <w:jc w:val="left"/>
        <w:tblInd w:w="-10" w:type="dxa"/>
        <w:tblLayout w:type="fixed"/>
        <w:tblCellMar>
          <w:top w:w="28" w:type="dxa"/>
          <w:left w:w="60" w:type="dxa"/>
          <w:bottom w:w="0" w:type="dxa"/>
          <w:right w:w="0" w:type="dxa"/>
        </w:tblCellMar>
      </w:tblPr>
      <w:tblGrid>
        <w:gridCol w:w="2225"/>
        <w:gridCol w:w="920"/>
        <w:gridCol w:w="920"/>
        <w:gridCol w:w="920"/>
        <w:gridCol w:w="485"/>
        <w:gridCol w:w="545"/>
        <w:gridCol w:w="485"/>
        <w:gridCol w:w="500"/>
      </w:tblGrid>
      <w:tr>
        <w:trPr/>
        <w:tc>
          <w:tcPr>
            <w:tcW w:w="2225" w:type="dxa"/>
            <w:tcBorders>
              <w:top w:val="single" w:sz="8" w:space="0" w:color="000000"/>
              <w:left w:val="single" w:sz="8" w:space="0" w:color="000000"/>
            </w:tcBorders>
            <w:shd w:fill="2AD2C9"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Deposits </w:t>
            </w:r>
          </w:p>
        </w:tc>
        <w:tc>
          <w:tcPr>
            <w:tcW w:w="2760" w:type="dxa"/>
            <w:gridSpan w:val="3"/>
            <w:vMerge w:val="restart"/>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As of</w:t>
            </w:r>
          </w:p>
        </w:tc>
        <w:tc>
          <w:tcPr>
            <w:tcW w:w="1030" w:type="dxa"/>
            <w:gridSpan w:val="2"/>
            <w:vMerge w:val="restart"/>
            <w:tcBorders>
              <w:top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c>
          <w:tcPr>
            <w:tcW w:w="985" w:type="dxa"/>
            <w:gridSpan w:val="2"/>
            <w:vMerge w:val="restart"/>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Currency</w:t>
            </w:r>
          </w:p>
        </w:tc>
      </w:tr>
      <w:tr>
        <w:trPr/>
        <w:tc>
          <w:tcPr>
            <w:tcW w:w="2225" w:type="dxa"/>
            <w:tcBorders>
              <w:left w:val="single" w:sz="8" w:space="0" w:color="000000"/>
            </w:tcBorders>
            <w:shd w:fill="2AD2C9"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760" w:type="dxa"/>
            <w:gridSpan w:val="3"/>
            <w:vMerge w:val="continue"/>
            <w:tcBorders>
              <w:top w:val="single" w:sz="8" w:space="0" w:color="000000"/>
              <w:left w:val="single" w:sz="8" w:space="0" w:color="000000"/>
              <w:right w:val="single" w:sz="8" w:space="0" w:color="000000"/>
            </w:tcBorders>
            <w:shd w:fill="2AD2C9" w:val="clear"/>
            <w:tcMar>
              <w:right w:w="60" w:type="dxa"/>
            </w:tcMar>
            <w:vAlign w:val="center"/>
          </w:tcPr>
          <w:p>
            <w:pPr>
              <w:pStyle w:val="Normal"/>
              <w:bidi w:val="0"/>
              <w:jc w:val="left"/>
              <w:rPr/>
            </w:pPr>
            <w:r>
              <w:rPr/>
            </w:r>
          </w:p>
        </w:tc>
        <w:tc>
          <w:tcPr>
            <w:tcW w:w="1030" w:type="dxa"/>
            <w:gridSpan w:val="2"/>
            <w:vMerge w:val="continue"/>
            <w:tcBorders>
              <w:top w:val="single" w:sz="8" w:space="0" w:color="000000"/>
            </w:tcBorders>
            <w:shd w:fill="2AD2C9" w:val="clear"/>
            <w:tcMar>
              <w:left w:w="0" w:type="dxa"/>
            </w:tcMar>
            <w:vAlign w:val="center"/>
          </w:tcPr>
          <w:p>
            <w:pPr>
              <w:pStyle w:val="Normal"/>
              <w:bidi w:val="0"/>
              <w:jc w:val="left"/>
              <w:rPr/>
            </w:pPr>
            <w:r>
              <w:rPr/>
            </w:r>
          </w:p>
        </w:tc>
        <w:tc>
          <w:tcPr>
            <w:tcW w:w="985" w:type="dxa"/>
            <w:gridSpan w:val="2"/>
            <w:vMerge w:val="continue"/>
            <w:tcBorders>
              <w:top w:val="single" w:sz="8" w:space="0" w:color="000000"/>
              <w:left w:val="single" w:sz="8" w:space="0" w:color="000000"/>
              <w:right w:val="single" w:sz="8" w:space="0" w:color="000000"/>
            </w:tcBorders>
            <w:shd w:fill="2AD2C9" w:val="clear"/>
            <w:tcMar>
              <w:right w:w="60" w:type="dxa"/>
            </w:tcMar>
            <w:vAlign w:val="center"/>
          </w:tcPr>
          <w:p>
            <w:pPr>
              <w:pStyle w:val="Normal"/>
              <w:bidi w:val="0"/>
              <w:jc w:val="left"/>
              <w:rPr/>
            </w:pPr>
            <w:r>
              <w:rPr/>
            </w:r>
          </w:p>
        </w:tc>
      </w:tr>
      <w:tr>
        <w:trPr/>
        <w:tc>
          <w:tcPr>
            <w:tcW w:w="222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S/000</w:t>
            </w:r>
          </w:p>
        </w:tc>
        <w:tc>
          <w:tcPr>
            <w:tcW w:w="92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22</w:t>
            </w:r>
          </w:p>
        </w:tc>
        <w:tc>
          <w:tcPr>
            <w:tcW w:w="92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Mar 23</w:t>
            </w:r>
          </w:p>
        </w:tc>
        <w:tc>
          <w:tcPr>
            <w:tcW w:w="92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23</w:t>
            </w:r>
          </w:p>
        </w:tc>
        <w:tc>
          <w:tcPr>
            <w:tcW w:w="485" w:type="dxa"/>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QoQ</w:t>
            </w:r>
          </w:p>
        </w:tc>
        <w:tc>
          <w:tcPr>
            <w:tcW w:w="545" w:type="dxa"/>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YoY</w:t>
            </w:r>
          </w:p>
        </w:tc>
        <w:tc>
          <w:tcPr>
            <w:tcW w:w="48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LC</w:t>
            </w:r>
          </w:p>
        </w:tc>
        <w:tc>
          <w:tcPr>
            <w:tcW w:w="50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FC</w:t>
            </w:r>
          </w:p>
        </w:tc>
      </w:tr>
      <w:tr>
        <w:trPr/>
        <w:tc>
          <w:tcPr>
            <w:tcW w:w="2225"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Demand deposits</w:t>
            </w:r>
          </w:p>
        </w:tc>
        <w:tc>
          <w:tcPr>
            <w:tcW w:w="92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51,554,195</w:t>
            </w:r>
          </w:p>
        </w:tc>
        <w:tc>
          <w:tcPr>
            <w:tcW w:w="92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47,483,662</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43,930,450</w:t>
            </w:r>
          </w:p>
        </w:tc>
        <w:tc>
          <w:tcPr>
            <w:tcW w:w="485" w:type="dxa"/>
            <w:tcBorders>
              <w:top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w:t>
            </w:r>
          </w:p>
        </w:tc>
        <w:tc>
          <w:tcPr>
            <w:tcW w:w="545"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-14.8%</w:t>
            </w:r>
          </w:p>
        </w:tc>
        <w:tc>
          <w:tcPr>
            <w:tcW w:w="485" w:type="dxa"/>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45.4%</w:t>
            </w:r>
          </w:p>
        </w:tc>
        <w:tc>
          <w:tcPr>
            <w:tcW w:w="50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54.6%</w:t>
            </w:r>
          </w:p>
        </w:tc>
      </w:tr>
      <w:tr>
        <w:trPr/>
        <w:tc>
          <w:tcPr>
            <w:tcW w:w="2225"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Saving deposits</w:t>
            </w:r>
          </w:p>
        </w:tc>
        <w:tc>
          <w:tcPr>
            <w:tcW w:w="92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54,936,107</w:t>
            </w:r>
          </w:p>
        </w:tc>
        <w:tc>
          <w:tcPr>
            <w:tcW w:w="92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53,418,288</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49,456,054</w:t>
            </w:r>
          </w:p>
        </w:tc>
        <w:tc>
          <w:tcPr>
            <w:tcW w:w="485" w:type="dxa"/>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-7.4%</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w:t>
            </w:r>
          </w:p>
        </w:tc>
        <w:tc>
          <w:tcPr>
            <w:tcW w:w="485" w:type="dxa"/>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55.6%</w:t>
            </w:r>
          </w:p>
        </w:tc>
        <w:tc>
          <w:tcPr>
            <w:tcW w:w="50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44.4%</w:t>
            </w:r>
          </w:p>
        </w:tc>
      </w:tr>
      <w:tr>
        <w:trPr/>
        <w:tc>
          <w:tcPr>
            <w:tcW w:w="2225"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Time deposits</w:t>
            </w:r>
          </w:p>
        </w:tc>
        <w:tc>
          <w:tcPr>
            <w:tcW w:w="92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35,923,266</w:t>
            </w:r>
          </w:p>
        </w:tc>
        <w:tc>
          <w:tcPr>
            <w:tcW w:w="92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43,194,573</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45,107,429</w:t>
            </w:r>
          </w:p>
        </w:tc>
        <w:tc>
          <w:tcPr>
            <w:tcW w:w="485" w:type="dxa"/>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25.6%</w:t>
            </w:r>
          </w:p>
        </w:tc>
        <w:tc>
          <w:tcPr>
            <w:tcW w:w="485" w:type="dxa"/>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49.7%</w:t>
            </w:r>
          </w:p>
        </w:tc>
        <w:tc>
          <w:tcPr>
            <w:tcW w:w="50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50.3%</w:t>
            </w:r>
          </w:p>
        </w:tc>
      </w:tr>
      <w:tr>
        <w:trPr/>
        <w:tc>
          <w:tcPr>
            <w:tcW w:w="2225"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Severance indemnity deposits</w:t>
            </w:r>
          </w:p>
        </w:tc>
        <w:tc>
          <w:tcPr>
            <w:tcW w:w="92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4,155,932</w:t>
            </w:r>
          </w:p>
        </w:tc>
        <w:tc>
          <w:tcPr>
            <w:tcW w:w="92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3,322,691</w:t>
            </w:r>
          </w:p>
        </w:tc>
        <w:tc>
          <w:tcPr>
            <w:tcW w:w="9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3,545,001</w:t>
            </w:r>
          </w:p>
        </w:tc>
        <w:tc>
          <w:tcPr>
            <w:tcW w:w="485" w:type="dxa"/>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6.7%</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-14.7%</w:t>
            </w:r>
          </w:p>
        </w:tc>
        <w:tc>
          <w:tcPr>
            <w:tcW w:w="485" w:type="dxa"/>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72.2%</w:t>
            </w:r>
          </w:p>
        </w:tc>
        <w:tc>
          <w:tcPr>
            <w:tcW w:w="50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27.8%</w:t>
            </w:r>
          </w:p>
        </w:tc>
      </w:tr>
      <w:tr>
        <w:trPr/>
        <w:tc>
          <w:tcPr>
            <w:tcW w:w="2225"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Interest payable</w:t>
            </w:r>
          </w:p>
        </w:tc>
        <w:tc>
          <w:tcPr>
            <w:tcW w:w="92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871,075</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1,204,086</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1,348,783</w:t>
            </w:r>
          </w:p>
        </w:tc>
        <w:tc>
          <w:tcPr>
            <w:tcW w:w="48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12.0%</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54.8%</w:t>
            </w:r>
          </w:p>
        </w:tc>
        <w:tc>
          <w:tcPr>
            <w:tcW w:w="485" w:type="dxa"/>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50.8%</w:t>
            </w:r>
          </w:p>
        </w:tc>
        <w:tc>
          <w:tcPr>
            <w:tcW w:w="500"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49.2%</w:t>
            </w:r>
          </w:p>
        </w:tc>
      </w:tr>
      <w:tr>
        <w:trPr/>
        <w:tc>
          <w:tcPr>
            <w:tcW w:w="222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Deposits and obligations</w:t>
            </w:r>
          </w:p>
        </w:tc>
        <w:tc>
          <w:tcPr>
            <w:tcW w:w="92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147,440,575</w:t>
            </w:r>
          </w:p>
        </w:tc>
        <w:tc>
          <w:tcPr>
            <w:tcW w:w="920"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148,623,300</w:t>
            </w:r>
          </w:p>
        </w:tc>
        <w:tc>
          <w:tcPr>
            <w:tcW w:w="92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143,387,717</w:t>
            </w:r>
          </w:p>
        </w:tc>
        <w:tc>
          <w:tcPr>
            <w:tcW w:w="48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-3.5%</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-2.7%</w:t>
            </w:r>
          </w:p>
        </w:tc>
        <w:tc>
          <w:tcPr>
            <w:tcW w:w="48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50.8%</w:t>
            </w:r>
          </w:p>
        </w:tc>
        <w:tc>
          <w:tcPr>
            <w:tcW w:w="500"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49.2%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Total Deposit base dropped 3.5% QoQ and 2.7% YoY (-1.8% and -0.2% with neutral exchange rate respectively). The following dynamics were noteworthy: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7.4% reduction (-5.9% FX neutral) in </w:t>
            </w:r>
            <w:r>
              <w:rPr>
                <w:rFonts w:ascii="Arial;Helvetica;Sans-Serif" w:hAnsi="Arial;Helvetica;Sans-Serif"/>
                <w:b/>
                <w:i w:val="false"/>
                <w:caps w:val="false"/>
                <w:smallCaps w:val="false"/>
                <w:sz w:val="20"/>
              </w:rPr>
              <w:t>Savings Deposits,</w:t>
            </w:r>
            <w:r>
              <w:rPr>
                <w:rFonts w:ascii="Arial;Helvetica;Sans-Serif" w:hAnsi="Arial;Helvetica;Sans-Serif"/>
                <w:b w:val="false"/>
                <w:i w:val="false"/>
                <w:caps w:val="false"/>
                <w:smallCaps w:val="false"/>
                <w:sz w:val="20"/>
              </w:rPr>
              <w:t xml:space="preserve"> both in LC and FC. This decline was driven primarily by a drop in deposit volumes in LC and FC at BCP Stand-alone and Mibanco, which reflected the impact of two factors: i) a decrease in client liquidity levels, which were impacted by inflation which eroded buying power, and ii) internal fund migration to higher-yield deposits. Notably, the drop deposits at BCP Stand-alone are lower than that registered by the system as a whole.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7.5% reduction (-5.62%, FX neutral) in </w:t>
            </w:r>
            <w:r>
              <w:rPr>
                <w:rFonts w:ascii="Arial;Helvetica;Sans-Serif" w:hAnsi="Arial;Helvetica;Sans-Serif"/>
                <w:b/>
                <w:i w:val="false"/>
                <w:caps w:val="false"/>
                <w:smallCaps w:val="false"/>
                <w:sz w:val="20"/>
              </w:rPr>
              <w:t>Demand Deposits</w:t>
            </w:r>
            <w:r>
              <w:rPr>
                <w:rFonts w:ascii="Arial;Helvetica;Sans-Serif" w:hAnsi="Arial;Helvetica;Sans-Serif"/>
                <w:b w:val="false"/>
                <w:i w:val="false"/>
                <w:caps w:val="false"/>
                <w:smallCaps w:val="false"/>
                <w:sz w:val="20"/>
              </w:rPr>
              <w:t xml:space="preserve"> was driven primarily by a drop in LC deposits at BCP Stand-alone, which reflected a seasonal impact linked to income tax payments.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aforementioned was partially offset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4.4% growth (+6.37%, FX neutral) in </w:t>
            </w:r>
            <w:r>
              <w:rPr>
                <w:rFonts w:ascii="Arial;Helvetica;Sans-Serif" w:hAnsi="Arial;Helvetica;Sans-Serif"/>
                <w:b/>
                <w:i w:val="false"/>
                <w:caps w:val="false"/>
                <w:smallCaps w:val="false"/>
                <w:sz w:val="20"/>
              </w:rPr>
              <w:t>Time Deposits</w:t>
            </w:r>
            <w:r>
              <w:rPr>
                <w:rFonts w:ascii="Arial;Helvetica;Sans-Serif" w:hAnsi="Arial;Helvetica;Sans-Serif"/>
                <w:b w:val="false"/>
                <w:i w:val="false"/>
                <w:caps w:val="false"/>
                <w:smallCaps w:val="false"/>
                <w:sz w:val="20"/>
              </w:rPr>
              <w:t>, which was fueled primarily by Wholesale and Retail clients at BCP Stand-alone, who veered to higher-yield deposits in LC, and secondly by Mibanco clients, who also sought better rates. It is important to note that this increase was offset by a drop in FC deposits due to a decrease in the exchange rate.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Low-cost deposit volumes </w:t>
      </w:r>
      <w:r>
        <w:rPr>
          <w:rFonts w:ascii="Arial;Helvetica;Sans-Serif" w:hAnsi="Arial;Helvetica;Sans-Serif"/>
          <w:b/>
          <w:i w:val="false"/>
          <w:caps w:val="false"/>
          <w:smallCaps w:val="false"/>
          <w:sz w:val="20"/>
        </w:rPr>
        <w:t>(Demand + Savings)</w:t>
      </w:r>
      <w:r>
        <w:rPr>
          <w:rFonts w:ascii="Arial;Helvetica;Sans-Serif" w:hAnsi="Arial;Helvetica;Sans-Serif"/>
          <w:b w:val="false"/>
          <w:i w:val="false"/>
          <w:caps w:val="false"/>
          <w:smallCaps w:val="false"/>
          <w:sz w:val="20"/>
        </w:rPr>
        <w:t xml:space="preserve"> decreased 7.4% QoQ and 12.3% YoY. Notwithstanding, the deposit types continue to represent a significant share of total deposits at 65.1%. This level remains above the pre-pandemic print (62.0% at the end of December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22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0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2" descr=""/>
                          <pic:cNvPicPr>
                            <a:picLocks noChangeAspect="1" noChangeArrowheads="1"/>
                          </pic:cNvPicPr>
                        </pic:nvPicPr>
                        <pic:blipFill>
                          <a:blip r:embed="rId6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shd w:fill="E93CAC" w:val="clear"/>
            <w:vAlign w:val="center"/>
          </w:tcPr>
          <w:p>
            <w:pPr>
              <w:pStyle w:val="TableContents"/>
              <w:bidi w:val="0"/>
              <w:spacing w:before="0" w:after="283"/>
              <w:jc w:val="left"/>
              <w:rPr>
                <w:b/>
                <w:color w:val="FFFFFF"/>
                <w:sz w:val="24"/>
              </w:rPr>
            </w:pPr>
            <w:r>
              <w:rPr>
                <w:b/>
                <w:color w:val="FFFFFF"/>
                <w:sz w:val="24"/>
              </w:rPr>
              <w:t>02. Deposits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2"/>
        </w:rPr>
      </w:pPr>
      <w:r>
        <w:rPr>
          <w:rFonts w:ascii="Arial;Helvetica;Sans-Serif" w:hAnsi="Arial;Helvetica;Sans-Serif"/>
          <w:b/>
          <w:i/>
          <w:caps w:val="false"/>
          <w:smallCaps w:val="false"/>
          <w:sz w:val="22"/>
        </w:rPr>
        <w:t>Deposit Dollarization Level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0"/>
        <w:gridCol w:w="60"/>
        <w:gridCol w:w="5585"/>
      </w:tblGrid>
      <w:tr>
        <w:trPr/>
        <w:tc>
          <w:tcPr>
            <w:tcW w:w="4560"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Deposits by currency</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Currency deposits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6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2847975" cy="1362075"/>
                  <wp:effectExtent l="0" t="0" r="0" b="0"/>
                  <wp:docPr id="10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3" descr=""/>
                          <pic:cNvPicPr>
                            <a:picLocks noChangeAspect="1" noChangeArrowheads="1"/>
                          </pic:cNvPicPr>
                        </pic:nvPicPr>
                        <pic:blipFill>
                          <a:blip r:embed="rId69"/>
                          <a:stretch>
                            <a:fillRect/>
                          </a:stretch>
                        </pic:blipFill>
                        <pic:spPr bwMode="auto">
                          <a:xfrm>
                            <a:off x="0" y="0"/>
                            <a:ext cx="2847975" cy="1362075"/>
                          </a:xfrm>
                          <a:prstGeom prst="rect">
                            <a:avLst/>
                          </a:prstGeom>
                        </pic:spPr>
                      </pic:pic>
                    </a:graphicData>
                  </a:graphic>
                </wp:inline>
              </w:drawing>
            </w: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585" w:type="dxa"/>
            <w:tcBorders/>
            <w:vAlign w:val="center"/>
          </w:tcPr>
          <w:p>
            <w:pPr>
              <w:pStyle w:val="TableContents"/>
              <w:bidi w:val="0"/>
              <w:spacing w:before="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At the end of June 2023, the dollarization level for Total Deposits fell 50 bps QoQ. This drop was primarily driven by </w:t>
            </w:r>
            <w:r>
              <w:rPr>
                <w:rFonts w:ascii="Arial;Helvetica;Sans-Serif" w:hAnsi="Arial;Helvetica;Sans-Serif"/>
                <w:b/>
                <w:i w:val="false"/>
                <w:caps w:val="false"/>
                <w:smallCaps w:val="false"/>
                <w:color w:val="000000"/>
                <w:sz w:val="20"/>
              </w:rPr>
              <w:t>Time Deposits</w:t>
            </w:r>
            <w:r>
              <w:rPr>
                <w:rFonts w:ascii="Arial;Helvetica;Sans-Serif" w:hAnsi="Arial;Helvetica;Sans-Serif"/>
                <w:b w:val="false"/>
                <w:i w:val="false"/>
                <w:caps w:val="false"/>
                <w:smallCaps w:val="false"/>
                <w:color w:val="000000"/>
                <w:sz w:val="20"/>
              </w:rPr>
              <w:t xml:space="preserve">, which increased in LC on the back of an upswing in PEN and higher interest rates. </w:t>
            </w:r>
            <w:r>
              <w:rPr>
                <w:rFonts w:ascii="Arial;Helvetica;Sans-Serif" w:hAnsi="Arial;Helvetica;Sans-Serif"/>
                <w:b/>
                <w:i w:val="false"/>
                <w:caps w:val="false"/>
                <w:smallCaps w:val="false"/>
                <w:color w:val="000000"/>
                <w:sz w:val="20"/>
              </w:rPr>
              <w:t xml:space="preserve">Severance Deposits </w:t>
            </w:r>
            <w:r>
              <w:rPr>
                <w:rFonts w:ascii="Arial;Helvetica;Sans-Serif" w:hAnsi="Arial;Helvetica;Sans-Serif"/>
                <w:b w:val="false"/>
                <w:i w:val="false"/>
                <w:caps w:val="false"/>
                <w:smallCaps w:val="false"/>
                <w:color w:val="000000"/>
                <w:sz w:val="20"/>
              </w:rPr>
              <w:t>also contributed to this dynamic via a seasonal effect (deposit corresponding to May). At 49.2%, the dollarization level remains below the average reported for the last 2 years (50.5%).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YoY terms, the dollarization level fell 260bps due to a drop in </w:t>
      </w:r>
      <w:r>
        <w:rPr>
          <w:rFonts w:ascii="Arial;Helvetica;Sans-Serif" w:hAnsi="Arial;Helvetica;Sans-Serif"/>
          <w:b/>
          <w:i w:val="false"/>
          <w:caps w:val="false"/>
          <w:smallCaps w:val="false"/>
          <w:sz w:val="20"/>
        </w:rPr>
        <w:t>Demand Deposits</w:t>
      </w:r>
      <w:r>
        <w:rPr>
          <w:rFonts w:ascii="Arial;Helvetica;Sans-Serif" w:hAnsi="Arial;Helvetica;Sans-Serif"/>
          <w:b w:val="false"/>
          <w:i w:val="false"/>
          <w:caps w:val="false"/>
          <w:smallCaps w:val="false"/>
          <w:sz w:val="20"/>
        </w:rPr>
        <w:t xml:space="preserve"> in FC (-19.9%) and Savings Deposits in FC (-15.1%) and to an increase in </w:t>
      </w:r>
      <w:r>
        <w:rPr>
          <w:rFonts w:ascii="Arial;Helvetica;Sans-Serif" w:hAnsi="Arial;Helvetica;Sans-Serif"/>
          <w:b/>
          <w:i w:val="false"/>
          <w:caps w:val="false"/>
          <w:smallCaps w:val="false"/>
          <w:sz w:val="20"/>
        </w:rPr>
        <w:t>Time Deposits</w:t>
      </w:r>
      <w:r>
        <w:rPr>
          <w:rFonts w:ascii="Arial;Helvetica;Sans-Serif" w:hAnsi="Arial;Helvetica;Sans-Serif"/>
          <w:b w:val="false"/>
          <w:i w:val="false"/>
          <w:caps w:val="false"/>
          <w:smallCaps w:val="false"/>
          <w:sz w:val="20"/>
        </w:rPr>
        <w:t xml:space="preserve"> (28.8%). All three movements were fueled primarily by fund migration to higher-yield deposits.</w:t>
      </w:r>
    </w:p>
    <w:p>
      <w:pPr>
        <w:pStyle w:val="TextBody"/>
        <w:bidi w:val="0"/>
        <w:spacing w:before="0" w:after="0"/>
        <w:ind w:left="0" w:right="0" w:hanging="0"/>
        <w:jc w:val="both"/>
        <w:rPr>
          <w:caps w:val="false"/>
          <w:smallCaps w:val="false"/>
        </w:rPr>
      </w:pPr>
      <w:r>
        <w:rPr>
          <w:caps w:val="false"/>
          <w:smallCaps w:val="false"/>
        </w:rPr>
        <w:t> </w:t>
      </w:r>
    </w:p>
    <w:tbl>
      <w:tblPr>
        <w:tblW w:w="10590" w:type="dxa"/>
        <w:jc w:val="left"/>
        <w:tblInd w:w="0" w:type="dxa"/>
        <w:tblLayout w:type="fixed"/>
        <w:tblCellMar>
          <w:top w:w="0" w:type="dxa"/>
          <w:left w:w="0" w:type="dxa"/>
          <w:bottom w:w="0" w:type="dxa"/>
          <w:right w:w="0" w:type="dxa"/>
        </w:tblCellMar>
      </w:tblPr>
      <w:tblGrid>
        <w:gridCol w:w="10590"/>
      </w:tblGrid>
      <w:tr>
        <w:trPr/>
        <w:tc>
          <w:tcPr>
            <w:tcW w:w="10590"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Deposits by currency and type</w:t>
            </w:r>
          </w:p>
          <w:p>
            <w:pPr>
              <w:pStyle w:val="TableContents"/>
              <w:bidi w:val="0"/>
              <w:spacing w:before="0" w:after="0"/>
              <w:ind w:left="0" w:right="0" w:hanging="0"/>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(measured in quarter-end balances)</w:t>
            </w:r>
          </w:p>
        </w:tc>
      </w:tr>
      <w:tr>
        <w:trPr/>
        <w:tc>
          <w:tcPr>
            <w:tcW w:w="105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90" w:type="dxa"/>
            <w:tcBorders/>
            <w:vAlign w:val="center"/>
          </w:tcPr>
          <w:p>
            <w:pPr>
              <w:pStyle w:val="TableContents"/>
              <w:bidi w:val="0"/>
              <w:spacing w:before="0" w:after="283"/>
              <w:jc w:val="center"/>
              <w:rPr>
                <w:caps w:val="false"/>
                <w:smallCaps w:val="false"/>
              </w:rPr>
            </w:pPr>
            <w:r>
              <w:rPr>
                <w:caps w:val="false"/>
                <w:smallCaps w:val="false"/>
              </w:rPr>
              <w:t> </w:t>
            </w:r>
            <w:r>
              <w:rPr>
                <w:caps w:val="false"/>
                <w:smallCaps w:val="false"/>
              </w:rPr>
              <w:drawing>
                <wp:inline distT="0" distB="0" distL="0" distR="0">
                  <wp:extent cx="6667500" cy="1457325"/>
                  <wp:effectExtent l="0" t="0" r="0" b="0"/>
                  <wp:docPr id="10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4" descr=""/>
                          <pic:cNvPicPr>
                            <a:picLocks noChangeAspect="1" noChangeArrowheads="1"/>
                          </pic:cNvPicPr>
                        </pic:nvPicPr>
                        <pic:blipFill>
                          <a:blip r:embed="rId70"/>
                          <a:stretch>
                            <a:fillRect/>
                          </a:stretch>
                        </pic:blipFill>
                        <pic:spPr bwMode="auto">
                          <a:xfrm>
                            <a:off x="0" y="0"/>
                            <a:ext cx="6667500" cy="1457325"/>
                          </a:xfrm>
                          <a:prstGeom prst="rect">
                            <a:avLst/>
                          </a:prstGeom>
                        </pic:spPr>
                      </pic:pic>
                    </a:graphicData>
                  </a:graphic>
                </wp:inline>
              </w:drawing>
            </w:r>
          </w:p>
        </w:tc>
      </w:tr>
      <w:tr>
        <w:trPr/>
        <w:tc>
          <w:tcPr>
            <w:tcW w:w="105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Loan / Deposit Ratio (L/D Ratio)</w:t>
      </w:r>
    </w:p>
    <w:p>
      <w:pPr>
        <w:pStyle w:val="TextBody"/>
        <w:bidi w:val="0"/>
        <w:spacing w:before="0" w:after="0"/>
        <w:ind w:left="0" w:right="0" w:hanging="0"/>
        <w:jc w:val="both"/>
        <w:rPr>
          <w:caps w:val="false"/>
          <w:smallCaps w:val="false"/>
        </w:rPr>
      </w:pPr>
      <w:r>
        <w:rPr>
          <w:caps w:val="false"/>
          <w:smallCaps w:val="false"/>
        </w:rPr>
        <w:t> </w:t>
      </w:r>
    </w:p>
    <w:tbl>
      <w:tblPr>
        <w:tblW w:w="10935" w:type="dxa"/>
        <w:jc w:val="left"/>
        <w:tblInd w:w="0" w:type="dxa"/>
        <w:tblLayout w:type="fixed"/>
        <w:tblCellMar>
          <w:top w:w="0" w:type="dxa"/>
          <w:left w:w="0" w:type="dxa"/>
          <w:bottom w:w="0" w:type="dxa"/>
          <w:right w:w="0" w:type="dxa"/>
        </w:tblCellMar>
      </w:tblPr>
      <w:tblGrid>
        <w:gridCol w:w="5325"/>
        <w:gridCol w:w="60"/>
        <w:gridCol w:w="5550"/>
      </w:tblGrid>
      <w:tr>
        <w:trPr/>
        <w:tc>
          <w:tcPr>
            <w:tcW w:w="532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3333750" cy="1590675"/>
                  <wp:effectExtent l="0" t="0" r="0" b="0"/>
                  <wp:docPr id="10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5" descr=""/>
                          <pic:cNvPicPr>
                            <a:picLocks noChangeAspect="1" noChangeArrowheads="1"/>
                          </pic:cNvPicPr>
                        </pic:nvPicPr>
                        <pic:blipFill>
                          <a:blip r:embed="rId71"/>
                          <a:stretch>
                            <a:fillRect/>
                          </a:stretch>
                        </pic:blipFill>
                        <pic:spPr bwMode="auto">
                          <a:xfrm>
                            <a:off x="0" y="0"/>
                            <a:ext cx="3333750" cy="1590675"/>
                          </a:xfrm>
                          <a:prstGeom prst="rect">
                            <a:avLst/>
                          </a:prstGeom>
                        </pic:spPr>
                      </pic:pic>
                    </a:graphicData>
                  </a:graphic>
                </wp:inline>
              </w:drawing>
            </w: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550"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The L/D ratio increased 210bps and fell 220bps QoQ at BCP Stand-alone and Mibanco, respectively. The uptick at BCP Stand-alone was associated with a drop in total deposits, which was led by a reduction in </w:t>
            </w:r>
            <w:r>
              <w:rPr>
                <w:rFonts w:ascii="Arial;Helvetica;Sans-Serif" w:hAnsi="Arial;Helvetica;Sans-Serif"/>
                <w:b/>
                <w:i w:val="false"/>
                <w:caps w:val="false"/>
                <w:smallCaps w:val="false"/>
                <w:color w:val="000000"/>
                <w:sz w:val="20"/>
              </w:rPr>
              <w:t>Savings Deposits and Demand Deposits</w:t>
            </w:r>
            <w:r>
              <w:rPr>
                <w:rFonts w:ascii="Arial;Helvetica;Sans-Serif" w:hAnsi="Arial;Helvetica;Sans-Serif"/>
                <w:b w:val="false"/>
                <w:i w:val="false"/>
                <w:caps w:val="false"/>
                <w:smallCaps w:val="false"/>
                <w:color w:val="000000"/>
                <w:sz w:val="20"/>
              </w:rPr>
              <w:t xml:space="preserve"> in a context of high interest rates and a system-wide drop in deposits. The reduction at Mibanco was driven by growth in total deposits, which was mainly fueled by an uptick in Time Deposits in LC. In this context, BAP’s L/D ratio stood at 99.6%.</w:t>
            </w:r>
          </w:p>
        </w:tc>
      </w:tr>
      <w:tr>
        <w:trPr/>
        <w:tc>
          <w:tcPr>
            <w:tcW w:w="532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5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2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L/D Ratio in Local Currency</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55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L/D Ratio in Foreign Currency</w:t>
            </w:r>
          </w:p>
        </w:tc>
      </w:tr>
      <w:tr>
        <w:trPr/>
        <w:tc>
          <w:tcPr>
            <w:tcW w:w="53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55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25" w:type="dxa"/>
            <w:tcBorders/>
            <w:vAlign w:val="center"/>
          </w:tcPr>
          <w:p>
            <w:pPr>
              <w:pStyle w:val="TableContents"/>
              <w:bidi w:val="0"/>
              <w:spacing w:before="0" w:after="283"/>
              <w:jc w:val="center"/>
              <w:rPr>
                <w:caps w:val="false"/>
                <w:smallCaps w:val="false"/>
              </w:rPr>
            </w:pPr>
            <w:r>
              <w:rPr>
                <w:caps w:val="false"/>
                <w:smallCaps w:val="false"/>
              </w:rPr>
              <w:t> </w:t>
            </w:r>
            <w:r>
              <w:rPr>
                <w:caps w:val="false"/>
                <w:smallCaps w:val="false"/>
              </w:rPr>
              <w:drawing>
                <wp:inline distT="0" distB="0" distL="0" distR="0">
                  <wp:extent cx="3333750" cy="1743075"/>
                  <wp:effectExtent l="0" t="0" r="0" b="0"/>
                  <wp:docPr id="10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6" descr=""/>
                          <pic:cNvPicPr>
                            <a:picLocks noChangeAspect="1" noChangeArrowheads="1"/>
                          </pic:cNvPicPr>
                        </pic:nvPicPr>
                        <pic:blipFill>
                          <a:blip r:embed="rId72"/>
                          <a:stretch>
                            <a:fillRect/>
                          </a:stretch>
                        </pic:blipFill>
                        <pic:spPr bwMode="auto">
                          <a:xfrm>
                            <a:off x="0" y="0"/>
                            <a:ext cx="3333750" cy="1743075"/>
                          </a:xfrm>
                          <a:prstGeom prst="rect">
                            <a:avLst/>
                          </a:prstGeom>
                        </pic:spPr>
                      </pic:pic>
                    </a:graphicData>
                  </a:graphic>
                </wp:inline>
              </w:drawing>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55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3476625" cy="1619250"/>
                  <wp:effectExtent l="0" t="0" r="0" b="0"/>
                  <wp:docPr id="10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7" descr=""/>
                          <pic:cNvPicPr>
                            <a:picLocks noChangeAspect="1" noChangeArrowheads="1"/>
                          </pic:cNvPicPr>
                        </pic:nvPicPr>
                        <pic:blipFill>
                          <a:blip r:embed="rId73"/>
                          <a:stretch>
                            <a:fillRect/>
                          </a:stretch>
                        </pic:blipFill>
                        <pic:spPr bwMode="auto">
                          <a:xfrm>
                            <a:off x="0" y="0"/>
                            <a:ext cx="3476625" cy="1619250"/>
                          </a:xfrm>
                          <a:prstGeom prst="rect">
                            <a:avLst/>
                          </a:prstGeom>
                        </pic:spPr>
                      </pic:pic>
                    </a:graphicData>
                  </a:graphic>
                </wp:inline>
              </w:drawing>
            </w:r>
            <w:r>
              <w:rPr>
                <w:caps w:val="false"/>
                <w:smallCaps w:val="false"/>
              </w:rPr>
              <w:t> </w:t>
            </w:r>
          </w:p>
        </w:tc>
      </w:tr>
    </w:tbl>
    <w:p>
      <w:pPr>
        <w:pStyle w:val="TextBody"/>
        <w:bidi w:val="0"/>
        <w:spacing w:before="0" w:after="0"/>
        <w:ind w:left="0" w:right="0" w:firstLine="400"/>
        <w:jc w:val="left"/>
        <w:rPr>
          <w:caps w:val="false"/>
          <w:smallCaps w:val="false"/>
          <w:color w:val="FF0000"/>
        </w:rPr>
      </w:pPr>
      <w:r>
        <w:rPr>
          <w:caps w:val="false"/>
          <w:smallCaps w:val="false"/>
          <w:color w:val="FF0000"/>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23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0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8" descr=""/>
                          <pic:cNvPicPr>
                            <a:picLocks noChangeAspect="1" noChangeArrowheads="1"/>
                          </pic:cNvPicPr>
                        </pic:nvPicPr>
                        <pic:blipFill>
                          <a:blip r:embed="rId74"/>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shd w:fill="E93CAC" w:val="clear"/>
            <w:vAlign w:val="center"/>
          </w:tcPr>
          <w:p>
            <w:pPr>
              <w:pStyle w:val="TableContents"/>
              <w:bidi w:val="0"/>
              <w:spacing w:before="0" w:after="283"/>
              <w:jc w:val="left"/>
              <w:rPr>
                <w:b/>
                <w:color w:val="FFFFFF"/>
                <w:sz w:val="24"/>
              </w:rPr>
            </w:pPr>
            <w:r>
              <w:rPr>
                <w:b/>
                <w:color w:val="FFFFFF"/>
                <w:sz w:val="24"/>
              </w:rPr>
              <w:t>02. Deposits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2"/>
        </w:rPr>
      </w:pPr>
      <w:r>
        <w:rPr>
          <w:rFonts w:ascii="Arial;Helvetica;Sans-Serif" w:hAnsi="Arial;Helvetica;Sans-Serif"/>
          <w:b/>
          <w:i/>
          <w:caps w:val="false"/>
          <w:smallCaps w:val="false"/>
          <w:sz w:val="22"/>
        </w:rPr>
        <w:t>Share of the Deposit Market in the Peruvian Financial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2457450"/>
            <wp:effectExtent l="0" t="0" r="0" b="0"/>
            <wp:docPr id="10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9" descr=""/>
                    <pic:cNvPicPr>
                      <a:picLocks noChangeAspect="1" noChangeArrowheads="1"/>
                    </pic:cNvPicPr>
                  </pic:nvPicPr>
                  <pic:blipFill>
                    <a:blip r:embed="rId75"/>
                    <a:stretch>
                      <a:fillRect/>
                    </a:stretch>
                  </pic:blipFill>
                  <pic:spPr bwMode="auto">
                    <a:xfrm>
                      <a:off x="0" y="0"/>
                      <a:ext cx="6667500" cy="245745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At the end of June 2023, the MS of </w:t>
      </w:r>
      <w:r>
        <w:rPr>
          <w:rFonts w:ascii="Arial;Helvetica;Sans-Serif" w:hAnsi="Arial;Helvetica;Sans-Serif"/>
          <w:b/>
          <w:i w:val="false"/>
          <w:caps w:val="false"/>
          <w:smallCaps w:val="false"/>
          <w:sz w:val="20"/>
        </w:rPr>
        <w:t>Total Deposits</w:t>
      </w:r>
      <w:r>
        <w:rPr>
          <w:rFonts w:ascii="Arial;Helvetica;Sans-Serif" w:hAnsi="Arial;Helvetica;Sans-Serif"/>
          <w:b w:val="false"/>
          <w:i w:val="false"/>
          <w:caps w:val="false"/>
          <w:smallCaps w:val="false"/>
          <w:sz w:val="20"/>
        </w:rPr>
        <w:t xml:space="preserve"> held at BCP Stand-alone and Mibanco in Peru stood at 31.8% and 2.5% (-103bps and 18bps with regard to June 2022) respectively, with BCP Stand-alone maintaining a market leading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drop in low-cost deposits was seen system-wide, and BCP Stand-alone was no exception. In this context, BCP Stand-alone continued to lead the low-cost deposit market YoY with an MS of 40.0% at the end of June 2023 (+19bps with regard to June 2022). This leadership is reflected in the expansion registered in our MS of </w:t>
      </w:r>
      <w:r>
        <w:rPr>
          <w:rFonts w:ascii="Arial;Helvetica;Sans-Serif" w:hAnsi="Arial;Helvetica;Sans-Serif"/>
          <w:b/>
          <w:i w:val="false"/>
          <w:caps w:val="false"/>
          <w:smallCaps w:val="false"/>
          <w:sz w:val="20"/>
        </w:rPr>
        <w:t xml:space="preserve">Savings Deposits, </w:t>
      </w:r>
      <w:r>
        <w:rPr>
          <w:rFonts w:ascii="Arial;Helvetica;Sans-Serif" w:hAnsi="Arial;Helvetica;Sans-Serif"/>
          <w:b w:val="false"/>
          <w:i w:val="false"/>
          <w:caps w:val="false"/>
          <w:smallCaps w:val="false"/>
          <w:sz w:val="20"/>
        </w:rPr>
        <w:t xml:space="preserve">which was equivalent to 111 bps. BCP Stand-alone also reported an increase in its share of </w:t>
      </w:r>
      <w:r>
        <w:rPr>
          <w:rFonts w:ascii="Arial;Helvetica;Sans-Serif" w:hAnsi="Arial;Helvetica;Sans-Serif"/>
          <w:b/>
          <w:i w:val="false"/>
          <w:caps w:val="false"/>
          <w:smallCaps w:val="false"/>
          <w:sz w:val="20"/>
        </w:rPr>
        <w:t>Time Deposits</w:t>
      </w:r>
      <w:r>
        <w:rPr>
          <w:rFonts w:ascii="Arial;Helvetica;Sans-Serif" w:hAnsi="Arial;Helvetica;Sans-Serif"/>
          <w:b w:val="false"/>
          <w:i w:val="false"/>
          <w:caps w:val="false"/>
          <w:smallCaps w:val="false"/>
          <w:sz w:val="20"/>
        </w:rPr>
        <w:t>, which were bolstered by funds that migrated from low-cost alternatives in search of higher yields.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24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0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0" descr=""/>
                          <pic:cNvPicPr>
                            <a:picLocks noChangeAspect="1" noChangeArrowheads="1"/>
                          </pic:cNvPicPr>
                        </pic:nvPicPr>
                        <pic:blipFill>
                          <a:blip r:embed="rId76"/>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575"/>
        <w:gridCol w:w="6710"/>
      </w:tblGrid>
      <w:tr>
        <w:trPr/>
        <w:tc>
          <w:tcPr>
            <w:tcW w:w="575" w:type="dxa"/>
            <w:tcBorders/>
            <w:vAlign w:val="center"/>
          </w:tcPr>
          <w:p>
            <w:pPr>
              <w:pStyle w:val="TableContents"/>
              <w:bidi w:val="0"/>
              <w:spacing w:before="0" w:after="283"/>
              <w:jc w:val="left"/>
              <w:rPr>
                <w:rFonts w:ascii="Arial;Helvetica;Sans-Serif" w:hAnsi="Arial;Helvetica;Sans-Serif"/>
                <w:b/>
                <w:i w:val="false"/>
                <w:caps w:val="false"/>
                <w:smallCaps w:val="false"/>
                <w:color w:val="E93CAC"/>
                <w:sz w:val="48"/>
              </w:rPr>
            </w:pPr>
            <w:r>
              <w:rPr>
                <w:rFonts w:ascii="Arial;Helvetica;Sans-Serif" w:hAnsi="Arial;Helvetica;Sans-Serif"/>
                <w:b/>
                <w:i w:val="false"/>
                <w:caps w:val="false"/>
                <w:smallCaps w:val="false"/>
                <w:color w:val="E93CAC"/>
                <w:sz w:val="48"/>
              </w:rPr>
              <w:t>03</w:t>
            </w:r>
          </w:p>
        </w:tc>
        <w:tc>
          <w:tcPr>
            <w:tcW w:w="671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E93CAC"/>
                <w:sz w:val="36"/>
              </w:rPr>
            </w:pPr>
            <w:r>
              <w:rPr>
                <w:rFonts w:ascii="Arial;Helvetica;Sans-Serif" w:hAnsi="Arial;Helvetica;Sans-Serif"/>
                <w:b w:val="false"/>
                <w:i w:val="false"/>
                <w:caps w:val="false"/>
                <w:smallCaps w:val="false"/>
                <w:color w:val="E93CAC"/>
                <w:sz w:val="36"/>
              </w:rPr>
              <w:t>Interest-earning Assets (IEA) and Funding</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At the end of 2Q23, IEAs dropped 1.7% in QoQ terms. This decline was driven by a reduction in balances for Loans and Available Funds and was offset by an increase in Total investments. Structural loans fell 1.6%, driven downward by a decrease in Wholesale Banking balances. YoY, IEAs dropped 1.3%, driven primarily by a reduction in Loan balances in a context marked by a downward shift in the exchange rate.</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 xml:space="preserve">Funding decreased 0.5% QoQ and 2.5% YoY. This evolution was driven by a drop in balances for Deposits and Obligations, which was attributable to a decrease in balances from Savings Deposits and Current Accounts. The reduction registered in Bonds and Notes Issued also impacted funding, albeit to a lesser degree.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3.1. IEA1</w:t>
      </w:r>
    </w:p>
    <w:p>
      <w:pPr>
        <w:pStyle w:val="TextBody"/>
        <w:bidi w:val="0"/>
        <w:spacing w:before="0" w:after="0"/>
        <w:ind w:left="0" w:right="0" w:hanging="0"/>
        <w:jc w:val="left"/>
        <w:rPr>
          <w:caps w:val="false"/>
          <w:smallCaps w:val="false"/>
        </w:rPr>
      </w:pPr>
      <w:r>
        <w:rPr>
          <w:caps w:val="false"/>
          <w:smallCaps w:val="false"/>
        </w:rPr>
        <w:t> </w:t>
      </w:r>
    </w:p>
    <w:tbl>
      <w:tblPr>
        <w:tblW w:w="9120" w:type="dxa"/>
        <w:jc w:val="left"/>
        <w:tblInd w:w="-10" w:type="dxa"/>
        <w:tblLayout w:type="fixed"/>
        <w:tblCellMar>
          <w:top w:w="28" w:type="dxa"/>
          <w:left w:w="60" w:type="dxa"/>
          <w:bottom w:w="0" w:type="dxa"/>
          <w:right w:w="60" w:type="dxa"/>
        </w:tblCellMar>
      </w:tblPr>
      <w:tblGrid>
        <w:gridCol w:w="5405"/>
        <w:gridCol w:w="920"/>
        <w:gridCol w:w="920"/>
        <w:gridCol w:w="920"/>
        <w:gridCol w:w="485"/>
        <w:gridCol w:w="470"/>
      </w:tblGrid>
      <w:tr>
        <w:trPr/>
        <w:tc>
          <w:tcPr>
            <w:tcW w:w="540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Interest Earning Assets</w:t>
            </w:r>
          </w:p>
        </w:tc>
        <w:tc>
          <w:tcPr>
            <w:tcW w:w="2760" w:type="dxa"/>
            <w:gridSpan w:val="3"/>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As of</w:t>
            </w:r>
          </w:p>
        </w:tc>
        <w:tc>
          <w:tcPr>
            <w:tcW w:w="955" w:type="dxa"/>
            <w:gridSpan w:val="2"/>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r>
      <w:tr>
        <w:trPr/>
        <w:tc>
          <w:tcPr>
            <w:tcW w:w="5405"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760" w:type="dxa"/>
            <w:gridSpan w:val="3"/>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c>
          <w:tcPr>
            <w:tcW w:w="955" w:type="dxa"/>
            <w:gridSpan w:val="2"/>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r>
      <w:tr>
        <w:trPr/>
        <w:tc>
          <w:tcPr>
            <w:tcW w:w="540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S/000</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22</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Mar 23</w:t>
            </w:r>
          </w:p>
        </w:tc>
        <w:tc>
          <w:tcPr>
            <w:tcW w:w="92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23</w:t>
            </w:r>
          </w:p>
        </w:tc>
        <w:tc>
          <w:tcPr>
            <w:tcW w:w="48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QoQ</w:t>
            </w:r>
          </w:p>
        </w:tc>
        <w:tc>
          <w:tcPr>
            <w:tcW w:w="47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YoY</w:t>
            </w:r>
          </w:p>
        </w:tc>
      </w:tr>
      <w:tr>
        <w:trPr/>
        <w:tc>
          <w:tcPr>
            <w:tcW w:w="540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Cash and due from banks</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23,831,465</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28,158,941</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26,036,894</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w:t>
            </w:r>
          </w:p>
        </w:tc>
        <w:tc>
          <w:tcPr>
            <w:tcW w:w="47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9.3%</w:t>
            </w:r>
          </w:p>
        </w:tc>
      </w:tr>
      <w:tr>
        <w:trPr/>
        <w:tc>
          <w:tcPr>
            <w:tcW w:w="540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Total investments</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45,342,775</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47,729,504</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48,035,351</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0.6%</w:t>
            </w:r>
          </w:p>
        </w:tc>
        <w:tc>
          <w:tcPr>
            <w:tcW w:w="47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w:t>
            </w:r>
          </w:p>
        </w:tc>
      </w:tr>
      <w:tr>
        <w:trPr/>
        <w:tc>
          <w:tcPr>
            <w:tcW w:w="540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Cash collateral, reverse repurchase agreements and securities borrowing</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2,046,209</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1,468,180</w:t>
            </w:r>
          </w:p>
        </w:tc>
        <w:tc>
          <w:tcPr>
            <w:tcW w:w="92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1,863,243</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26.9%</w:t>
            </w:r>
          </w:p>
        </w:tc>
        <w:tc>
          <w:tcPr>
            <w:tcW w:w="47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-8.9%</w:t>
            </w:r>
          </w:p>
        </w:tc>
      </w:tr>
      <w:tr>
        <w:trPr/>
        <w:tc>
          <w:tcPr>
            <w:tcW w:w="5405"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Total loans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150,370,184</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145,165,713</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142,845,549</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w:t>
            </w:r>
          </w:p>
        </w:tc>
      </w:tr>
      <w:tr>
        <w:trPr/>
        <w:tc>
          <w:tcPr>
            <w:tcW w:w="5405"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Total interest earning assets</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221,590,633</w:t>
            </w:r>
          </w:p>
        </w:tc>
        <w:tc>
          <w:tcPr>
            <w:tcW w:w="92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222,522,338</w:t>
            </w:r>
          </w:p>
        </w:tc>
        <w:tc>
          <w:tcPr>
            <w:tcW w:w="9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218,781,037</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-1.7%</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IEA dropped 1.7% QoQ due to a decrease in balances for Loans and Available Funds, which was partially offset by an uptick in Total investments and in Cash collateral, reverse repurchase agreements and securities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Loans fell 1.6% QoQ due to the impact of amortizations of Government Program Loans (GP) and to a drop in the exchange rate. Available funds fell this quarter after having registered a seasonal peak in liquidity in 1Q23, which reflected the impact of income tax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IEAs reported a reduction of 1.3% due to a decrease in Loans. Structural loans dropped over the period due to a reduction in disbursements in Wholesale Banking and in Middle Market Banking in particular. It is important to note that the drop in the exchange rate generated a negative effect YoY.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Investments, in turn, rose YoY due to purchases of sovereign bonds. Cash and due from banks also registered growth in year-over-year terms after the trading position in US Dollars was increased and monetized via overnight deposits in BCR.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3.2. Funding</w:t>
      </w:r>
    </w:p>
    <w:p>
      <w:pPr>
        <w:pStyle w:val="TextBody"/>
        <w:bidi w:val="0"/>
        <w:spacing w:before="0" w:after="0"/>
        <w:ind w:left="0" w:right="0" w:hanging="0"/>
        <w:jc w:val="left"/>
        <w:rPr>
          <w:caps w:val="false"/>
          <w:smallCaps w:val="false"/>
        </w:rPr>
      </w:pPr>
      <w:r>
        <w:rPr>
          <w:caps w:val="false"/>
          <w:smallCaps w:val="false"/>
        </w:rPr>
        <w:t> </w:t>
      </w:r>
    </w:p>
    <w:tbl>
      <w:tblPr>
        <w:tblW w:w="7710" w:type="dxa"/>
        <w:jc w:val="left"/>
        <w:tblInd w:w="-10" w:type="dxa"/>
        <w:tblLayout w:type="fixed"/>
        <w:tblCellMar>
          <w:top w:w="28" w:type="dxa"/>
          <w:left w:w="60" w:type="dxa"/>
          <w:bottom w:w="0" w:type="dxa"/>
          <w:right w:w="60" w:type="dxa"/>
        </w:tblCellMar>
      </w:tblPr>
      <w:tblGrid>
        <w:gridCol w:w="3905"/>
        <w:gridCol w:w="920"/>
        <w:gridCol w:w="920"/>
        <w:gridCol w:w="920"/>
        <w:gridCol w:w="485"/>
        <w:gridCol w:w="560"/>
      </w:tblGrid>
      <w:tr>
        <w:trPr/>
        <w:tc>
          <w:tcPr>
            <w:tcW w:w="390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Funding</w:t>
            </w:r>
          </w:p>
        </w:tc>
        <w:tc>
          <w:tcPr>
            <w:tcW w:w="2760" w:type="dxa"/>
            <w:gridSpan w:val="3"/>
            <w:vMerge w:val="restart"/>
            <w:tcBorders>
              <w:top w:val="single" w:sz="8" w:space="0" w:color="000000"/>
            </w:tcBorders>
            <w:shd w:fill="2AD2C9" w:val="clear"/>
            <w:tcMar>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As of</w:t>
            </w:r>
          </w:p>
        </w:tc>
        <w:tc>
          <w:tcPr>
            <w:tcW w:w="1045" w:type="dxa"/>
            <w:gridSpan w:val="2"/>
            <w:vMerge w:val="restart"/>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r>
      <w:tr>
        <w:trPr/>
        <w:tc>
          <w:tcPr>
            <w:tcW w:w="3905"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760" w:type="dxa"/>
            <w:gridSpan w:val="3"/>
            <w:vMerge w:val="continue"/>
            <w:tcBorders>
              <w:top w:val="single" w:sz="8" w:space="0" w:color="000000"/>
            </w:tcBorders>
            <w:shd w:fill="2AD2C9" w:val="clear"/>
            <w:tcMar>
              <w:left w:w="0" w:type="dxa"/>
              <w:right w:w="0" w:type="dxa"/>
            </w:tcMar>
            <w:vAlign w:val="center"/>
          </w:tcPr>
          <w:p>
            <w:pPr>
              <w:pStyle w:val="Normal"/>
              <w:bidi w:val="0"/>
              <w:jc w:val="left"/>
              <w:rPr/>
            </w:pPr>
            <w:r>
              <w:rPr/>
            </w:r>
          </w:p>
        </w:tc>
        <w:tc>
          <w:tcPr>
            <w:tcW w:w="1045" w:type="dxa"/>
            <w:gridSpan w:val="2"/>
            <w:vMerge w:val="continue"/>
            <w:tcBorders>
              <w:top w:val="single" w:sz="8" w:space="0" w:color="000000"/>
              <w:left w:val="single" w:sz="8" w:space="0" w:color="000000"/>
              <w:right w:val="single" w:sz="8" w:space="0" w:color="000000"/>
            </w:tcBorders>
            <w:shd w:fill="2AD2C9" w:val="clear"/>
            <w:vAlign w:val="center"/>
          </w:tcPr>
          <w:p>
            <w:pPr>
              <w:pStyle w:val="Normal"/>
              <w:bidi w:val="0"/>
              <w:jc w:val="left"/>
              <w:rPr/>
            </w:pPr>
            <w:r>
              <w:rPr/>
            </w:r>
          </w:p>
        </w:tc>
      </w:tr>
      <w:tr>
        <w:trPr/>
        <w:tc>
          <w:tcPr>
            <w:tcW w:w="390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S/000</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22</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Mar 23</w:t>
            </w:r>
          </w:p>
        </w:tc>
        <w:tc>
          <w:tcPr>
            <w:tcW w:w="9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23</w:t>
            </w:r>
          </w:p>
        </w:tc>
        <w:tc>
          <w:tcPr>
            <w:tcW w:w="485"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QoQ</w:t>
            </w:r>
          </w:p>
        </w:tc>
        <w:tc>
          <w:tcPr>
            <w:tcW w:w="56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YoY</w:t>
            </w:r>
          </w:p>
        </w:tc>
      </w:tr>
      <w:tr>
        <w:trPr/>
        <w:tc>
          <w:tcPr>
            <w:tcW w:w="390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Deposits and obligations</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147,440,576</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148,623,300</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143,387,717</w:t>
            </w:r>
          </w:p>
        </w:tc>
        <w:tc>
          <w:tcPr>
            <w:tcW w:w="485"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-2.7%</w:t>
            </w:r>
          </w:p>
        </w:tc>
      </w:tr>
      <w:tr>
        <w:trPr/>
        <w:tc>
          <w:tcPr>
            <w:tcW w:w="390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Due to banks and correspondents</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6,456,360</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10,199,650</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10,062,290</w:t>
            </w:r>
          </w:p>
        </w:tc>
        <w:tc>
          <w:tcPr>
            <w:tcW w:w="485"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55.9%</w:t>
            </w:r>
          </w:p>
        </w:tc>
      </w:tr>
      <w:tr>
        <w:trPr/>
        <w:tc>
          <w:tcPr>
            <w:tcW w:w="390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BCRP instruments</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16,031,618</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9,780,540</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11,772,772</w:t>
            </w:r>
          </w:p>
        </w:tc>
        <w:tc>
          <w:tcPr>
            <w:tcW w:w="485"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20.4%</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-26.6%</w:t>
            </w:r>
          </w:p>
        </w:tc>
      </w:tr>
      <w:tr>
        <w:trPr/>
        <w:tc>
          <w:tcPr>
            <w:tcW w:w="390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Repurchase agreements with clients and third parties</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2,107,245</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1,905,955</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2,534,108</w:t>
            </w:r>
          </w:p>
        </w:tc>
        <w:tc>
          <w:tcPr>
            <w:tcW w:w="485"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33.0%</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20.3%</w:t>
            </w:r>
          </w:p>
        </w:tc>
      </w:tr>
      <w:tr>
        <w:trPr/>
        <w:tc>
          <w:tcPr>
            <w:tcW w:w="390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Bonds and notes issued</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16,579,674</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14,326,930</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14,235,697</w:t>
            </w:r>
          </w:p>
        </w:tc>
        <w:tc>
          <w:tcPr>
            <w:tcW w:w="485" w:type="dxa"/>
            <w:tcBorders>
              <w:left w:val="single" w:sz="8" w:space="0" w:color="000000"/>
            </w:tcBorders>
            <w:tcMar>
              <w:top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-0.6%</w:t>
            </w:r>
          </w:p>
        </w:tc>
        <w:tc>
          <w:tcPr>
            <w:tcW w:w="56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-14.1%</w:t>
            </w:r>
          </w:p>
        </w:tc>
      </w:tr>
      <w:tr>
        <w:trPr/>
        <w:tc>
          <w:tcPr>
            <w:tcW w:w="390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Total funding</w:t>
            </w:r>
          </w:p>
        </w:tc>
        <w:tc>
          <w:tcPr>
            <w:tcW w:w="92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188,615,473</w:t>
            </w:r>
          </w:p>
        </w:tc>
        <w:tc>
          <w:tcPr>
            <w:tcW w:w="92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184,836,375</w:t>
            </w:r>
          </w:p>
        </w:tc>
        <w:tc>
          <w:tcPr>
            <w:tcW w:w="92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181,992,584</w:t>
            </w:r>
          </w:p>
        </w:tc>
        <w:tc>
          <w:tcPr>
            <w:tcW w:w="485" w:type="dxa"/>
            <w:tcBorders>
              <w:top w:val="single" w:sz="8" w:space="0" w:color="000000"/>
              <w:left w:val="single" w:sz="8" w:space="0" w:color="000000"/>
              <w:bottom w:val="single" w:sz="8" w:space="0" w:color="000000"/>
            </w:tcBorders>
            <w:tcMar>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-1.5%</w:t>
            </w:r>
          </w:p>
        </w:tc>
        <w:tc>
          <w:tcPr>
            <w:tcW w:w="56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-3.5%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QoQ and YoY, funding fell 1.5% and 3.5% respectively due to a reduction in Deposits and obligations. This was driven by a drop in balances of Savings Deposits and Current Accounts, which was partially offset by an uptick in Time deposits. Funding with BCRP instruments rose QoQ, driven by an upswing in repos. YoY, in contrast, funding via BCR instruments fell due to the expiration of GP repos. It is important to note that YoY growth in Due to banks and correspondents was attributable to a decision to increase short-term positions following the expiration of a BCP bond, which was not renewed due to high long-term interest rates.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Effective 1Q23, IEA does not include “Financial assets designated at Fair Value through P&amp;L” (mainly comprised of Investment Link contracts) as one of its components</w:t>
      </w:r>
    </w:p>
    <w:p>
      <w:pPr>
        <w:pStyle w:val="TextBody"/>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Effective 1Q23, Funding includes Repurchase agreements with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25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1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1" descr=""/>
                          <pic:cNvPicPr>
                            <a:picLocks noChangeAspect="1" noChangeArrowheads="1"/>
                          </pic:cNvPicPr>
                        </pic:nvPicPr>
                        <pic:blipFill>
                          <a:blip r:embed="rId77"/>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575"/>
        <w:gridCol w:w="3980"/>
      </w:tblGrid>
      <w:tr>
        <w:trPr/>
        <w:tc>
          <w:tcPr>
            <w:tcW w:w="575" w:type="dxa"/>
            <w:tcBorders/>
            <w:vAlign w:val="center"/>
          </w:tcPr>
          <w:p>
            <w:pPr>
              <w:pStyle w:val="TableContents"/>
              <w:bidi w:val="0"/>
              <w:spacing w:before="0" w:after="283"/>
              <w:jc w:val="left"/>
              <w:rPr>
                <w:rFonts w:ascii="Arial;Helvetica;Sans-Serif" w:hAnsi="Arial;Helvetica;Sans-Serif"/>
                <w:b/>
                <w:i w:val="false"/>
                <w:caps w:val="false"/>
                <w:smallCaps w:val="false"/>
                <w:color w:val="E93CAC"/>
                <w:sz w:val="48"/>
              </w:rPr>
            </w:pPr>
            <w:r>
              <w:rPr>
                <w:rFonts w:ascii="Arial;Helvetica;Sans-Serif" w:hAnsi="Arial;Helvetica;Sans-Serif"/>
                <w:b/>
                <w:i w:val="false"/>
                <w:caps w:val="false"/>
                <w:smallCaps w:val="false"/>
                <w:color w:val="E93CAC"/>
                <w:sz w:val="48"/>
              </w:rPr>
              <w:t>04</w:t>
            </w:r>
          </w:p>
        </w:tc>
        <w:tc>
          <w:tcPr>
            <w:tcW w:w="398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E93CAC"/>
                <w:sz w:val="36"/>
              </w:rPr>
            </w:pPr>
            <w:r>
              <w:rPr>
                <w:rFonts w:ascii="Arial;Helvetica;Sans-Serif" w:hAnsi="Arial;Helvetica;Sans-Serif"/>
                <w:b w:val="false"/>
                <w:i w:val="false"/>
                <w:caps w:val="false"/>
                <w:smallCaps w:val="false"/>
                <w:color w:val="E93CAC"/>
                <w:sz w:val="36"/>
              </w:rPr>
              <w:t>Net Interest Income (NII)</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jc w:val="both"/>
              <w:rPr>
                <w:rFonts w:ascii="Arial;Helvetica;Sans-Serif" w:hAnsi="Arial;Helvetica;Sans-Serif"/>
                <w:color w:val="FFFFFF"/>
                <w:sz w:val="20"/>
              </w:rPr>
            </w:pPr>
            <w:r>
              <w:rPr>
                <w:rFonts w:ascii="Arial;Helvetica;Sans-Serif" w:hAnsi="Arial;Helvetica;Sans-Serif"/>
                <w:color w:val="FFFFFF"/>
                <w:sz w:val="20"/>
              </w:rPr>
              <w:t>In 2Q23, Net Interest Income rose 2.3% QoQ. This evolution was due primarily to a shift in the loan mix towards to focus on higher yield segments and to moves to renew investments at higher rates. The uptick in the funding cost this quarter was partially offset by the IEA dynamic.</w:t>
            </w:r>
          </w:p>
          <w:p>
            <w:pPr>
              <w:pStyle w:val="TableContents"/>
              <w:bidi w:val="0"/>
              <w:jc w:val="both"/>
              <w:rPr/>
            </w:pPr>
            <w:r>
              <w:rPr/>
              <w:t> </w:t>
            </w:r>
          </w:p>
          <w:p>
            <w:pPr>
              <w:pStyle w:val="TableContents"/>
              <w:bidi w:val="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YoY, Net interest income increased 21.5% in a context marked by rising market rates. It is important to note that the uptick in interest expenses, which reflects growth in time deposits, was partially offset by substitutions with other sources of funding.</w:t>
            </w:r>
          </w:p>
          <w:p>
            <w:pPr>
              <w:pStyle w:val="TableContents"/>
              <w:bidi w:val="0"/>
              <w:jc w:val="both"/>
              <w:rPr>
                <w:caps w:val="false"/>
                <w:smallCaps w:val="false"/>
                <w:color w:val="FFFFFF"/>
              </w:rPr>
            </w:pPr>
            <w:r>
              <w:rPr>
                <w:caps w:val="false"/>
                <w:smallCaps w:val="false"/>
                <w:color w:val="FFFFFF"/>
              </w:rPr>
              <w:t> </w:t>
            </w:r>
          </w:p>
          <w:p>
            <w:pPr>
              <w:pStyle w:val="TableContents"/>
              <w:bidi w:val="0"/>
              <w:spacing w:before="0" w:after="283"/>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In this context in 2Q23, the Net Interest Margin (NIM) rose 18 bps QoQ and 110 bps YoY to stand at 6.02%. NIM continues to follow an upward trend, but the pace of growth has fallen. Finally, the Structural Net Interest Margin stood at 6.14%.</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0" w:type="dxa"/>
          <w:right w:w="60" w:type="dxa"/>
        </w:tblCellMar>
      </w:tblPr>
      <w:tblGrid>
        <w:gridCol w:w="3186"/>
        <w:gridCol w:w="1028"/>
        <w:gridCol w:w="1028"/>
        <w:gridCol w:w="1028"/>
        <w:gridCol w:w="406"/>
        <w:gridCol w:w="470"/>
        <w:gridCol w:w="1148"/>
        <w:gridCol w:w="1148"/>
        <w:gridCol w:w="763"/>
      </w:tblGrid>
      <w:tr>
        <w:trPr/>
        <w:tc>
          <w:tcPr>
            <w:tcW w:w="3186"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Net Interest Income / Margin</w:t>
            </w:r>
          </w:p>
        </w:tc>
        <w:tc>
          <w:tcPr>
            <w:tcW w:w="3084" w:type="dxa"/>
            <w:gridSpan w:val="3"/>
            <w:tcBorders>
              <w:top w:val="single" w:sz="8" w:space="0" w:color="000000"/>
            </w:tcBorders>
            <w:shd w:fill="2AD2C9" w:val="clear"/>
            <w:tcMar>
              <w:left w:w="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Quarter</w:t>
            </w:r>
          </w:p>
        </w:tc>
        <w:tc>
          <w:tcPr>
            <w:tcW w:w="876" w:type="dxa"/>
            <w:gridSpan w:val="2"/>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 change</w:t>
            </w:r>
          </w:p>
        </w:tc>
        <w:tc>
          <w:tcPr>
            <w:tcW w:w="2296"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As of</w:t>
            </w:r>
          </w:p>
        </w:tc>
        <w:tc>
          <w:tcPr>
            <w:tcW w:w="763"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 change</w:t>
            </w:r>
          </w:p>
        </w:tc>
      </w:tr>
      <w:tr>
        <w:trPr/>
        <w:tc>
          <w:tcPr>
            <w:tcW w:w="3186"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S/ 000</w:t>
            </w:r>
          </w:p>
        </w:tc>
        <w:tc>
          <w:tcPr>
            <w:tcW w:w="1028" w:type="dxa"/>
            <w:tcBorders/>
            <w:shd w:fill="2AD2C9" w:val="clear"/>
            <w:tcMar>
              <w:top w:w="0" w:type="dxa"/>
              <w:left w:w="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2Q22</w:t>
            </w:r>
          </w:p>
        </w:tc>
        <w:tc>
          <w:tcPr>
            <w:tcW w:w="1028" w:type="dxa"/>
            <w:tcBorders/>
            <w:shd w:fill="2AD2C9" w:val="clear"/>
            <w:tcMar>
              <w:top w:w="0" w:type="dxa"/>
              <w:left w:w="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1Q23</w:t>
            </w:r>
          </w:p>
        </w:tc>
        <w:tc>
          <w:tcPr>
            <w:tcW w:w="1028" w:type="dxa"/>
            <w:tcBorders/>
            <w:shd w:fill="2AD2C9" w:val="clear"/>
            <w:tcMar>
              <w:top w:w="0" w:type="dxa"/>
              <w:left w:w="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2Q23</w:t>
            </w:r>
          </w:p>
        </w:tc>
        <w:tc>
          <w:tcPr>
            <w:tcW w:w="406" w:type="dxa"/>
            <w:tcBorders>
              <w:left w:val="single" w:sz="8" w:space="0" w:color="000000"/>
            </w:tcBorders>
            <w:shd w:fill="2AD2C9" w:val="clear"/>
            <w:tcMar>
              <w:top w:w="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QoQ</w:t>
            </w:r>
          </w:p>
        </w:tc>
        <w:tc>
          <w:tcPr>
            <w:tcW w:w="470" w:type="dxa"/>
            <w:tcBorders>
              <w:right w:val="single" w:sz="8" w:space="0" w:color="000000"/>
            </w:tcBorders>
            <w:shd w:fill="2AD2C9" w:val="clear"/>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YoY</w:t>
            </w:r>
          </w:p>
        </w:tc>
        <w:tc>
          <w:tcPr>
            <w:tcW w:w="1148"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1H22</w:t>
            </w:r>
          </w:p>
        </w:tc>
        <w:tc>
          <w:tcPr>
            <w:tcW w:w="1148"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1H23</w:t>
            </w:r>
          </w:p>
        </w:tc>
        <w:tc>
          <w:tcPr>
            <w:tcW w:w="763"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1H23 / 1H22</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Interest Income</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3,488,113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4,456,106 </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4,653,246 </w:t>
            </w:r>
          </w:p>
        </w:tc>
        <w:tc>
          <w:tcPr>
            <w:tcW w:w="406"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4.4%</w:t>
            </w:r>
          </w:p>
        </w:tc>
        <w:tc>
          <w:tcPr>
            <w:tcW w:w="470"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33.4%</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6,660,459 </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9,109,352 </w:t>
            </w:r>
          </w:p>
        </w:tc>
        <w:tc>
          <w:tcPr>
            <w:tcW w:w="763"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36.8%</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Interest Expense</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(851,007)</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(1,324,017)</w:t>
            </w:r>
          </w:p>
        </w:tc>
        <w:tc>
          <w:tcPr>
            <w:tcW w:w="1028" w:type="dxa"/>
            <w:tcBorders>
              <w:right w:val="single" w:sz="8" w:space="0" w:color="000000"/>
            </w:tcBorders>
            <w:tcMar>
              <w:top w:w="0" w:type="dxa"/>
              <w:left w:w="0" w:type="dxa"/>
              <w:right w:w="4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(1,449,090)</w:t>
            </w:r>
          </w:p>
        </w:tc>
        <w:tc>
          <w:tcPr>
            <w:tcW w:w="406" w:type="dxa"/>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9.4%</w:t>
            </w:r>
          </w:p>
        </w:tc>
        <w:tc>
          <w:tcPr>
            <w:tcW w:w="470"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70.3%</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(1,591,646)</w:t>
            </w:r>
          </w:p>
        </w:tc>
        <w:tc>
          <w:tcPr>
            <w:tcW w:w="1148" w:type="dxa"/>
            <w:tcBorders>
              <w:right w:val="single" w:sz="8" w:space="0" w:color="000000"/>
            </w:tcBorders>
            <w:tcMar>
              <w:top w:w="0" w:type="dxa"/>
              <w:left w:w="0" w:type="dxa"/>
              <w:right w:w="4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(2,773,107)</w:t>
            </w:r>
          </w:p>
        </w:tc>
        <w:tc>
          <w:tcPr>
            <w:tcW w:w="763"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74.2%</w:t>
            </w:r>
          </w:p>
        </w:tc>
      </w:tr>
      <w:tr>
        <w:trPr/>
        <w:tc>
          <w:tcPr>
            <w:tcW w:w="3186" w:type="dxa"/>
            <w:tcBorders>
              <w:left w:val="single" w:sz="8" w:space="0" w:color="000000"/>
              <w:right w:val="single" w:sz="8" w:space="0" w:color="000000"/>
            </w:tcBorders>
            <w:tcMar>
              <w:top w:w="0" w:type="dxa"/>
              <w:left w:w="40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Interest Expense (excluding Net Insurance Financial Expenses)</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(747,047)</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(1,208,267)</w:t>
            </w:r>
          </w:p>
        </w:tc>
        <w:tc>
          <w:tcPr>
            <w:tcW w:w="1028" w:type="dxa"/>
            <w:tcBorders>
              <w:right w:val="single" w:sz="8" w:space="0" w:color="000000"/>
            </w:tcBorders>
            <w:tcMar>
              <w:top w:w="0" w:type="dxa"/>
              <w:left w:w="0" w:type="dxa"/>
              <w:right w:w="4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(1,333,924)</w:t>
            </w:r>
          </w:p>
        </w:tc>
        <w:tc>
          <w:tcPr>
            <w:tcW w:w="406"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10.4%</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78.6%</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(1,385,928)</w:t>
            </w:r>
          </w:p>
        </w:tc>
        <w:tc>
          <w:tcPr>
            <w:tcW w:w="1148" w:type="dxa"/>
            <w:tcBorders>
              <w:right w:val="single" w:sz="8" w:space="0" w:color="000000"/>
            </w:tcBorders>
            <w:tcMar>
              <w:top w:w="0" w:type="dxa"/>
              <w:left w:w="0" w:type="dxa"/>
              <w:right w:w="4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(2,542,191)</w:t>
            </w:r>
          </w:p>
        </w:tc>
        <w:tc>
          <w:tcPr>
            <w:tcW w:w="763"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83.4%</w:t>
            </w:r>
          </w:p>
        </w:tc>
      </w:tr>
      <w:tr>
        <w:trPr/>
        <w:tc>
          <w:tcPr>
            <w:tcW w:w="3186" w:type="dxa"/>
            <w:tcBorders>
              <w:left w:val="single" w:sz="8" w:space="0" w:color="000000"/>
              <w:bottom w:val="single" w:sz="8" w:space="0" w:color="000000"/>
              <w:right w:val="single" w:sz="8" w:space="0" w:color="000000"/>
            </w:tcBorders>
            <w:tcMar>
              <w:top w:w="0" w:type="dxa"/>
              <w:left w:w="40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Net Insurance Financial Expenses</w:t>
            </w:r>
          </w:p>
        </w:tc>
        <w:tc>
          <w:tcPr>
            <w:tcW w:w="1028"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(103,960)</w:t>
            </w:r>
          </w:p>
        </w:tc>
        <w:tc>
          <w:tcPr>
            <w:tcW w:w="1028"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(115,750)</w:t>
            </w:r>
          </w:p>
        </w:tc>
        <w:tc>
          <w:tcPr>
            <w:tcW w:w="1028" w:type="dxa"/>
            <w:tcBorders>
              <w:bottom w:val="single" w:sz="8" w:space="0" w:color="000000"/>
              <w:right w:val="single" w:sz="8" w:space="0" w:color="000000"/>
            </w:tcBorders>
            <w:tcMar>
              <w:top w:w="0" w:type="dxa"/>
              <w:left w:w="0" w:type="dxa"/>
              <w:bottom w:w="28" w:type="dxa"/>
              <w:right w:w="4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(115,166)</w:t>
            </w:r>
          </w:p>
        </w:tc>
        <w:tc>
          <w:tcPr>
            <w:tcW w:w="406"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-0.5%</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10.8%</w:t>
            </w:r>
          </w:p>
        </w:tc>
        <w:tc>
          <w:tcPr>
            <w:tcW w:w="1148"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(205,718)</w:t>
            </w:r>
          </w:p>
        </w:tc>
        <w:tc>
          <w:tcPr>
            <w:tcW w:w="1148" w:type="dxa"/>
            <w:tcBorders>
              <w:bottom w:val="single" w:sz="8" w:space="0" w:color="000000"/>
              <w:right w:val="single" w:sz="8" w:space="0" w:color="000000"/>
            </w:tcBorders>
            <w:tcMar>
              <w:top w:w="0" w:type="dxa"/>
              <w:left w:w="0" w:type="dxa"/>
              <w:bottom w:w="28" w:type="dxa"/>
              <w:right w:w="4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(230,916)</w:t>
            </w:r>
          </w:p>
        </w:tc>
        <w:tc>
          <w:tcPr>
            <w:tcW w:w="763"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12.2%</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Net Interest Income</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4"/>
              </w:rPr>
              <w:t xml:space="preserve">2,637,106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4"/>
              </w:rPr>
              <w:t xml:space="preserve">3,132,089 </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4"/>
              </w:rPr>
              <w:t xml:space="preserve">3,204,156 </w:t>
            </w:r>
          </w:p>
        </w:tc>
        <w:tc>
          <w:tcPr>
            <w:tcW w:w="406"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2.3%</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21.5%</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4"/>
              </w:rPr>
              <w:t xml:space="preserve">5,068,813 </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i w:val="false"/>
                <w:caps w:val="false"/>
                <w:smallCaps w:val="false"/>
                <w:sz w:val="14"/>
              </w:rPr>
              <w:t xml:space="preserve">6,336,245 </w:t>
            </w:r>
          </w:p>
        </w:tc>
        <w:tc>
          <w:tcPr>
            <w:tcW w:w="763" w:type="dxa"/>
            <w:tcBorders>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25.0%</w:t>
            </w:r>
          </w:p>
        </w:tc>
      </w:tr>
      <w:tr>
        <w:trPr/>
        <w:tc>
          <w:tcPr>
            <w:tcW w:w="3186" w:type="dxa"/>
            <w:tcBorders>
              <w:left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p>
        </w:tc>
        <w:tc>
          <w:tcPr>
            <w:tcW w:w="406" w:type="dxa"/>
            <w:tcBorders/>
            <w:tcMar>
              <w:top w:w="0" w:type="dxa"/>
              <w:left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p>
        </w:tc>
        <w:tc>
          <w:tcPr>
            <w:tcW w:w="763" w:type="dxa"/>
            <w:tcBorders>
              <w:right w:val="single" w:sz="8" w:space="0" w:color="000000"/>
            </w:tcBorders>
            <w:shd w:fill="FFFFFF"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186"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Balances</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p>
        </w:tc>
        <w:tc>
          <w:tcPr>
            <w:tcW w:w="406" w:type="dxa"/>
            <w:tcBorders/>
            <w:tcMar>
              <w:top w:w="0" w:type="dxa"/>
              <w:left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p>
        </w:tc>
        <w:tc>
          <w:tcPr>
            <w:tcW w:w="763" w:type="dxa"/>
            <w:tcBorders>
              <w:right w:val="single" w:sz="8" w:space="0" w:color="000000"/>
            </w:tcBorders>
            <w:shd w:fill="FFFFFF"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Average Interest Earning Assets (IEA)</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222,718,971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222,289,504 </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220,651,688 </w:t>
            </w:r>
          </w:p>
        </w:tc>
        <w:tc>
          <w:tcPr>
            <w:tcW w:w="406"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-0.7%</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-0.9%</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226,151,471 </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220,418,854 </w:t>
            </w:r>
          </w:p>
        </w:tc>
        <w:tc>
          <w:tcPr>
            <w:tcW w:w="763"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-2.5%</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Average Funding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189,164,046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185,377,296 </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183,407,530 </w:t>
            </w:r>
          </w:p>
        </w:tc>
        <w:tc>
          <w:tcPr>
            <w:tcW w:w="406"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-1.1%</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-3.0%</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192,630,988 </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r>
              <w:rPr>
                <w:rFonts w:ascii="Arial;Helvetica;Sans-Serif" w:hAnsi="Arial;Helvetica;Sans-Serif"/>
                <w:b w:val="false"/>
                <w:i w:val="false"/>
                <w:caps w:val="false"/>
                <w:smallCaps w:val="false"/>
                <w:sz w:val="14"/>
              </w:rPr>
              <w:t xml:space="preserve">183,962,350 </w:t>
            </w:r>
          </w:p>
        </w:tc>
        <w:tc>
          <w:tcPr>
            <w:tcW w:w="763"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-4.5%</w:t>
            </w:r>
          </w:p>
        </w:tc>
      </w:tr>
      <w:tr>
        <w:trPr/>
        <w:tc>
          <w:tcPr>
            <w:tcW w:w="3186" w:type="dxa"/>
            <w:tcBorders>
              <w:left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p>
        </w:tc>
        <w:tc>
          <w:tcPr>
            <w:tcW w:w="406" w:type="dxa"/>
            <w:tcBorders/>
            <w:tcMar>
              <w:top w:w="0" w:type="dxa"/>
              <w:left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p>
        </w:tc>
        <w:tc>
          <w:tcPr>
            <w:tcW w:w="763" w:type="dxa"/>
            <w:tcBorders>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186"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Yields</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02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p>
        </w:tc>
        <w:tc>
          <w:tcPr>
            <w:tcW w:w="406" w:type="dxa"/>
            <w:tcBorders/>
            <w:tcMar>
              <w:top w:w="0" w:type="dxa"/>
              <w:left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1148" w:type="dxa"/>
            <w:tcBorders/>
            <w:tcMar>
              <w:top w:w="0" w:type="dxa"/>
              <w:left w:w="0" w:type="dxa"/>
              <w:right w:w="0" w:type="dxa"/>
            </w:tcMar>
            <w:vAlign w:val="center"/>
          </w:tcPr>
          <w:p>
            <w:pPr>
              <w:pStyle w:val="TableContents"/>
              <w:bidi w:val="0"/>
              <w:spacing w:before="0" w:after="283"/>
              <w:jc w:val="right"/>
              <w:rPr>
                <w:caps w:val="false"/>
                <w:smallCaps w:val="false"/>
              </w:rPr>
            </w:pPr>
            <w:r>
              <w:rPr>
                <w:caps w:val="false"/>
                <w:smallCaps w:val="false"/>
              </w:rPr>
              <w:t> </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caps w:val="false"/>
                <w:smallCaps w:val="false"/>
              </w:rPr>
            </w:pPr>
            <w:r>
              <w:rPr>
                <w:caps w:val="false"/>
                <w:smallCaps w:val="false"/>
              </w:rPr>
              <w:t> </w:t>
            </w:r>
          </w:p>
        </w:tc>
        <w:tc>
          <w:tcPr>
            <w:tcW w:w="763" w:type="dxa"/>
            <w:tcBorders>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Yield on IEAs</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6.26%</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8.02%</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8.44%</w:t>
            </w:r>
          </w:p>
        </w:tc>
        <w:tc>
          <w:tcPr>
            <w:tcW w:w="406"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42bps</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218bps</w:t>
            </w:r>
          </w:p>
        </w:tc>
        <w:tc>
          <w:tcPr>
            <w:tcW w:w="114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5.89%</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8.27%</w:t>
            </w:r>
          </w:p>
        </w:tc>
        <w:tc>
          <w:tcPr>
            <w:tcW w:w="763"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238pbs</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Cost of Funds </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1.55%</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2.53%</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2.88%</w:t>
            </w:r>
          </w:p>
        </w:tc>
        <w:tc>
          <w:tcPr>
            <w:tcW w:w="406"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35bps</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133bps</w:t>
            </w:r>
          </w:p>
        </w:tc>
        <w:tc>
          <w:tcPr>
            <w:tcW w:w="114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1.44%</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2.76%</w:t>
            </w:r>
          </w:p>
        </w:tc>
        <w:tc>
          <w:tcPr>
            <w:tcW w:w="763"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132pbs</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lineRule="auto" w:line="240"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Net Interest Margin (NIM)(1)</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4.92%</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5.84%</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6.02%</w:t>
            </w:r>
          </w:p>
        </w:tc>
        <w:tc>
          <w:tcPr>
            <w:tcW w:w="406"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18bps</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110bps</w:t>
            </w:r>
          </w:p>
        </w:tc>
        <w:tc>
          <w:tcPr>
            <w:tcW w:w="114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4.66%</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5.96%</w:t>
            </w:r>
          </w:p>
        </w:tc>
        <w:tc>
          <w:tcPr>
            <w:tcW w:w="763"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130pbs</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 xml:space="preserve">Risk-Adjusted Net Interest Margin </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4.27%</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4.54%</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4.56%</w:t>
            </w:r>
          </w:p>
        </w:tc>
        <w:tc>
          <w:tcPr>
            <w:tcW w:w="406"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2pbs</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29pbs</w:t>
            </w:r>
          </w:p>
        </w:tc>
        <w:tc>
          <w:tcPr>
            <w:tcW w:w="114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4.12%</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4.57%</w:t>
            </w:r>
          </w:p>
        </w:tc>
        <w:tc>
          <w:tcPr>
            <w:tcW w:w="763"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45pbs</w:t>
            </w:r>
          </w:p>
        </w:tc>
      </w:tr>
      <w:tr>
        <w:trPr/>
        <w:tc>
          <w:tcPr>
            <w:tcW w:w="3186" w:type="dxa"/>
            <w:tcBorders>
              <w:left w:val="single" w:sz="8" w:space="0" w:color="000000"/>
              <w:right w:val="single" w:sz="8" w:space="0" w:color="000000"/>
            </w:tcBorders>
            <w:tcMar>
              <w:top w:w="0" w:type="dxa"/>
              <w:left w:w="20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Peru’s Reference Rate</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5.50%</w:t>
            </w:r>
          </w:p>
        </w:tc>
        <w:tc>
          <w:tcPr>
            <w:tcW w:w="102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7.75%</w:t>
            </w:r>
          </w:p>
        </w:tc>
        <w:tc>
          <w:tcPr>
            <w:tcW w:w="102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7.75%</w:t>
            </w:r>
          </w:p>
        </w:tc>
        <w:tc>
          <w:tcPr>
            <w:tcW w:w="406"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0pbs</w:t>
            </w:r>
          </w:p>
        </w:tc>
        <w:tc>
          <w:tcPr>
            <w:tcW w:w="47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225pbs</w:t>
            </w:r>
          </w:p>
        </w:tc>
        <w:tc>
          <w:tcPr>
            <w:tcW w:w="1148"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5.50%</w:t>
            </w:r>
          </w:p>
        </w:tc>
        <w:tc>
          <w:tcPr>
            <w:tcW w:w="1148"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7.75%</w:t>
            </w:r>
          </w:p>
        </w:tc>
        <w:tc>
          <w:tcPr>
            <w:tcW w:w="763"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225pbs</w:t>
            </w:r>
          </w:p>
        </w:tc>
      </w:tr>
      <w:tr>
        <w:trPr/>
        <w:tc>
          <w:tcPr>
            <w:tcW w:w="3186" w:type="dxa"/>
            <w:tcBorders>
              <w:left w:val="single" w:sz="8" w:space="0" w:color="000000"/>
              <w:bottom w:val="single" w:sz="8" w:space="0" w:color="000000"/>
              <w:right w:val="single" w:sz="8" w:space="0" w:color="000000"/>
            </w:tcBorders>
            <w:tcMar>
              <w:top w:w="0" w:type="dxa"/>
              <w:left w:w="200" w:type="dxa"/>
              <w:bottom w:w="28"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FED funds rate</w:t>
            </w:r>
          </w:p>
        </w:tc>
        <w:tc>
          <w:tcPr>
            <w:tcW w:w="1028"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1.75%</w:t>
            </w:r>
          </w:p>
        </w:tc>
        <w:tc>
          <w:tcPr>
            <w:tcW w:w="1028"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5.00%</w:t>
            </w:r>
          </w:p>
        </w:tc>
        <w:tc>
          <w:tcPr>
            <w:tcW w:w="102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5.25%</w:t>
            </w:r>
          </w:p>
        </w:tc>
        <w:tc>
          <w:tcPr>
            <w:tcW w:w="406"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25pbs</w:t>
            </w:r>
          </w:p>
        </w:tc>
        <w:tc>
          <w:tcPr>
            <w:tcW w:w="4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350pbs</w:t>
            </w:r>
          </w:p>
        </w:tc>
        <w:tc>
          <w:tcPr>
            <w:tcW w:w="1148"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1.75%</w:t>
            </w:r>
          </w:p>
        </w:tc>
        <w:tc>
          <w:tcPr>
            <w:tcW w:w="114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5.25%</w:t>
            </w:r>
          </w:p>
        </w:tc>
        <w:tc>
          <w:tcPr>
            <w:tcW w:w="763"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350pbs</w:t>
            </w:r>
          </w:p>
        </w:tc>
      </w:tr>
    </w:tbl>
    <w:p>
      <w:pPr>
        <w:pStyle w:val="TextBody"/>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For further detail on the new NIM calculation due to IFRS17, please refer to Annex 12.1.8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Net Interest Income </w:t>
      </w:r>
      <w:r>
        <w:rPr>
          <w:rFonts w:ascii="Arial;Helvetica;Sans-Serif" w:hAnsi="Arial;Helvetica;Sans-Serif"/>
          <w:b w:val="false"/>
          <w:i w:val="false"/>
          <w:caps w:val="false"/>
          <w:smallCaps w:val="false"/>
          <w:sz w:val="20"/>
        </w:rPr>
        <w:t>rose 2.3% QoQ despite the fact that growth in expenses outpaced the expansion registered for income this quarter. Income rose 4.4% over the period, driven mainly by the positive impact of a shift in the loan mix to favor higher-yield segments. This quarter, Investment income increased 5.8%, which reflected renewals of BCRP Certificates of Deposit at higher rates. Expenses, in turn, were up 9.4% as Time deposits assumed a larger share of the loan mix. The mix effect contributed to the 35 bps increase in the funding cost. The Net Interest Margin rose 18 bps to stand at 6.02% this quarter while the Structural Interest Margin stood at 6.14% (+13bps).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Interest Income rose 21.5% YoY, which once again reflects the fact that growth in interest expenses outstripped the expansion reported for income. Income increased 33.4% over the period, in line with loan and investment dynamics and well as with an increase in Available funds. Expenses rose 70.3% due to a mix effect, which was generated primarily by an uptick in Time deposit’s share of total funding and secondarily by an uptick in debt at higher rates via Due to banks and correspondents (price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Net Interest Margin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0"/>
        <w:gridCol w:w="60"/>
        <w:gridCol w:w="5165"/>
      </w:tblGrid>
      <w:tr>
        <w:trPr/>
        <w:tc>
          <w:tcPr>
            <w:tcW w:w="4980" w:type="dxa"/>
            <w:tcBorders/>
            <w:vAlign w:val="center"/>
          </w:tcPr>
          <w:p>
            <w:pPr>
              <w:pStyle w:val="TableContents"/>
              <w:bidi w:val="0"/>
              <w:spacing w:before="0" w:after="283"/>
              <w:jc w:val="both"/>
              <w:rPr>
                <w:caps w:val="false"/>
                <w:smallCaps w:val="false"/>
              </w:rPr>
            </w:pPr>
            <w:r>
              <w:rPr>
                <w:caps w:val="false"/>
                <w:smallCaps w:val="false"/>
              </w:rPr>
              <w:drawing>
                <wp:inline distT="0" distB="0" distL="0" distR="0">
                  <wp:extent cx="3114675" cy="1838325"/>
                  <wp:effectExtent l="0" t="0" r="0" b="0"/>
                  <wp:docPr id="11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2" descr=""/>
                          <pic:cNvPicPr>
                            <a:picLocks noChangeAspect="1" noChangeArrowheads="1"/>
                          </pic:cNvPicPr>
                        </pic:nvPicPr>
                        <pic:blipFill>
                          <a:blip r:embed="rId78"/>
                          <a:stretch>
                            <a:fillRect/>
                          </a:stretch>
                        </pic:blipFill>
                        <pic:spPr bwMode="auto">
                          <a:xfrm>
                            <a:off x="0" y="0"/>
                            <a:ext cx="3114675" cy="1838325"/>
                          </a:xfrm>
                          <a:prstGeom prst="rect">
                            <a:avLst/>
                          </a:prstGeom>
                        </pic:spPr>
                      </pic:pic>
                    </a:graphicData>
                  </a:graphic>
                </wp:inline>
              </w:drawing>
            </w: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65"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Structural NIM continued to increase QoQ due to a positive variation in the loan mix and investment renewals at more favorable rates. Risk-adjusted NIM remained relatively stable, reporting a marginal increase of 2bps to stand at 4.56%.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 is important to note that reference rates are currently high for both soles (BCRP) and US dollars (FED), which continues to buoy net interest income. In soles, and despite the fact that BCRP’s rate registered no variation over the period, renewals of some IEA drove an uptick in income, which reflects disciplined passthroughs.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26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1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3" descr=""/>
                          <pic:cNvPicPr>
                            <a:picLocks noChangeAspect="1" noChangeArrowheads="1"/>
                          </pic:cNvPicPr>
                        </pic:nvPicPr>
                        <pic:blipFill>
                          <a:blip r:embed="rId79"/>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2990" w:type="dxa"/>
        <w:jc w:val="left"/>
        <w:tblInd w:w="0" w:type="dxa"/>
        <w:tblLayout w:type="fixed"/>
        <w:tblCellMar>
          <w:top w:w="0" w:type="dxa"/>
          <w:left w:w="0" w:type="dxa"/>
          <w:bottom w:w="0" w:type="dxa"/>
          <w:right w:w="0" w:type="dxa"/>
        </w:tblCellMar>
      </w:tblPr>
      <w:tblGrid>
        <w:gridCol w:w="2990"/>
      </w:tblGrid>
      <w:tr>
        <w:trPr/>
        <w:tc>
          <w:tcPr>
            <w:tcW w:w="2990" w:type="dxa"/>
            <w:tcBorders/>
            <w:shd w:fill="E93CAC" w:val="clear"/>
            <w:vAlign w:val="center"/>
          </w:tcPr>
          <w:p>
            <w:pPr>
              <w:pStyle w:val="TableContents"/>
              <w:bidi w:val="0"/>
              <w:spacing w:before="0" w:after="283"/>
              <w:jc w:val="left"/>
              <w:rPr>
                <w:b/>
                <w:color w:val="FFFFFF"/>
                <w:sz w:val="24"/>
              </w:rPr>
            </w:pPr>
            <w:r>
              <w:rPr>
                <w:b/>
                <w:color w:val="FFFFFF"/>
                <w:sz w:val="24"/>
              </w:rPr>
              <w:t>04. Net Interest Income (NII)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Dynamics of Net Interest Margin by Currency</w:t>
      </w:r>
    </w:p>
    <w:p>
      <w:pPr>
        <w:pStyle w:val="TextBody"/>
        <w:bidi w:val="0"/>
        <w:spacing w:before="0" w:after="0"/>
        <w:ind w:left="0" w:right="0" w:hanging="0"/>
        <w:jc w:val="both"/>
        <w:rPr>
          <w:caps w:val="false"/>
          <w:smallCaps w:val="false"/>
        </w:rPr>
      </w:pPr>
      <w:r>
        <w:rPr>
          <w:caps w:val="false"/>
          <w:smallCaps w:val="false"/>
        </w:rPr>
        <w:t> </w:t>
      </w:r>
    </w:p>
    <w:tbl>
      <w:tblPr>
        <w:tblW w:w="8895" w:type="dxa"/>
        <w:jc w:val="left"/>
        <w:tblInd w:w="-10" w:type="dxa"/>
        <w:tblLayout w:type="fixed"/>
        <w:tblCellMar>
          <w:top w:w="28" w:type="dxa"/>
          <w:left w:w="28" w:type="dxa"/>
          <w:bottom w:w="0" w:type="dxa"/>
          <w:right w:w="28" w:type="dxa"/>
        </w:tblCellMar>
      </w:tblPr>
      <w:tblGrid>
        <w:gridCol w:w="1415"/>
        <w:gridCol w:w="545"/>
        <w:gridCol w:w="485"/>
        <w:gridCol w:w="425"/>
        <w:gridCol w:w="545"/>
        <w:gridCol w:w="485"/>
        <w:gridCol w:w="425"/>
        <w:gridCol w:w="545"/>
        <w:gridCol w:w="485"/>
        <w:gridCol w:w="425"/>
        <w:gridCol w:w="60"/>
        <w:gridCol w:w="545"/>
        <w:gridCol w:w="485"/>
        <w:gridCol w:w="425"/>
        <w:gridCol w:w="545"/>
        <w:gridCol w:w="485"/>
        <w:gridCol w:w="570"/>
      </w:tblGrid>
      <w:tr>
        <w:trPr/>
        <w:tc>
          <w:tcPr>
            <w:tcW w:w="141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caps w:val="false"/>
                <w:smallCaps w:val="false"/>
              </w:rPr>
            </w:pPr>
            <w:r>
              <w:rPr>
                <w:caps w:val="false"/>
                <w:smallCaps w:val="false"/>
              </w:rPr>
              <w:t> </w:t>
            </w:r>
          </w:p>
        </w:tc>
        <w:tc>
          <w:tcPr>
            <w:tcW w:w="145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2Q22</w:t>
            </w:r>
          </w:p>
        </w:tc>
        <w:tc>
          <w:tcPr>
            <w:tcW w:w="145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1Q23</w:t>
            </w:r>
          </w:p>
        </w:tc>
        <w:tc>
          <w:tcPr>
            <w:tcW w:w="145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2Q23</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455" w:type="dxa"/>
            <w:gridSpan w:val="3"/>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1H22</w:t>
            </w:r>
          </w:p>
        </w:tc>
        <w:tc>
          <w:tcPr>
            <w:tcW w:w="160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1H23</w:t>
            </w:r>
          </w:p>
        </w:tc>
      </w:tr>
      <w:tr>
        <w:trPr/>
        <w:tc>
          <w:tcPr>
            <w:tcW w:w="1415"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Interest Income / IEA</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485"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Income</w:t>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485"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Income</w:t>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485"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Income</w:t>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shd w:fill="2AD2C9" w:val="clear"/>
            <w:tcMar>
              <w:top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485"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Income</w:t>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485"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Income</w:t>
            </w:r>
          </w:p>
        </w:tc>
        <w:tc>
          <w:tcPr>
            <w:tcW w:w="570"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15"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S/ millions</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485" w:type="dxa"/>
            <w:vMerge w:val="continue"/>
            <w:tcBorders/>
            <w:shd w:fill="2AD2C9" w:val="clear"/>
            <w:tcMar>
              <w:top w:w="0" w:type="dxa"/>
              <w:left w:w="0" w:type="dxa"/>
              <w:right w:w="0" w:type="dxa"/>
            </w:tcMar>
            <w:vAlign w:val="center"/>
          </w:tcPr>
          <w:p>
            <w:pPr>
              <w:pStyle w:val="Normal"/>
              <w:bidi w:val="0"/>
              <w:jc w:val="left"/>
              <w:rPr/>
            </w:pPr>
            <w:r>
              <w:rPr/>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485" w:type="dxa"/>
            <w:vMerge w:val="continue"/>
            <w:tcBorders/>
            <w:shd w:fill="2AD2C9" w:val="clear"/>
            <w:tcMar>
              <w:top w:w="0" w:type="dxa"/>
              <w:left w:w="0" w:type="dxa"/>
              <w:right w:w="0" w:type="dxa"/>
            </w:tcMar>
            <w:vAlign w:val="center"/>
          </w:tcPr>
          <w:p>
            <w:pPr>
              <w:pStyle w:val="Normal"/>
              <w:bidi w:val="0"/>
              <w:jc w:val="left"/>
              <w:rPr/>
            </w:pPr>
            <w:r>
              <w:rPr/>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485" w:type="dxa"/>
            <w:vMerge w:val="continue"/>
            <w:tcBorders/>
            <w:shd w:fill="2AD2C9" w:val="clear"/>
            <w:tcMar>
              <w:top w:w="0" w:type="dxa"/>
              <w:left w:w="0" w:type="dxa"/>
              <w:right w:w="0" w:type="dxa"/>
            </w:tcMar>
            <w:vAlign w:val="center"/>
          </w:tcPr>
          <w:p>
            <w:pPr>
              <w:pStyle w:val="Normal"/>
              <w:bidi w:val="0"/>
              <w:jc w:val="left"/>
              <w:rPr/>
            </w:pPr>
            <w:r>
              <w:rPr/>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shd w:fill="2AD2C9" w:val="clear"/>
            <w:tcMar>
              <w:top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485" w:type="dxa"/>
            <w:vMerge w:val="continue"/>
            <w:tcBorders/>
            <w:shd w:fill="2AD2C9" w:val="clear"/>
            <w:tcMar>
              <w:top w:w="0" w:type="dxa"/>
              <w:left w:w="0" w:type="dxa"/>
              <w:right w:w="0" w:type="dxa"/>
            </w:tcMar>
            <w:vAlign w:val="center"/>
          </w:tcPr>
          <w:p>
            <w:pPr>
              <w:pStyle w:val="Normal"/>
              <w:bidi w:val="0"/>
              <w:jc w:val="left"/>
              <w:rPr/>
            </w:pPr>
            <w:r>
              <w:rPr/>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485" w:type="dxa"/>
            <w:vMerge w:val="continue"/>
            <w:tcBorders/>
            <w:shd w:fill="2AD2C9" w:val="clear"/>
            <w:tcMar>
              <w:top w:w="0" w:type="dxa"/>
              <w:left w:w="0" w:type="dxa"/>
              <w:right w:w="0" w:type="dxa"/>
            </w:tcMar>
            <w:vAlign w:val="center"/>
          </w:tcPr>
          <w:p>
            <w:pPr>
              <w:pStyle w:val="Normal"/>
              <w:bidi w:val="0"/>
              <w:jc w:val="left"/>
              <w:rPr/>
            </w:pPr>
            <w:r>
              <w:rPr/>
            </w:r>
          </w:p>
        </w:tc>
        <w:tc>
          <w:tcPr>
            <w:tcW w:w="570"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r>
      <w:tr>
        <w:trPr/>
        <w:tc>
          <w:tcPr>
            <w:tcW w:w="141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Cash and equivalents</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26,697</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48</w:t>
            </w:r>
          </w:p>
        </w:tc>
        <w:tc>
          <w:tcPr>
            <w:tcW w:w="42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0.7%</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27,528</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277</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27,098</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286</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28,113</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83</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0.3%</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26,467</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564</w:t>
            </w:r>
          </w:p>
        </w:tc>
        <w:tc>
          <w:tcPr>
            <w:tcW w:w="57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w:t>
            </w:r>
          </w:p>
        </w:tc>
      </w:tr>
      <w:tr>
        <w:trPr/>
        <w:tc>
          <w:tcPr>
            <w:tcW w:w="141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Other IEA</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1,782</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w:t>
            </w:r>
          </w:p>
        </w:tc>
        <w:tc>
          <w:tcPr>
            <w:tcW w:w="42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1,285</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16</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5.0%</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1,666</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17</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1,907</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33</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1.7%</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1,483</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34</w:t>
            </w:r>
          </w:p>
        </w:tc>
        <w:tc>
          <w:tcPr>
            <w:tcW w:w="57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2.3%</w:t>
            </w:r>
          </w:p>
        </w:tc>
      </w:tr>
      <w:tr>
        <w:trPr/>
        <w:tc>
          <w:tcPr>
            <w:tcW w:w="141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Investments</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46,744</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497</w:t>
            </w:r>
          </w:p>
        </w:tc>
        <w:tc>
          <w:tcPr>
            <w:tcW w:w="42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46,580</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592</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5.1%</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47,882</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636</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5.3%</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47,148</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929</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46,733</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1,228</w:t>
            </w:r>
          </w:p>
        </w:tc>
        <w:tc>
          <w:tcPr>
            <w:tcW w:w="57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2.6%</w:t>
            </w:r>
          </w:p>
        </w:tc>
      </w:tr>
      <w:tr>
        <w:trPr/>
        <w:tc>
          <w:tcPr>
            <w:tcW w:w="141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Loans</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147,496</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2,930</w:t>
            </w:r>
          </w:p>
        </w:tc>
        <w:tc>
          <w:tcPr>
            <w:tcW w:w="42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7.9%</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146,896</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3,571</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9.7%</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144,006</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3,713</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10.3%</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148,984</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5,615</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3.8%</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145,736</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7,284</w:t>
            </w:r>
          </w:p>
        </w:tc>
        <w:tc>
          <w:tcPr>
            <w:tcW w:w="570" w:type="dxa"/>
            <w:tcBorders>
              <w:right w:val="single" w:sz="8" w:space="0" w:color="000000"/>
            </w:tcBorders>
            <w:tcMar>
              <w:top w:w="0" w:type="dxa"/>
              <w:left w:w="0" w:type="dxa"/>
            </w:tcMar>
            <w:vAlign w:val="center"/>
          </w:tcPr>
          <w:p>
            <w:pPr>
              <w:pStyle w:val="TableContents"/>
              <w:bidi w:val="0"/>
              <w:spacing w:before="0" w:after="283"/>
              <w:ind w:left="0" w:right="0" w:firstLine="220"/>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5.0%</w:t>
            </w:r>
          </w:p>
        </w:tc>
      </w:tr>
      <w:tr>
        <w:trPr/>
        <w:tc>
          <w:tcPr>
            <w:tcW w:w="141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Structural</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131,654</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2,871</w:t>
            </w:r>
          </w:p>
        </w:tc>
        <w:tc>
          <w:tcPr>
            <w:tcW w:w="42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8.7%</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138,866</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3,528</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10.2%</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138,300</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3,679</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10.6%</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132,325</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5,490</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4.1%</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138,550</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7,207</w:t>
            </w:r>
          </w:p>
        </w:tc>
        <w:tc>
          <w:tcPr>
            <w:tcW w:w="570" w:type="dxa"/>
            <w:tcBorders>
              <w:right w:val="single" w:sz="8" w:space="0" w:color="000000"/>
            </w:tcBorders>
            <w:tcMar>
              <w:top w:w="0" w:type="dxa"/>
              <w:left w:w="0" w:type="dxa"/>
            </w:tcMar>
            <w:vAlign w:val="center"/>
          </w:tcPr>
          <w:p>
            <w:pPr>
              <w:pStyle w:val="TableContents"/>
              <w:bidi w:val="0"/>
              <w:spacing w:before="0" w:after="283"/>
              <w:ind w:left="0" w:right="0" w:firstLine="220"/>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5.2%</w:t>
            </w:r>
          </w:p>
        </w:tc>
      </w:tr>
      <w:tr>
        <w:trPr/>
        <w:tc>
          <w:tcPr>
            <w:tcW w:w="14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Government Programs</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15,842</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59</w:t>
            </w:r>
          </w:p>
        </w:tc>
        <w:tc>
          <w:tcPr>
            <w:tcW w:w="42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8,031</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43</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5,705</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34</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2.4%</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16,659</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125</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0.8%</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7,186</w:t>
            </w:r>
          </w:p>
        </w:tc>
        <w:tc>
          <w:tcPr>
            <w:tcW w:w="48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77</w:t>
            </w:r>
          </w:p>
        </w:tc>
        <w:tc>
          <w:tcPr>
            <w:tcW w:w="57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1.1%</w:t>
            </w:r>
          </w:p>
        </w:tc>
      </w:tr>
      <w:tr>
        <w:trPr/>
        <w:tc>
          <w:tcPr>
            <w:tcW w:w="14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Total IEA</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227,280</w:t>
            </w:r>
          </w:p>
        </w:tc>
        <w:tc>
          <w:tcPr>
            <w:tcW w:w="48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3,488</w:t>
            </w:r>
          </w:p>
        </w:tc>
        <w:tc>
          <w:tcPr>
            <w:tcW w:w="42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6.3%</w:t>
            </w:r>
          </w:p>
        </w:tc>
        <w:tc>
          <w:tcPr>
            <w:tcW w:w="545" w:type="dxa"/>
            <w:tcBorders>
              <w:top w:val="single" w:sz="8" w:space="0" w:color="000000"/>
              <w:left w:val="single" w:sz="8" w:space="0" w:color="000000"/>
              <w:bottom w:val="single" w:sz="8" w:space="0" w:color="000000"/>
            </w:tcBorders>
            <w:tcMar>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222,290</w:t>
            </w:r>
          </w:p>
        </w:tc>
        <w:tc>
          <w:tcPr>
            <w:tcW w:w="48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4,456</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8.0%</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220,652</w:t>
            </w:r>
          </w:p>
        </w:tc>
        <w:tc>
          <w:tcPr>
            <w:tcW w:w="48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4,653</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8.4%</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top w:val="single" w:sz="8" w:space="0" w:color="000000"/>
              <w:left w:val="single" w:sz="8" w:space="0" w:color="000000"/>
              <w:bottom w:val="single" w:sz="8" w:space="0" w:color="000000"/>
            </w:tcBorders>
            <w:tcMar>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226,151</w:t>
            </w:r>
          </w:p>
        </w:tc>
        <w:tc>
          <w:tcPr>
            <w:tcW w:w="48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6,660</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2.9%</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220,419</w:t>
            </w:r>
          </w:p>
        </w:tc>
        <w:tc>
          <w:tcPr>
            <w:tcW w:w="48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9,109</w:t>
            </w:r>
          </w:p>
        </w:tc>
        <w:tc>
          <w:tcPr>
            <w:tcW w:w="57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4.1%</w:t>
            </w:r>
          </w:p>
        </w:tc>
      </w:tr>
      <w:tr>
        <w:trPr/>
        <w:tc>
          <w:tcPr>
            <w:tcW w:w="14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IEA (LC)</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57.6%</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78.2%</w:t>
            </w:r>
          </w:p>
        </w:tc>
        <w:tc>
          <w:tcPr>
            <w:tcW w:w="42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8.3%</w:t>
            </w:r>
          </w:p>
        </w:tc>
        <w:tc>
          <w:tcPr>
            <w:tcW w:w="545"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56.9%</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71.2%</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57.3%</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71.4%</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10.5%</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57.4%</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78.5%</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57.5%</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71.3%</w:t>
            </w:r>
          </w:p>
        </w:tc>
        <w:tc>
          <w:tcPr>
            <w:tcW w:w="5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5.1%</w:t>
            </w:r>
          </w:p>
        </w:tc>
      </w:tr>
      <w:tr>
        <w:trPr/>
        <w:tc>
          <w:tcPr>
            <w:tcW w:w="14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IEA (FC)</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40.3%</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21.8%</w:t>
            </w:r>
          </w:p>
        </w:tc>
        <w:tc>
          <w:tcPr>
            <w:tcW w:w="42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3.3%</w:t>
            </w:r>
          </w:p>
        </w:tc>
        <w:tc>
          <w:tcPr>
            <w:tcW w:w="545"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43.1%</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28.8%</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5.3%</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42.7%</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28.6%</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5.7%</w:t>
            </w:r>
          </w:p>
        </w:tc>
        <w:tc>
          <w:tcPr>
            <w:tcW w:w="60" w:type="dxa"/>
            <w:tcBorders/>
            <w:tcMar>
              <w:top w:w="0" w:type="dxa"/>
              <w:left w:w="0" w:type="dxa"/>
              <w:right w:w="0" w:type="dxa"/>
            </w:tcMar>
            <w:vAlign w:val="center"/>
          </w:tcPr>
          <w:p>
            <w:pPr>
              <w:pStyle w:val="TableContents"/>
              <w:bidi w:val="0"/>
              <w:spacing w:before="0" w:after="283"/>
              <w:jc w:val="left"/>
              <w:rPr/>
            </w:pPr>
            <w:r>
              <w:rPr/>
              <w:t> </w:t>
            </w:r>
          </w:p>
        </w:tc>
        <w:tc>
          <w:tcPr>
            <w:tcW w:w="545"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42.6%</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21.5%</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1.5%</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42.5%</w:t>
            </w:r>
          </w:p>
        </w:tc>
        <w:tc>
          <w:tcPr>
            <w:tcW w:w="48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28.7%</w:t>
            </w:r>
          </w:p>
        </w:tc>
        <w:tc>
          <w:tcPr>
            <w:tcW w:w="57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2.8%</w:t>
            </w:r>
          </w:p>
        </w:tc>
      </w:tr>
    </w:tbl>
    <w:p>
      <w:pPr>
        <w:pStyle w:val="TextBody"/>
        <w:bidi w:val="0"/>
        <w:jc w:val="left"/>
        <w:rPr>
          <w:caps w:val="false"/>
          <w:smallCaps w:val="false"/>
        </w:rPr>
      </w:pPr>
      <w:r>
        <w:rPr>
          <w:caps w:val="false"/>
          <w:smallCaps w:val="false"/>
        </w:rPr>
        <w:t> </w:t>
      </w:r>
    </w:p>
    <w:tbl>
      <w:tblPr>
        <w:tblW w:w="9470" w:type="dxa"/>
        <w:jc w:val="left"/>
        <w:tblInd w:w="-10" w:type="dxa"/>
        <w:tblLayout w:type="fixed"/>
        <w:tblCellMar>
          <w:top w:w="28" w:type="dxa"/>
          <w:left w:w="28" w:type="dxa"/>
          <w:bottom w:w="0" w:type="dxa"/>
          <w:right w:w="28" w:type="dxa"/>
        </w:tblCellMar>
      </w:tblPr>
      <w:tblGrid>
        <w:gridCol w:w="1745"/>
        <w:gridCol w:w="545"/>
        <w:gridCol w:w="560"/>
        <w:gridCol w:w="425"/>
        <w:gridCol w:w="545"/>
        <w:gridCol w:w="560"/>
        <w:gridCol w:w="425"/>
        <w:gridCol w:w="545"/>
        <w:gridCol w:w="560"/>
        <w:gridCol w:w="425"/>
        <w:gridCol w:w="60"/>
        <w:gridCol w:w="545"/>
        <w:gridCol w:w="560"/>
        <w:gridCol w:w="425"/>
        <w:gridCol w:w="545"/>
        <w:gridCol w:w="560"/>
        <w:gridCol w:w="440"/>
      </w:tblGrid>
      <w:tr>
        <w:trPr/>
        <w:tc>
          <w:tcPr>
            <w:tcW w:w="174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caps w:val="false"/>
                <w:smallCaps w:val="false"/>
              </w:rPr>
            </w:pPr>
            <w:r>
              <w:rPr>
                <w:caps w:val="false"/>
                <w:smallCaps w:val="false"/>
              </w:rPr>
              <w:t> </w:t>
            </w:r>
          </w:p>
        </w:tc>
        <w:tc>
          <w:tcPr>
            <w:tcW w:w="153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2Q22</w:t>
            </w:r>
          </w:p>
        </w:tc>
        <w:tc>
          <w:tcPr>
            <w:tcW w:w="153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1Q23</w:t>
            </w:r>
          </w:p>
        </w:tc>
        <w:tc>
          <w:tcPr>
            <w:tcW w:w="153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2Q23</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530" w:type="dxa"/>
            <w:gridSpan w:val="3"/>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1H22</w:t>
            </w:r>
          </w:p>
        </w:tc>
        <w:tc>
          <w:tcPr>
            <w:tcW w:w="154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1H23</w:t>
            </w:r>
          </w:p>
        </w:tc>
      </w:tr>
      <w:tr>
        <w:trPr/>
        <w:tc>
          <w:tcPr>
            <w:tcW w:w="1745"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Interest Expense / Funding</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560"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Expense</w:t>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560"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Expense</w:t>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560"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Expense</w:t>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shd w:fill="2AD2C9" w:val="clear"/>
            <w:tcMar>
              <w:top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560"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Expense</w:t>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Average</w:t>
            </w:r>
          </w:p>
        </w:tc>
        <w:tc>
          <w:tcPr>
            <w:tcW w:w="560" w:type="dxa"/>
            <w:vMerge w:val="restart"/>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Expense</w:t>
            </w:r>
          </w:p>
        </w:tc>
        <w:tc>
          <w:tcPr>
            <w:tcW w:w="440" w:type="dxa"/>
            <w:tcBorders>
              <w:right w:val="single" w:sz="8" w:space="0" w:color="000000"/>
            </w:tcBorders>
            <w:shd w:fill="2AD2C9" w:val="clear"/>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45"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S/ millions</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560" w:type="dxa"/>
            <w:vMerge w:val="continue"/>
            <w:tcBorders/>
            <w:shd w:fill="2AD2C9" w:val="clear"/>
            <w:tcMar>
              <w:top w:w="0" w:type="dxa"/>
              <w:left w:w="0" w:type="dxa"/>
              <w:right w:w="0" w:type="dxa"/>
            </w:tcMar>
            <w:vAlign w:val="center"/>
          </w:tcPr>
          <w:p>
            <w:pPr>
              <w:pStyle w:val="Normal"/>
              <w:bidi w:val="0"/>
              <w:jc w:val="left"/>
              <w:rPr/>
            </w:pPr>
            <w:r>
              <w:rPr/>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560" w:type="dxa"/>
            <w:vMerge w:val="continue"/>
            <w:tcBorders/>
            <w:shd w:fill="2AD2C9" w:val="clear"/>
            <w:tcMar>
              <w:top w:w="0" w:type="dxa"/>
              <w:left w:w="0" w:type="dxa"/>
              <w:right w:w="0" w:type="dxa"/>
            </w:tcMar>
            <w:vAlign w:val="center"/>
          </w:tcPr>
          <w:p>
            <w:pPr>
              <w:pStyle w:val="Normal"/>
              <w:bidi w:val="0"/>
              <w:jc w:val="left"/>
              <w:rPr/>
            </w:pPr>
            <w:r>
              <w:rPr/>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560" w:type="dxa"/>
            <w:vMerge w:val="continue"/>
            <w:tcBorders/>
            <w:shd w:fill="2AD2C9" w:val="clear"/>
            <w:tcMar>
              <w:top w:w="0" w:type="dxa"/>
              <w:left w:w="0" w:type="dxa"/>
              <w:right w:w="0" w:type="dxa"/>
            </w:tcMar>
            <w:vAlign w:val="center"/>
          </w:tcPr>
          <w:p>
            <w:pPr>
              <w:pStyle w:val="Normal"/>
              <w:bidi w:val="0"/>
              <w:jc w:val="left"/>
              <w:rPr/>
            </w:pPr>
            <w:r>
              <w:rPr/>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shd w:fill="2AD2C9" w:val="clear"/>
            <w:tcMar>
              <w:top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560" w:type="dxa"/>
            <w:vMerge w:val="continue"/>
            <w:tcBorders/>
            <w:shd w:fill="2AD2C9" w:val="clear"/>
            <w:tcMar>
              <w:top w:w="0" w:type="dxa"/>
              <w:left w:w="0" w:type="dxa"/>
              <w:right w:w="0" w:type="dxa"/>
            </w:tcMar>
            <w:vAlign w:val="center"/>
          </w:tcPr>
          <w:p>
            <w:pPr>
              <w:pStyle w:val="Normal"/>
              <w:bidi w:val="0"/>
              <w:jc w:val="left"/>
              <w:rPr/>
            </w:pPr>
            <w:r>
              <w:rPr/>
            </w:r>
          </w:p>
        </w:tc>
        <w:tc>
          <w:tcPr>
            <w:tcW w:w="425"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c>
          <w:tcPr>
            <w:tcW w:w="545" w:type="dxa"/>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Balance</w:t>
            </w:r>
          </w:p>
        </w:tc>
        <w:tc>
          <w:tcPr>
            <w:tcW w:w="560" w:type="dxa"/>
            <w:vMerge w:val="continue"/>
            <w:tcBorders/>
            <w:shd w:fill="2AD2C9" w:val="clear"/>
            <w:tcMar>
              <w:top w:w="0" w:type="dxa"/>
              <w:left w:w="0" w:type="dxa"/>
              <w:right w:w="0" w:type="dxa"/>
            </w:tcMar>
            <w:vAlign w:val="center"/>
          </w:tcPr>
          <w:p>
            <w:pPr>
              <w:pStyle w:val="Normal"/>
              <w:bidi w:val="0"/>
              <w:jc w:val="left"/>
              <w:rPr/>
            </w:pPr>
            <w:r>
              <w:rPr/>
            </w:r>
          </w:p>
        </w:tc>
        <w:tc>
          <w:tcPr>
            <w:tcW w:w="440" w:type="dxa"/>
            <w:tcBorders>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Yields</w:t>
            </w:r>
          </w:p>
        </w:tc>
      </w:tr>
      <w:tr>
        <w:trPr/>
        <w:tc>
          <w:tcPr>
            <w:tcW w:w="174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Deposits</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147,678</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337</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0.9%</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147,822</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677</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1.8%</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146,006</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777</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148,519</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596</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0.4%</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145,204</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1,455</w:t>
            </w:r>
          </w:p>
        </w:tc>
        <w:tc>
          <w:tcPr>
            <w:tcW w:w="4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w:t>
            </w:r>
          </w:p>
        </w:tc>
      </w:tr>
      <w:tr>
        <w:trPr/>
        <w:tc>
          <w:tcPr>
            <w:tcW w:w="174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BCRP + Due to Banks</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23,192</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142</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2.4%</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20,108</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239</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4.8%</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20,908</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297</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24,697</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258</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21,035</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536</w:t>
            </w:r>
          </w:p>
        </w:tc>
        <w:tc>
          <w:tcPr>
            <w:tcW w:w="4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2.5%</w:t>
            </w:r>
          </w:p>
        </w:tc>
      </w:tr>
      <w:tr>
        <w:trPr/>
        <w:tc>
          <w:tcPr>
            <w:tcW w:w="174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Bonds and Notes</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16,312</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166</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4.1%</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15,660</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183</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4.7%</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14,274</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149</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17,201</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340</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15,621</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332</w:t>
            </w:r>
          </w:p>
        </w:tc>
        <w:tc>
          <w:tcPr>
            <w:tcW w:w="4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w:t>
            </w:r>
          </w:p>
        </w:tc>
      </w:tr>
      <w:tr>
        <w:trPr/>
        <w:tc>
          <w:tcPr>
            <w:tcW w:w="174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Others</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1,279</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206</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32.0%</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1,091</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225</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40.1%</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1,242</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226</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35.6%</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1,318</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192</w:t>
            </w:r>
          </w:p>
        </w:tc>
        <w:tc>
          <w:tcPr>
            <w:tcW w:w="4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14.6%</w:t>
            </w:r>
          </w:p>
        </w:tc>
        <w:tc>
          <w:tcPr>
            <w:tcW w:w="54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1,126</w:t>
            </w:r>
          </w:p>
        </w:tc>
        <w:tc>
          <w:tcPr>
            <w:tcW w:w="56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220</w:t>
            </w:r>
          </w:p>
        </w:tc>
        <w:tc>
          <w:tcPr>
            <w:tcW w:w="4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19.5%</w:t>
            </w:r>
          </w:p>
        </w:tc>
      </w:tr>
      <w:tr>
        <w:trPr/>
        <w:tc>
          <w:tcPr>
            <w:tcW w:w="174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Total Funding</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189,164</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851</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1.6%</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185,377</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1,324</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2.6%</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183,408</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1,449</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2.9%</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top w:val="single" w:sz="8" w:space="0" w:color="000000"/>
              <w:left w:val="single" w:sz="8" w:space="0" w:color="000000"/>
              <w:bottom w:val="single" w:sz="8" w:space="0" w:color="000000"/>
            </w:tcBorders>
            <w:tcMar>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192,631</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1,386</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0.7%</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183,962</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2,542</w:t>
            </w:r>
          </w:p>
        </w:tc>
        <w:tc>
          <w:tcPr>
            <w:tcW w:w="4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1.4%</w:t>
            </w:r>
          </w:p>
        </w:tc>
      </w:tr>
      <w:tr>
        <w:trPr/>
        <w:tc>
          <w:tcPr>
            <w:tcW w:w="174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Funding (LC)</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51.2%</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58.6%</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1.8%</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50.5%</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56.6%</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2.9%</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50.8%</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60.3%</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3.4%</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50.7%</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56.2%</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0.8%</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50.8%</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57.8%</w:t>
            </w:r>
          </w:p>
        </w:tc>
        <w:tc>
          <w:tcPr>
            <w:tcW w:w="4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1.6%</w:t>
            </w:r>
          </w:p>
        </w:tc>
      </w:tr>
      <w:tr>
        <w:trPr/>
        <w:tc>
          <w:tcPr>
            <w:tcW w:w="174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Funding (FC)</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48.8%</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41.4%</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49.5%</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43.4%</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2.3%</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49.2%</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39.7%</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2.4%</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49.3%</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43.8%</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0.6%</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49.2%</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42.2%</w:t>
            </w:r>
          </w:p>
        </w:tc>
        <w:tc>
          <w:tcPr>
            <w:tcW w:w="4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w:t>
            </w:r>
          </w:p>
        </w:tc>
      </w:tr>
      <w:tr>
        <w:trPr/>
        <w:tc>
          <w:tcPr>
            <w:tcW w:w="174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NIM</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227,280</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2,637</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4.6%</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222,290</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3,132</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5.6%</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220,652</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3,204</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5.8%</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top w:val="single" w:sz="8" w:space="0" w:color="000000"/>
              <w:left w:val="single" w:sz="8" w:space="0" w:color="000000"/>
              <w:bottom w:val="single" w:sz="8" w:space="0" w:color="000000"/>
            </w:tcBorders>
            <w:tcMar>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226,151</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5,275</w:t>
            </w:r>
          </w:p>
        </w:tc>
        <w:tc>
          <w:tcPr>
            <w:tcW w:w="4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4.7%</w:t>
            </w:r>
          </w:p>
        </w:tc>
        <w:tc>
          <w:tcPr>
            <w:tcW w:w="54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220,419</w:t>
            </w:r>
          </w:p>
        </w:tc>
        <w:tc>
          <w:tcPr>
            <w:tcW w:w="56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6,567</w:t>
            </w:r>
          </w:p>
        </w:tc>
        <w:tc>
          <w:tcPr>
            <w:tcW w:w="4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6.0%</w:t>
            </w:r>
          </w:p>
        </w:tc>
      </w:tr>
      <w:tr>
        <w:trPr/>
        <w:tc>
          <w:tcPr>
            <w:tcW w:w="174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NIM (LC)</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57.6%</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84.6%</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6.8%</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56.9%</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77.4%</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7.7%</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57.3%</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76.4%</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7.7%</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57.4%</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84.4%</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3.4%</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57.5%</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76.6%</w:t>
            </w:r>
          </w:p>
        </w:tc>
        <w:tc>
          <w:tcPr>
            <w:tcW w:w="4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w:t>
            </w:r>
          </w:p>
        </w:tc>
      </w:tr>
      <w:tr>
        <w:trPr/>
        <w:tc>
          <w:tcPr>
            <w:tcW w:w="174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NIM (FC)</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40.3%</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15.4%</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1.8%</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43.1%</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22.6%</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2.9%</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42.7%</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23.6%</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3.2%</w:t>
            </w:r>
          </w:p>
        </w:tc>
        <w:tc>
          <w:tcPr>
            <w:tcW w:w="6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42.6%</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15.6%</w:t>
            </w:r>
          </w:p>
        </w:tc>
        <w:tc>
          <w:tcPr>
            <w:tcW w:w="4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0.9%</w:t>
            </w:r>
          </w:p>
        </w:tc>
        <w:tc>
          <w:tcPr>
            <w:tcW w:w="54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42.5%</w:t>
            </w:r>
          </w:p>
        </w:tc>
        <w:tc>
          <w:tcPr>
            <w:tcW w:w="56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23.4%</w:t>
            </w:r>
          </w:p>
        </w:tc>
        <w:tc>
          <w:tcPr>
            <w:tcW w:w="4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QoQ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QoQ, </w:t>
      </w:r>
      <w:r>
        <w:rPr>
          <w:rFonts w:ascii="Arial;Helvetica;Sans-Serif" w:hAnsi="Arial;Helvetica;Sans-Serif"/>
          <w:b/>
          <w:i w:val="false"/>
          <w:caps w:val="false"/>
          <w:smallCaps w:val="false"/>
          <w:sz w:val="20"/>
        </w:rPr>
        <w:t>Net Interest Income</w:t>
      </w:r>
      <w:r>
        <w:rPr>
          <w:rFonts w:ascii="Arial;Helvetica;Sans-Serif" w:hAnsi="Arial;Helvetica;Sans-Serif"/>
          <w:b w:val="false"/>
          <w:i w:val="false"/>
          <w:caps w:val="false"/>
          <w:smallCaps w:val="false"/>
          <w:sz w:val="20"/>
        </w:rPr>
        <w:t xml:space="preserve"> rose 2.3%, driven by growth in both LC and FC. IEAs in LC represented 57.3% of total IEAs and accounted for 71.4% of Net Interest Income in 2Q23.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Dynamics in Local Currency (LC)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Net Interest Income </w:t>
      </w:r>
      <w:r>
        <w:rPr>
          <w:rFonts w:ascii="Arial;Helvetica;Sans-Serif" w:hAnsi="Arial;Helvetica;Sans-Serif"/>
          <w:b w:val="false"/>
          <w:i w:val="false"/>
          <w:caps w:val="false"/>
          <w:smallCaps w:val="false"/>
          <w:sz w:val="20"/>
        </w:rPr>
        <w:t>in LC increased 1.0% due to the following dynamics: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shift in the loan mix where a drop in Wholesale Loans was partially offset by growth in Retail Loans, leading to a 4.6% increase in structural loan income QoQ. Investment income also contributed positively (although to a lesser extent) with growth of 9.4% via renewals at higher interest rates. The combination of mix and pricing effects led the implicit rates for IEAs in LC to rise from 10.0% at the end of the first quarter to 10.5% at the end of 2Q23 and led income to rise 4.7%, despite the fact that average IEAs in LC remained stable.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Average funding in LC registered a moderate decline of 0.4%, which reflects a drop in Deposits and Due to banks and correspondents. This was partially offset by growth in funding with BCRP instruments, which registered an uptick in repo positions that compensated for expirations in Reactiva repos. The funding cost in LC rose from 2.9% in 1Q23 to 3.4% in 2Q23, which reflects growth in the share of time deposits within total funding and an uptick in the funding cost with repos. In this context, interest expenses rose 16.6%.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Dynamics in Foreign currency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Net Interest Income</w:t>
      </w:r>
      <w:r>
        <w:rPr>
          <w:rFonts w:ascii="Arial;Helvetica;Sans-Serif" w:hAnsi="Arial;Helvetica;Sans-Serif"/>
          <w:b w:val="false"/>
          <w:i w:val="false"/>
          <w:caps w:val="false"/>
          <w:smallCaps w:val="false"/>
          <w:sz w:val="20"/>
        </w:rPr>
        <w:t xml:space="preserve"> in FC rose 6.9% due to the following dynamics: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Average IEA in FC fell 1.8%, which was driven primarily by a drop in loans and to a lesser extent, by a reduction in the volume of Available funds and equivalents. The decrease in the exchange rate registered in the first quarter contributed to a drop in IEA. Notwithstanding income from loans was fueled by a positive mix effect, which led to an increase in implicit rates. In this context, yields on IEA in FC rose from 5.3% in 1Q23 to 5.7% in 2Q23. The aforementioned let interest income in FC to rise 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Average funding in FC fell 1.7% due to a reduction in balances for Bonds and Notes Issued (-11.4%) and deposits (-1.8%), which was partially offset by growth in funding with BCRP and banks (+17.2%). In this context, the average funding cost rose slightly from 2.3% to 2.4%, fueled almost entirely by growth in the cost of deposits (mix and price effect) and by the fact that other sources of funding reported reductions in their implicit rates. Interest expenses rose marginally (+0.2%).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27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1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4" descr=""/>
                          <pic:cNvPicPr>
                            <a:picLocks noChangeAspect="1" noChangeArrowheads="1"/>
                          </pic:cNvPicPr>
                        </pic:nvPicPr>
                        <pic:blipFill>
                          <a:blip r:embed="rId80"/>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2990" w:type="dxa"/>
        <w:jc w:val="left"/>
        <w:tblInd w:w="0" w:type="dxa"/>
        <w:tblLayout w:type="fixed"/>
        <w:tblCellMar>
          <w:top w:w="0" w:type="dxa"/>
          <w:left w:w="0" w:type="dxa"/>
          <w:bottom w:w="0" w:type="dxa"/>
          <w:right w:w="0" w:type="dxa"/>
        </w:tblCellMar>
      </w:tblPr>
      <w:tblGrid>
        <w:gridCol w:w="2990"/>
      </w:tblGrid>
      <w:tr>
        <w:trPr/>
        <w:tc>
          <w:tcPr>
            <w:tcW w:w="2990" w:type="dxa"/>
            <w:tcBorders/>
            <w:shd w:fill="E93CAC" w:val="clear"/>
            <w:vAlign w:val="center"/>
          </w:tcPr>
          <w:p>
            <w:pPr>
              <w:pStyle w:val="TableContents"/>
              <w:bidi w:val="0"/>
              <w:spacing w:before="0" w:after="283"/>
              <w:jc w:val="left"/>
              <w:rPr>
                <w:b/>
                <w:color w:val="FFFFFF"/>
                <w:sz w:val="24"/>
              </w:rPr>
            </w:pPr>
            <w:r>
              <w:rPr>
                <w:b/>
                <w:color w:val="FFFFFF"/>
                <w:sz w:val="24"/>
              </w:rPr>
              <w:t>04. Net Interest Income (NII)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YoY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YoY, Net interest income rose 21.512.7% in a context marked by a drop in average IEAs in 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Dynamics in Local Currency (LC)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Net Interest Income</w:t>
      </w:r>
      <w:r>
        <w:rPr>
          <w:rFonts w:ascii="Arial;Helvetica;Sans-Serif" w:hAnsi="Arial;Helvetica;Sans-Serif"/>
          <w:b w:val="false"/>
          <w:i w:val="false"/>
          <w:caps w:val="false"/>
          <w:smallCaps w:val="false"/>
          <w:sz w:val="20"/>
        </w:rPr>
        <w:t xml:space="preserve"> in LC rose 9.8% YoY due to the following dynamics: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Average IEA in LC dropped 3.5% due to a reduction in loan volumes, where the 6.5% increase in structural loans was insufficient to offset the impact of Reactiva amortizations. The IEA yield rose from 8.2% to 10.5% (218bps), triggered by the fact that the Reactiva balance contracted while structural loans reported higher growth in year-over-year terms. Investment positions were renewed at higher rates during the period, which also contributed, albeit to a lesser extent, to the increase in yield. In this context, interest income from IEA rose 21.7%.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Average funding in LC dropped 3.7% due to a reduction in BCRP repo balances, which reflects amortizations of Reactiva loans. This decrease was offset by growth in Time deposits. The loan mix registered a YoY variation that led the funding cost to rise from 1.8% in 2Q22 to 3.4% in 2Q23. In this context, interest expenses in LC increased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Dynamics in Foreign Currency (FC)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Net Interest Income</w:t>
      </w:r>
      <w:r>
        <w:rPr>
          <w:rFonts w:ascii="Arial;Helvetica;Sans-Serif" w:hAnsi="Arial;Helvetica;Sans-Serif"/>
          <w:b w:val="false"/>
          <w:i w:val="false"/>
          <w:caps w:val="false"/>
          <w:smallCaps w:val="false"/>
          <w:sz w:val="20"/>
        </w:rPr>
        <w:t xml:space="preserve"> in FC rose 85.6%, driven by the following dynamics: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Average IEA in FC rose 2.7%, fueled primarily by growth in Available funds (+8.2%) and secondarily by an uptick in loans (+2.7%). The uptick in Available funds was monetized through BCP deposits, which, in a context of higher rates, contributed to increasing the IEA yield. Loan growth, in turn, was concentrated in higher-yield segments. In this context, the IEA yield rose from 3.3% in 2Q22 to 5.7% in 2Q23 while interest income increased 75.4%.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Average funding in LC contracted 2.3%, which was primarily due to a drop in deposit balances (-5.1%) and secondarily to a decrease in Bonds and Notes Issued (-14.1%), which fell due to the expiration of an issuance. It is important to note that the reduction in deposits was concentrated in low-cost deposits (Demand and Savings) while Time deposits registered an increase in their share of total deposits. In this context, the average funding cost rose from 1.3% in 2Q22 to 2.4% in 2Q23. Interest expenses, in turn, rose 63.6%.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28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1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5" descr=""/>
                          <pic:cNvPicPr>
                            <a:picLocks noChangeAspect="1" noChangeArrowheads="1"/>
                          </pic:cNvPicPr>
                        </pic:nvPicPr>
                        <pic:blipFill>
                          <a:blip r:embed="rId81"/>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95"/>
        <w:gridCol w:w="1670"/>
      </w:tblGrid>
      <w:tr>
        <w:trPr/>
        <w:tc>
          <w:tcPr>
            <w:tcW w:w="695" w:type="dxa"/>
            <w:tcBorders/>
            <w:vAlign w:val="center"/>
          </w:tcPr>
          <w:p>
            <w:pPr>
              <w:pStyle w:val="TableContents"/>
              <w:bidi w:val="0"/>
              <w:spacing w:before="0" w:after="283"/>
              <w:jc w:val="left"/>
              <w:rPr>
                <w:rFonts w:ascii="Arial;Helvetica;Sans-Serif" w:hAnsi="Arial;Helvetica;Sans-Serif"/>
                <w:b/>
                <w:color w:val="E93CAC"/>
                <w:sz w:val="58"/>
              </w:rPr>
            </w:pPr>
            <w:r>
              <w:rPr>
                <w:rFonts w:ascii="Arial;Helvetica;Sans-Serif" w:hAnsi="Arial;Helvetica;Sans-Serif"/>
                <w:b/>
                <w:color w:val="E93CAC"/>
                <w:sz w:val="58"/>
              </w:rPr>
              <w:t>05</w:t>
            </w:r>
          </w:p>
        </w:tc>
        <w:tc>
          <w:tcPr>
            <w:tcW w:w="1670" w:type="dxa"/>
            <w:tcBorders/>
            <w:vAlign w:val="center"/>
          </w:tcPr>
          <w:p>
            <w:pPr>
              <w:pStyle w:val="TableContents"/>
              <w:bidi w:val="0"/>
              <w:spacing w:before="0" w:after="283"/>
              <w:jc w:val="left"/>
              <w:rPr>
                <w:rFonts w:ascii="Arial;Helvetica;Sans-Serif" w:hAnsi="Arial;Helvetica;Sans-Serif"/>
                <w:color w:val="E93CAC"/>
                <w:sz w:val="36"/>
              </w:rPr>
            </w:pPr>
            <w:r>
              <w:rPr>
                <w:rFonts w:ascii="Arial;Helvetica;Sans-Serif" w:hAnsi="Arial;Helvetica;Sans-Serif"/>
                <w:color w:val="E93CAC"/>
                <w:sz w:val="36"/>
              </w:rPr>
              <w:t>Provisions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shd w:fill="E93CAC" w:val="clear"/>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Structural provisions remain at historically high levels in Consumer Loans and Credit Cards at BCP, as well as at Mibanco due to the impacts of the recessive macroeconomic context where high inflation, lower domestic demand and high interest rates weighed heavily. At BCP, the most affected portion of the portfolio corresponds to vulnerable subsegments, which report higher leverage system wide and less job stability; while at Mibanco deterioration was most significant for loans impacted by the adverse events in the first quarter. SMEs, in turn, drove QoQ growth after higher-risk and high-yield subsegments registered a decrease in payment capacity.</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In the aforementioned context, the Structural Cost of Risk (CdR) increased 23bps QoQ and stood at 2.32% in 2Q23.</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Provisions and the Cost of Risk (CdR) (1) of the Structural Portfolio</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10" w:type="dxa"/>
        <w:tblLayout w:type="fixed"/>
        <w:tblCellMar>
          <w:top w:w="28" w:type="dxa"/>
          <w:left w:w="40" w:type="dxa"/>
          <w:bottom w:w="0" w:type="dxa"/>
          <w:right w:w="40" w:type="dxa"/>
        </w:tblCellMar>
      </w:tblPr>
      <w:tblGrid>
        <w:gridCol w:w="4040"/>
        <w:gridCol w:w="605"/>
        <w:gridCol w:w="605"/>
        <w:gridCol w:w="605"/>
        <w:gridCol w:w="440"/>
        <w:gridCol w:w="515"/>
        <w:gridCol w:w="605"/>
        <w:gridCol w:w="785"/>
        <w:gridCol w:w="800"/>
      </w:tblGrid>
      <w:tr>
        <w:trPr/>
        <w:tc>
          <w:tcPr>
            <w:tcW w:w="404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Structural Loan Portfolio Provisions</w:t>
            </w:r>
          </w:p>
        </w:tc>
        <w:tc>
          <w:tcPr>
            <w:tcW w:w="181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Quarter </w:t>
            </w:r>
          </w:p>
        </w:tc>
        <w:tc>
          <w:tcPr>
            <w:tcW w:w="955"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c>
          <w:tcPr>
            <w:tcW w:w="139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As of</w:t>
            </w:r>
          </w:p>
        </w:tc>
        <w:tc>
          <w:tcPr>
            <w:tcW w:w="800"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r>
      <w:tr>
        <w:trPr/>
        <w:tc>
          <w:tcPr>
            <w:tcW w:w="4040"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S/ 000</w:t>
            </w:r>
          </w:p>
        </w:tc>
        <w:tc>
          <w:tcPr>
            <w:tcW w:w="605"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2Q22</w:t>
            </w:r>
          </w:p>
        </w:tc>
        <w:tc>
          <w:tcPr>
            <w:tcW w:w="60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1Q23</w:t>
            </w:r>
          </w:p>
        </w:tc>
        <w:tc>
          <w:tcPr>
            <w:tcW w:w="60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2Q23</w:t>
            </w:r>
          </w:p>
        </w:tc>
        <w:tc>
          <w:tcPr>
            <w:tcW w:w="4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QoQ</w:t>
            </w:r>
          </w:p>
        </w:tc>
        <w:tc>
          <w:tcPr>
            <w:tcW w:w="51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YoY</w:t>
            </w:r>
          </w:p>
        </w:tc>
        <w:tc>
          <w:tcPr>
            <w:tcW w:w="60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1H22</w:t>
            </w:r>
          </w:p>
        </w:tc>
        <w:tc>
          <w:tcPr>
            <w:tcW w:w="78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w:t>
            </w:r>
          </w:p>
        </w:tc>
        <w:tc>
          <w:tcPr>
            <w:tcW w:w="80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 / 1H22</w:t>
            </w:r>
          </w:p>
        </w:tc>
      </w:tr>
      <w:tr>
        <w:trPr/>
        <w:tc>
          <w:tcPr>
            <w:tcW w:w="404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Gross provision for credit losses on loan portfolio</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(440,467)</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(799,129)</w:t>
            </w:r>
          </w:p>
        </w:tc>
        <w:tc>
          <w:tcPr>
            <w:tcW w:w="60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(882,156)</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10.4%</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100.3%</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(795,020)</w:t>
            </w:r>
          </w:p>
        </w:tc>
        <w:tc>
          <w:tcPr>
            <w:tcW w:w="785"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rFonts w:ascii="Arial;Helvetica;Sans-Serif" w:hAnsi="Arial;Helvetica;Sans-Serif"/>
                <w:sz w:val="14"/>
              </w:rPr>
              <w:t>(1,681,285)</w:t>
            </w:r>
          </w:p>
        </w:tc>
        <w:tc>
          <w:tcPr>
            <w:tcW w:w="8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111.5%</w:t>
            </w:r>
          </w:p>
        </w:tc>
      </w:tr>
      <w:tr>
        <w:trPr/>
        <w:tc>
          <w:tcPr>
            <w:tcW w:w="404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Recoveries of written-off loans</w:t>
            </w:r>
          </w:p>
        </w:tc>
        <w:tc>
          <w:tcPr>
            <w:tcW w:w="605" w:type="dxa"/>
            <w:tcBorders/>
            <w:tcMar>
              <w:top w:w="0" w:type="dxa"/>
              <w:left w:w="0" w:type="dxa"/>
              <w:right w:w="0" w:type="dxa"/>
            </w:tcMar>
            <w:vAlign w:val="center"/>
          </w:tcPr>
          <w:p>
            <w:pPr>
              <w:pStyle w:val="TableContents"/>
              <w:bidi w:val="0"/>
              <w:spacing w:before="0" w:after="283"/>
              <w:jc w:val="right"/>
              <w:rPr/>
            </w:pPr>
            <w:r>
              <w:rPr/>
              <w:t> </w:t>
            </w:r>
            <w:r>
              <w:rPr>
                <w:rFonts w:ascii="Arial;Helvetica;Sans-Serif" w:hAnsi="Arial;Helvetica;Sans-Serif"/>
                <w:sz w:val="14"/>
              </w:rPr>
              <w:t>83,745</w:t>
            </w:r>
          </w:p>
        </w:tc>
        <w:tc>
          <w:tcPr>
            <w:tcW w:w="605" w:type="dxa"/>
            <w:tcBorders/>
            <w:tcMar>
              <w:top w:w="0" w:type="dxa"/>
              <w:left w:w="0" w:type="dxa"/>
              <w:right w:w="0" w:type="dxa"/>
            </w:tcMar>
            <w:vAlign w:val="center"/>
          </w:tcPr>
          <w:p>
            <w:pPr>
              <w:pStyle w:val="TableContents"/>
              <w:bidi w:val="0"/>
              <w:spacing w:before="0" w:after="283"/>
              <w:jc w:val="right"/>
              <w:rPr/>
            </w:pPr>
            <w:r>
              <w:rPr/>
              <w:t> </w:t>
            </w:r>
            <w:r>
              <w:rPr>
                <w:rFonts w:ascii="Arial;Helvetica;Sans-Serif" w:hAnsi="Arial;Helvetica;Sans-Serif"/>
                <w:sz w:val="14"/>
              </w:rPr>
              <w:t>75,109</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rFonts w:ascii="Arial;Helvetica;Sans-Serif" w:hAnsi="Arial;Helvetica;Sans-Serif"/>
                <w:sz w:val="14"/>
              </w:rPr>
              <w:t>81,872</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9.0%</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-2.2%</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176,836</w:t>
            </w:r>
          </w:p>
        </w:tc>
        <w:tc>
          <w:tcPr>
            <w:tcW w:w="785"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rFonts w:ascii="Arial;Helvetica;Sans-Serif" w:hAnsi="Arial;Helvetica;Sans-Serif"/>
                <w:sz w:val="14"/>
              </w:rPr>
              <w:t>156,981</w:t>
            </w:r>
          </w:p>
        </w:tc>
        <w:tc>
          <w:tcPr>
            <w:tcW w:w="80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-11.2%</w:t>
            </w:r>
          </w:p>
        </w:tc>
      </w:tr>
      <w:tr>
        <w:trPr/>
        <w:tc>
          <w:tcPr>
            <w:tcW w:w="404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Provision for credit losses on loan portfolio, net of recoveries</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(356,722)</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(724,020)</w:t>
            </w:r>
          </w:p>
        </w:tc>
        <w:tc>
          <w:tcPr>
            <w:tcW w:w="60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(800,284)</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10.5%</w:t>
            </w:r>
          </w:p>
        </w:tc>
        <w:tc>
          <w:tcPr>
            <w:tcW w:w="5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124.3%</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(618,184)</w:t>
            </w:r>
          </w:p>
        </w:tc>
        <w:tc>
          <w:tcPr>
            <w:tcW w:w="78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right"/>
              <w:rPr/>
            </w:pPr>
            <w:r>
              <w:rPr/>
              <w:t> </w:t>
            </w:r>
            <w:r>
              <w:rPr>
                <w:rFonts w:ascii="Arial;Helvetica;Sans-Serif" w:hAnsi="Arial;Helvetica;Sans-Serif"/>
                <w:b/>
                <w:sz w:val="14"/>
              </w:rPr>
              <w:t>(1,524,304)</w:t>
            </w:r>
          </w:p>
        </w:tc>
        <w:tc>
          <w:tcPr>
            <w:tcW w:w="80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146.6%</w:t>
            </w:r>
          </w:p>
        </w:tc>
      </w:tr>
      <w:tr>
        <w:trPr/>
        <w:tc>
          <w:tcPr>
            <w:tcW w:w="404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lineRule="auto" w:line="240" w:before="0" w:after="283"/>
              <w:jc w:val="left"/>
              <w:rPr>
                <w:rFonts w:ascii="Arial;Helvetica;Sans-Serif" w:hAnsi="Arial;Helvetica;Sans-Serif"/>
                <w:sz w:val="14"/>
              </w:rPr>
            </w:pPr>
            <w:r>
              <w:rPr>
                <w:rFonts w:ascii="Arial;Helvetica;Sans-Serif" w:hAnsi="Arial;Helvetica;Sans-Serif"/>
                <w:sz w:val="14"/>
              </w:rPr>
              <w:t>Structural Cost of risk (2)</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1.05%</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2.09%</w:t>
            </w:r>
          </w:p>
        </w:tc>
        <w:tc>
          <w:tcPr>
            <w:tcW w:w="60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rFonts w:ascii="Arial;Helvetica;Sans-Serif" w:hAnsi="Arial;Helvetica;Sans-Serif"/>
                <w:sz w:val="14"/>
              </w:rPr>
              <w:t>2.32%</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23 bps</w:t>
            </w:r>
          </w:p>
        </w:tc>
        <w:tc>
          <w:tcPr>
            <w:tcW w:w="5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127 bps</w:t>
            </w:r>
          </w:p>
        </w:tc>
        <w:tc>
          <w:tcPr>
            <w:tcW w:w="605"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right"/>
              <w:rPr/>
            </w:pPr>
            <w:r>
              <w:rPr/>
              <w:t>   </w:t>
            </w:r>
            <w:r>
              <w:rPr>
                <w:rFonts w:ascii="Arial;Helvetica;Sans-Serif" w:hAnsi="Arial;Helvetica;Sans-Serif"/>
                <w:sz w:val="14"/>
              </w:rPr>
              <w:t>0.91%</w:t>
            </w:r>
          </w:p>
        </w:tc>
        <w:tc>
          <w:tcPr>
            <w:tcW w:w="78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rFonts w:ascii="Arial;Helvetica;Sans-Serif" w:hAnsi="Arial;Helvetica;Sans-Serif"/>
                <w:sz w:val="14"/>
              </w:rPr>
              <w:t>2.21%</w:t>
            </w:r>
          </w:p>
        </w:tc>
        <w:tc>
          <w:tcPr>
            <w:tcW w:w="800"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130 bps</w:t>
            </w:r>
          </w:p>
        </w:tc>
      </w:tr>
    </w:tbl>
    <w:tbl>
      <w:tblPr>
        <w:tblW w:w="5613" w:type="dxa"/>
        <w:jc w:val="left"/>
        <w:tblInd w:w="0" w:type="dxa"/>
        <w:tblLayout w:type="fixed"/>
        <w:tblCellMar>
          <w:top w:w="0" w:type="dxa"/>
          <w:left w:w="0" w:type="dxa"/>
          <w:bottom w:w="0" w:type="dxa"/>
          <w:right w:w="0" w:type="dxa"/>
        </w:tblCellMar>
      </w:tblPr>
      <w:tblGrid>
        <w:gridCol w:w="38"/>
        <w:gridCol w:w="185"/>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539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Provision for credit losses on loan portfolio, net of annualized recoveries / Total loans.</w:t>
            </w:r>
          </w:p>
        </w:tc>
      </w:tr>
    </w:tbl>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8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The Cost of structural risk excludes Provisions for credit losses for the loan portfolio, net of recoveries and Placements of the government programs (PG) Reactiva Perú and FAE.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Structural provisions remain at historic peak (excluding the outlier expense reported during the pandemic) in </w:t>
      </w:r>
      <w:r>
        <w:rPr>
          <w:rFonts w:ascii="Arial;Helvetica;Sans-Serif" w:hAnsi="Arial;Helvetica;Sans-Serif"/>
          <w:b/>
          <w:i w:val="false"/>
          <w:caps w:val="false"/>
          <w:smallCaps w:val="false"/>
          <w:sz w:val="20"/>
        </w:rPr>
        <w:t xml:space="preserve">Retail Banking </w:t>
      </w:r>
      <w:r>
        <w:rPr>
          <w:rFonts w:ascii="Arial;Helvetica;Sans-Serif" w:hAnsi="Arial;Helvetica;Sans-Serif"/>
          <w:b w:val="false"/>
          <w:i w:val="false"/>
          <w:caps w:val="false"/>
          <w:smallCaps w:val="false"/>
          <w:sz w:val="20"/>
        </w:rPr>
        <w:t xml:space="preserve">and at </w:t>
      </w:r>
      <w:r>
        <w:rPr>
          <w:rFonts w:ascii="Arial;Helvetica;Sans-Serif" w:hAnsi="Arial;Helvetica;Sans-Serif"/>
          <w:b/>
          <w:i w:val="false"/>
          <w:caps w:val="false"/>
          <w:smallCaps w:val="false"/>
          <w:sz w:val="20"/>
        </w:rPr>
        <w:t xml:space="preserve">Mibanco </w:t>
      </w:r>
      <w:r>
        <w:rPr>
          <w:rFonts w:ascii="Arial;Helvetica;Sans-Serif" w:hAnsi="Arial;Helvetica;Sans-Serif"/>
          <w:b w:val="false"/>
          <w:i w:val="false"/>
          <w:caps w:val="false"/>
          <w:smallCaps w:val="false"/>
          <w:sz w:val="20"/>
        </w:rPr>
        <w:t xml:space="preserve">where clients have been severely impacted by an adverse macroeconomic environment marked by a drop internal demand, high inflation and historically high interest rates. At </w:t>
      </w:r>
      <w:r>
        <w:rPr>
          <w:rFonts w:ascii="Arial;Helvetica;Sans-Serif" w:hAnsi="Arial;Helvetica;Sans-Serif"/>
          <w:b/>
          <w:i w:val="false"/>
          <w:caps w:val="false"/>
          <w:smallCaps w:val="false"/>
          <w:sz w:val="20"/>
        </w:rPr>
        <w:t>BCP</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 xml:space="preserve">Consumer Loans </w:t>
      </w:r>
      <w:r>
        <w:rPr>
          <w:rFonts w:ascii="Arial;Helvetica;Sans-Serif" w:hAnsi="Arial;Helvetica;Sans-Serif"/>
          <w:b w:val="false"/>
          <w:i w:val="false"/>
          <w:caps w:val="false"/>
          <w:smallCaps w:val="false"/>
          <w:sz w:val="20"/>
        </w:rPr>
        <w:t xml:space="preserve">and </w:t>
      </w:r>
      <w:r>
        <w:rPr>
          <w:rFonts w:ascii="Arial;Helvetica;Sans-Serif" w:hAnsi="Arial;Helvetica;Sans-Serif"/>
          <w:b/>
          <w:i w:val="false"/>
          <w:caps w:val="false"/>
          <w:smallCaps w:val="false"/>
          <w:sz w:val="20"/>
        </w:rPr>
        <w:t>Credit Cards</w:t>
      </w:r>
      <w:r>
        <w:rPr>
          <w:rFonts w:ascii="Arial;Helvetica;Sans-Serif" w:hAnsi="Arial;Helvetica;Sans-Serif"/>
          <w:b w:val="false"/>
          <w:i w:val="false"/>
          <w:caps w:val="false"/>
          <w:smallCaps w:val="false"/>
          <w:sz w:val="20"/>
        </w:rPr>
        <w:t xml:space="preserve">, were the most impacted, particularly via vulnerable subsegments which are highly leveraged at the system level and experience instability on the employment front. In the case of </w:t>
      </w:r>
      <w:r>
        <w:rPr>
          <w:rFonts w:ascii="Arial;Helvetica;Sans-Serif" w:hAnsi="Arial;Helvetica;Sans-Serif"/>
          <w:b/>
          <w:i w:val="false"/>
          <w:caps w:val="false"/>
          <w:smallCaps w:val="false"/>
          <w:sz w:val="20"/>
        </w:rPr>
        <w:t>Mibanco</w:t>
      </w:r>
      <w:r>
        <w:rPr>
          <w:rFonts w:ascii="Arial;Helvetica;Sans-Serif" w:hAnsi="Arial;Helvetica;Sans-Serif"/>
          <w:b w:val="false"/>
          <w:i w:val="false"/>
          <w:caps w:val="false"/>
          <w:smallCaps w:val="false"/>
          <w:sz w:val="20"/>
        </w:rPr>
        <w:t>, clients have begun to register further deterioration due to adverse events in 1Q23.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Pyme </w:t>
      </w:r>
      <w:r>
        <w:rPr>
          <w:rFonts w:ascii="Arial;Helvetica;Sans-Serif" w:hAnsi="Arial;Helvetica;Sans-Serif"/>
          <w:b w:val="false"/>
          <w:i w:val="false"/>
          <w:caps w:val="false"/>
          <w:smallCaps w:val="false"/>
          <w:sz w:val="20"/>
        </w:rPr>
        <w:t xml:space="preserve">led growth of the QoQ provisions expense, via a deterioration in payment behavior in higher-risk and lower-ticket (&lt; S/90 thousand) subsegments. This increase was partially offset by the slight reduction in </w:t>
      </w:r>
      <w:r>
        <w:rPr>
          <w:rFonts w:ascii="Arial;Helvetica;Sans-Serif" w:hAnsi="Arial;Helvetica;Sans-Serif"/>
          <w:b/>
          <w:i w:val="false"/>
          <w:caps w:val="false"/>
          <w:smallCaps w:val="false"/>
          <w:sz w:val="20"/>
        </w:rPr>
        <w:t xml:space="preserve">Mibanco’s </w:t>
      </w:r>
      <w:r>
        <w:rPr>
          <w:rFonts w:ascii="Arial;Helvetica;Sans-Serif" w:hAnsi="Arial;Helvetica;Sans-Serif"/>
          <w:b w:val="false"/>
          <w:i w:val="false"/>
          <w:caps w:val="false"/>
          <w:smallCaps w:val="false"/>
          <w:sz w:val="20"/>
        </w:rPr>
        <w:t>provisions due to methodological improvements implemented to better reflect payment behavior.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evolution of provisions and a drop in loan volume led the structural CdR increased 23bps, standing at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mc:AlternateContent>
          <mc:Choice Requires="wps">
            <w:drawing>
              <wp:anchor behindDoc="0" distT="0" distB="0" distL="0" distR="0" simplePos="0" locked="0" layoutInCell="1" allowOverlap="1" relativeHeight="37">
                <wp:simplePos x="0" y="0"/>
                <wp:positionH relativeFrom="column">
                  <wp:align>right</wp:align>
                </wp:positionH>
                <wp:positionV relativeFrom="line">
                  <wp:posOffset>635</wp:posOffset>
                </wp:positionV>
                <wp:extent cx="3110230" cy="2121535"/>
                <wp:effectExtent l="0" t="0" r="0" b="0"/>
                <wp:wrapSquare wrapText="left"/>
                <wp:docPr id="115" name="Frame36"/>
                <a:graphic xmlns:a="http://schemas.openxmlformats.org/drawingml/2006/main">
                  <a:graphicData uri="http://schemas.microsoft.com/office/word/2010/wordprocessingShape">
                    <wps:wsp>
                      <wps:cNvSpPr txBox="1"/>
                      <wps:spPr>
                        <a:xfrm>
                          <a:off x="0" y="0"/>
                          <a:ext cx="3110230" cy="2121535"/>
                        </a:xfrm>
                        <a:prstGeom prst="rect"/>
                        <a:solidFill>
                          <a:srgbClr val="FFFFFF"/>
                        </a:solidFill>
                      </wps:spPr>
                      <wps:txb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Structural Cost of Risk by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1800225"/>
                                  <wp:effectExtent l="0" t="0" r="0" b="0"/>
                                  <wp:docPr id="11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6" descr=""/>
                                          <pic:cNvPicPr>
                                            <a:picLocks noChangeAspect="1" noChangeArrowheads="1"/>
                                          </pic:cNvPicPr>
                                        </pic:nvPicPr>
                                        <pic:blipFill>
                                          <a:blip r:embed="rId82"/>
                                          <a:stretch>
                                            <a:fillRect/>
                                          </a:stretch>
                                        </pic:blipFill>
                                        <pic:spPr bwMode="auto">
                                          <a:xfrm>
                                            <a:off x="0" y="0"/>
                                            <a:ext cx="3333750" cy="180022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7.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Structural Cost of Risk by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1800225"/>
                            <wp:effectExtent l="0" t="0" r="0" b="0"/>
                            <wp:docPr id="11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6" descr=""/>
                                    <pic:cNvPicPr>
                                      <a:picLocks noChangeAspect="1" noChangeArrowheads="1"/>
                                    </pic:cNvPicPr>
                                  </pic:nvPicPr>
                                  <pic:blipFill>
                                    <a:blip r:embed="rId83"/>
                                    <a:stretch>
                                      <a:fillRect/>
                                    </a:stretch>
                                  </pic:blipFill>
                                  <pic:spPr bwMode="auto">
                                    <a:xfrm>
                                      <a:off x="0" y="0"/>
                                      <a:ext cx="3333750" cy="180022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3110230" cy="2700655"/>
                <wp:effectExtent l="0" t="0" r="0" b="0"/>
                <wp:wrapSquare wrapText="right"/>
                <wp:docPr id="118" name="Frame35"/>
                <a:graphic xmlns:a="http://schemas.openxmlformats.org/drawingml/2006/main">
                  <a:graphicData uri="http://schemas.microsoft.com/office/word/2010/wordprocessingShape">
                    <wps:wsp>
                      <wps:cNvSpPr txBox="1"/>
                      <wps:spPr>
                        <a:xfrm>
                          <a:off x="0" y="0"/>
                          <a:ext cx="3110230" cy="2700655"/>
                        </a:xfrm>
                        <a:prstGeom prst="rect"/>
                        <a:solidFill>
                          <a:srgbClr val="FFFFFF"/>
                        </a:solidFill>
                      </wps:spPr>
                      <wps:txbx>
                        <w:txbxContent>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YoY </w:t>
                            </w:r>
                            <w:r>
                              <w:rPr>
                                <w:rFonts w:ascii="Arial;Helvetica;Sans-Serif" w:hAnsi="Arial;Helvetica;Sans-Serif"/>
                                <w:b w:val="false"/>
                                <w:i w:val="false"/>
                                <w:caps w:val="false"/>
                                <w:smallCaps w:val="false"/>
                                <w:sz w:val="20"/>
                              </w:rPr>
                              <w:t xml:space="preserve">and </w:t>
                            </w:r>
                            <w:r>
                              <w:rPr>
                                <w:rFonts w:ascii="Arial;Helvetica;Sans-Serif" w:hAnsi="Arial;Helvetica;Sans-Serif"/>
                                <w:b/>
                                <w:i w:val="false"/>
                                <w:caps w:val="false"/>
                                <w:smallCaps w:val="false"/>
                                <w:sz w:val="20"/>
                              </w:rPr>
                              <w:t xml:space="preserve">YTD, </w:t>
                            </w:r>
                            <w:r>
                              <w:rPr>
                                <w:rFonts w:ascii="Arial;Helvetica;Sans-Serif" w:hAnsi="Arial;Helvetica;Sans-Serif"/>
                                <w:b w:val="false"/>
                                <w:i w:val="false"/>
                                <w:caps w:val="false"/>
                                <w:smallCaps w:val="false"/>
                                <w:sz w:val="20"/>
                              </w:rPr>
                              <w:t>provisions presented growth over an low base after pre-pandemic parameters on provision models were reinstituted in 2022. Growth in provisions was driven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Consumer and Credit Card,</w:t>
                                  </w:r>
                                  <w:r>
                                    <w:rPr/>
                                    <w:t xml:space="preserve"> due to the impact of the macroeconomic environment on the most vulnerable subsegments (describe in the QoQ evolution).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SME-Pyme</w:t>
                                  </w:r>
                                  <w:r>
                                    <w:rPr/>
                                    <w:t>, due to the same factors that drove the QoQ evolution and to an increase in the leverage reported in the system for higher-risk sub-segments.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 xml:space="preserve">Mibanco, </w:t>
                                  </w:r>
                                  <w:r>
                                    <w:rPr/>
                                    <w:t>driven by a deterioration in payment behavior of clients who had benefitted from reprogrammed loans in 1Q23 and by new macroeconomic projections that indicate challenges down the road.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YoY </w:t>
                      </w:r>
                      <w:r>
                        <w:rPr>
                          <w:rFonts w:ascii="Arial;Helvetica;Sans-Serif" w:hAnsi="Arial;Helvetica;Sans-Serif"/>
                          <w:b w:val="false"/>
                          <w:i w:val="false"/>
                          <w:caps w:val="false"/>
                          <w:smallCaps w:val="false"/>
                          <w:sz w:val="20"/>
                        </w:rPr>
                        <w:t xml:space="preserve">and </w:t>
                      </w:r>
                      <w:r>
                        <w:rPr>
                          <w:rFonts w:ascii="Arial;Helvetica;Sans-Serif" w:hAnsi="Arial;Helvetica;Sans-Serif"/>
                          <w:b/>
                          <w:i w:val="false"/>
                          <w:caps w:val="false"/>
                          <w:smallCaps w:val="false"/>
                          <w:sz w:val="20"/>
                        </w:rPr>
                        <w:t xml:space="preserve">YTD, </w:t>
                      </w:r>
                      <w:r>
                        <w:rPr>
                          <w:rFonts w:ascii="Arial;Helvetica;Sans-Serif" w:hAnsi="Arial;Helvetica;Sans-Serif"/>
                          <w:b w:val="false"/>
                          <w:i w:val="false"/>
                          <w:caps w:val="false"/>
                          <w:smallCaps w:val="false"/>
                          <w:sz w:val="20"/>
                        </w:rPr>
                        <w:t>provisions presented growth over an low base after pre-pandemic parameters on provision models were reinstituted in 2022. Growth in provisions was driven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Consumer and Credit Card,</w:t>
                            </w:r>
                            <w:r>
                              <w:rPr/>
                              <w:t xml:space="preserve"> due to the impact of the macroeconomic environment on the most vulnerable subsegments (describe in the QoQ evolution).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SME-Pyme</w:t>
                            </w:r>
                            <w:r>
                              <w:rPr/>
                              <w:t>, due to the same factors that drove the QoQ evolution and to an increase in the leverage reported in the system for higher-risk sub-segments.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 xml:space="preserve">Mibanco, </w:t>
                            </w:r>
                            <w:r>
                              <w:rPr/>
                              <w:t>driven by a deterioration in payment behavior of clients who had benefitted from reprogrammed loans in 1Q23 and by new macroeconomic projections that indicate challenges down the road.</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evolution of provisions led the structural CdR to increase YoY and YTD 127bps and 130bps,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adverse macroeconomic scenario and the impact we have observed on all of our clients payment behavior led us to refine our process to segment clients by risk profile. We have also reviewed the risk appetite for the Individuals (consumer loans and credit cards), SMEs and Mibanco segments and are implementing more restrictive origination policies. Mibanco began this restrictive process in May 2022; while BCP rolled-out gradual restrictions throughout the first half of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1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7" descr=""/>
                          <pic:cNvPicPr>
                            <a:picLocks noChangeAspect="1" noChangeArrowheads="1"/>
                          </pic:cNvPicPr>
                        </pic:nvPicPr>
                        <pic:blipFill>
                          <a:blip r:embed="rId84"/>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1670" w:type="dxa"/>
        <w:jc w:val="left"/>
        <w:tblInd w:w="0" w:type="dxa"/>
        <w:shd w:fill="E93CAC" w:val="clear"/>
        <w:tblLayout w:type="fixed"/>
        <w:tblCellMar>
          <w:top w:w="0" w:type="dxa"/>
          <w:left w:w="0" w:type="dxa"/>
          <w:bottom w:w="0" w:type="dxa"/>
          <w:right w:w="0" w:type="dxa"/>
        </w:tblCellMar>
      </w:tblPr>
      <w:tblGrid>
        <w:gridCol w:w="1670"/>
      </w:tblGrid>
      <w:tr>
        <w:trPr/>
        <w:tc>
          <w:tcPr>
            <w:tcW w:w="167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05. Provisions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Provisions and CofR of Government Loans (PG)</w:t>
      </w:r>
    </w:p>
    <w:p>
      <w:pPr>
        <w:pStyle w:val="TextBody"/>
        <w:bidi w:val="0"/>
        <w:spacing w:before="0" w:after="0"/>
        <w:ind w:left="0" w:right="0" w:hanging="0"/>
        <w:jc w:val="left"/>
        <w:rPr>
          <w:caps w:val="false"/>
          <w:smallCaps w:val="false"/>
        </w:rPr>
      </w:pPr>
      <w:r>
        <w:rPr>
          <w:caps w:val="false"/>
          <w:smallCaps w:val="false"/>
        </w:rPr>
        <w:t> </w:t>
      </w:r>
    </w:p>
    <w:tbl>
      <w:tblPr>
        <w:tblW w:w="7920" w:type="dxa"/>
        <w:jc w:val="left"/>
        <w:tblInd w:w="-10" w:type="dxa"/>
        <w:tblLayout w:type="fixed"/>
        <w:tblCellMar>
          <w:top w:w="28" w:type="dxa"/>
          <w:left w:w="60" w:type="dxa"/>
          <w:bottom w:w="0" w:type="dxa"/>
          <w:right w:w="60" w:type="dxa"/>
        </w:tblCellMar>
      </w:tblPr>
      <w:tblGrid>
        <w:gridCol w:w="4025"/>
        <w:gridCol w:w="455"/>
        <w:gridCol w:w="455"/>
        <w:gridCol w:w="455"/>
        <w:gridCol w:w="440"/>
        <w:gridCol w:w="440"/>
        <w:gridCol w:w="455"/>
        <w:gridCol w:w="455"/>
        <w:gridCol w:w="740"/>
      </w:tblGrid>
      <w:tr>
        <w:trPr/>
        <w:tc>
          <w:tcPr>
            <w:tcW w:w="402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GP Loan Portfolio Provisions</w:t>
            </w:r>
          </w:p>
        </w:tc>
        <w:tc>
          <w:tcPr>
            <w:tcW w:w="136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Quarter</w:t>
            </w:r>
          </w:p>
        </w:tc>
        <w:tc>
          <w:tcPr>
            <w:tcW w:w="88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c>
          <w:tcPr>
            <w:tcW w:w="91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As of</w:t>
            </w:r>
          </w:p>
        </w:tc>
        <w:tc>
          <w:tcPr>
            <w:tcW w:w="740"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r>
      <w:tr>
        <w:trPr/>
        <w:tc>
          <w:tcPr>
            <w:tcW w:w="402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S/ 000</w:t>
            </w:r>
          </w:p>
        </w:tc>
        <w:tc>
          <w:tcPr>
            <w:tcW w:w="45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2Q22</w:t>
            </w:r>
          </w:p>
        </w:tc>
        <w:tc>
          <w:tcPr>
            <w:tcW w:w="45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1Q23</w:t>
            </w:r>
          </w:p>
        </w:tc>
        <w:tc>
          <w:tcPr>
            <w:tcW w:w="45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2Q23</w:t>
            </w:r>
          </w:p>
        </w:tc>
        <w:tc>
          <w:tcPr>
            <w:tcW w:w="4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QoQ</w:t>
            </w:r>
          </w:p>
        </w:tc>
        <w:tc>
          <w:tcPr>
            <w:tcW w:w="44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YoY</w:t>
            </w:r>
          </w:p>
        </w:tc>
        <w:tc>
          <w:tcPr>
            <w:tcW w:w="45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1H22</w:t>
            </w:r>
          </w:p>
        </w:tc>
        <w:tc>
          <w:tcPr>
            <w:tcW w:w="45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w:t>
            </w:r>
          </w:p>
        </w:tc>
        <w:tc>
          <w:tcPr>
            <w:tcW w:w="74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 1H22</w:t>
            </w:r>
          </w:p>
        </w:tc>
      </w:tr>
      <w:tr>
        <w:trPr/>
        <w:tc>
          <w:tcPr>
            <w:tcW w:w="402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Gross provision for credit losses on loan portfolio</w:t>
            </w:r>
          </w:p>
        </w:tc>
        <w:tc>
          <w:tcPr>
            <w:tcW w:w="455" w:type="dxa"/>
            <w:tcBorders/>
            <w:tcMar>
              <w:top w:w="0" w:type="dxa"/>
              <w:left w:w="0"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(6,569)</w:t>
            </w:r>
          </w:p>
        </w:tc>
        <w:tc>
          <w:tcPr>
            <w:tcW w:w="455" w:type="dxa"/>
            <w:tcBorders/>
            <w:tcMar>
              <w:top w:w="0" w:type="dxa"/>
              <w:left w:w="0"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(2,978)</w:t>
            </w:r>
          </w:p>
        </w:tc>
        <w:tc>
          <w:tcPr>
            <w:tcW w:w="455" w:type="dxa"/>
            <w:tcBorders>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(3,967)</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33.2%</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n.a.</w:t>
            </w:r>
          </w:p>
        </w:tc>
        <w:tc>
          <w:tcPr>
            <w:tcW w:w="455" w:type="dxa"/>
            <w:tcBorders/>
            <w:tcMar>
              <w:top w:w="0" w:type="dxa"/>
              <w:left w:w="0"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(2,697)</w:t>
            </w:r>
          </w:p>
        </w:tc>
        <w:tc>
          <w:tcPr>
            <w:tcW w:w="455" w:type="dxa"/>
            <w:tcBorders>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(6,945)</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157.5%</w:t>
            </w:r>
          </w:p>
        </w:tc>
      </w:tr>
      <w:tr>
        <w:trPr/>
        <w:tc>
          <w:tcPr>
            <w:tcW w:w="402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Recoveries of written-off loans</w:t>
            </w:r>
          </w:p>
        </w:tc>
        <w:tc>
          <w:tcPr>
            <w:tcW w:w="455" w:type="dxa"/>
            <w:tcBorders/>
            <w:tcMar>
              <w:top w:w="0" w:type="dxa"/>
              <w:left w:w="0"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455" w:type="dxa"/>
            <w:tcBorders/>
            <w:tcMar>
              <w:top w:w="0" w:type="dxa"/>
              <w:left w:w="0"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455" w:type="dxa"/>
            <w:tcBorders>
              <w:right w:val="single" w:sz="8" w:space="0" w:color="000000"/>
            </w:tcBorders>
            <w:tcMar>
              <w:top w:w="0" w:type="dxa"/>
              <w:lef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w:t>
            </w:r>
          </w:p>
        </w:tc>
        <w:tc>
          <w:tcPr>
            <w:tcW w:w="4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w:t>
            </w:r>
          </w:p>
        </w:tc>
        <w:tc>
          <w:tcPr>
            <w:tcW w:w="455" w:type="dxa"/>
            <w:tcBorders/>
            <w:tcMar>
              <w:top w:w="0" w:type="dxa"/>
              <w:left w:w="0"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455" w:type="dxa"/>
            <w:tcBorders>
              <w:right w:val="single" w:sz="8" w:space="0" w:color="000000"/>
            </w:tcBorders>
            <w:tcMar>
              <w:top w:w="0" w:type="dxa"/>
              <w:lef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w:t>
            </w:r>
          </w:p>
        </w:tc>
        <w:tc>
          <w:tcPr>
            <w:tcW w:w="74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w:t>
            </w:r>
          </w:p>
        </w:tc>
      </w:tr>
      <w:tr>
        <w:trPr/>
        <w:tc>
          <w:tcPr>
            <w:tcW w:w="402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Provision for credit losses on loan portfolio, net of recoveries</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(6,569)</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(2,978)</w:t>
            </w:r>
          </w:p>
        </w:tc>
        <w:tc>
          <w:tcPr>
            <w:tcW w:w="45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(3,967)</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33.2%</w:t>
            </w:r>
          </w:p>
        </w:tc>
        <w:tc>
          <w:tcPr>
            <w:tcW w:w="4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n.a.</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(2,697)</w:t>
            </w:r>
          </w:p>
        </w:tc>
        <w:tc>
          <w:tcPr>
            <w:tcW w:w="45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(6,945)</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157.5%</w:t>
            </w:r>
          </w:p>
        </w:tc>
      </w:tr>
      <w:tr>
        <w:trPr/>
        <w:tc>
          <w:tcPr>
            <w:tcW w:w="402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GP Cost of risk (1)</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0.18%</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0.18%</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0.32%</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14 bps</w:t>
            </w:r>
          </w:p>
        </w:tc>
        <w:tc>
          <w:tcPr>
            <w:tcW w:w="4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14 bps</w:t>
            </w:r>
          </w:p>
        </w:tc>
        <w:tc>
          <w:tcPr>
            <w:tcW w:w="4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0.02%</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0.14%</w:t>
            </w:r>
          </w:p>
        </w:tc>
        <w:tc>
          <w:tcPr>
            <w:tcW w:w="740"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12 bps</w:t>
            </w:r>
          </w:p>
        </w:tc>
      </w:tr>
    </w:tbl>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8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PG Cost of risk includes the Provisions for credit losses for the loan portfolio, net of recoveries and placements of the Reactiva Perú and FAE government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GP provisions rose slightly </w:t>
      </w:r>
      <w:r>
        <w:rPr>
          <w:rFonts w:ascii="Arial;Helvetica;Sans-Serif" w:hAnsi="Arial;Helvetica;Sans-Serif"/>
          <w:b/>
          <w:i w:val="false"/>
          <w:caps w:val="false"/>
          <w:smallCaps w:val="false"/>
          <w:sz w:val="20"/>
        </w:rPr>
        <w:t>QoQ</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xml:space="preserve"> and </w:t>
      </w:r>
      <w:r>
        <w:rPr>
          <w:rFonts w:ascii="Arial;Helvetica;Sans-Serif" w:hAnsi="Arial;Helvetica;Sans-Serif"/>
          <w:b/>
          <w:i w:val="false"/>
          <w:caps w:val="false"/>
          <w:smallCaps w:val="false"/>
          <w:sz w:val="20"/>
        </w:rPr>
        <w:t>YTD</w:t>
      </w:r>
      <w:r>
        <w:rPr>
          <w:rFonts w:ascii="Arial;Helvetica;Sans-Serif" w:hAnsi="Arial;Helvetica;Sans-Serif"/>
          <w:b w:val="false"/>
          <w:i w:val="false"/>
          <w:caps w:val="false"/>
          <w:smallCaps w:val="false"/>
          <w:sz w:val="20"/>
        </w:rPr>
        <w:t xml:space="preserve"> given that honoring process to execute State guarantees are still underway.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GP provisions balance represents 1.67% of Credicorp’s total provisions balance. This relatively low balance reflects the fact that ample State guarantees are in place for these loans and cover 80% to 98% of the loan amount. For more information, see 1.2 Portfolio Quality-Non-performing GP Loan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Provisions and CofR of Total Loans</w:t>
      </w:r>
    </w:p>
    <w:p>
      <w:pPr>
        <w:pStyle w:val="TextBody"/>
        <w:bidi w:val="0"/>
        <w:spacing w:before="0" w:after="0"/>
        <w:ind w:left="0" w:right="0" w:hanging="0"/>
        <w:jc w:val="both"/>
        <w:rPr>
          <w:caps w:val="false"/>
          <w:smallCaps w:val="false"/>
        </w:rPr>
      </w:pPr>
      <w:r>
        <w:rPr>
          <w:caps w:val="false"/>
          <w:smallCaps w:val="false"/>
        </w:rPr>
        <w:t> </w:t>
      </w:r>
    </w:p>
    <w:tbl>
      <w:tblPr>
        <w:tblW w:w="8910" w:type="dxa"/>
        <w:jc w:val="left"/>
        <w:tblInd w:w="-10" w:type="dxa"/>
        <w:tblLayout w:type="fixed"/>
        <w:tblCellMar>
          <w:top w:w="28" w:type="dxa"/>
          <w:left w:w="60" w:type="dxa"/>
          <w:bottom w:w="0" w:type="dxa"/>
          <w:right w:w="60" w:type="dxa"/>
        </w:tblCellMar>
      </w:tblPr>
      <w:tblGrid>
        <w:gridCol w:w="4025"/>
        <w:gridCol w:w="605"/>
        <w:gridCol w:w="605"/>
        <w:gridCol w:w="605"/>
        <w:gridCol w:w="440"/>
        <w:gridCol w:w="515"/>
        <w:gridCol w:w="605"/>
        <w:gridCol w:w="725"/>
        <w:gridCol w:w="785"/>
      </w:tblGrid>
      <w:tr>
        <w:trPr/>
        <w:tc>
          <w:tcPr>
            <w:tcW w:w="402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Loan Portfolio Provisions</w:t>
            </w:r>
          </w:p>
        </w:tc>
        <w:tc>
          <w:tcPr>
            <w:tcW w:w="1815"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Quarter</w:t>
            </w:r>
          </w:p>
        </w:tc>
        <w:tc>
          <w:tcPr>
            <w:tcW w:w="955"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c>
          <w:tcPr>
            <w:tcW w:w="133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As of</w:t>
            </w:r>
          </w:p>
        </w:tc>
        <w:tc>
          <w:tcPr>
            <w:tcW w:w="785"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r>
      <w:tr>
        <w:trPr/>
        <w:tc>
          <w:tcPr>
            <w:tcW w:w="402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S/ 000</w:t>
            </w:r>
          </w:p>
        </w:tc>
        <w:tc>
          <w:tcPr>
            <w:tcW w:w="60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2Q22</w:t>
            </w:r>
          </w:p>
        </w:tc>
        <w:tc>
          <w:tcPr>
            <w:tcW w:w="60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1Q23</w:t>
            </w:r>
          </w:p>
        </w:tc>
        <w:tc>
          <w:tcPr>
            <w:tcW w:w="60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2Q23</w:t>
            </w:r>
          </w:p>
        </w:tc>
        <w:tc>
          <w:tcPr>
            <w:tcW w:w="4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QoQ</w:t>
            </w:r>
          </w:p>
        </w:tc>
        <w:tc>
          <w:tcPr>
            <w:tcW w:w="51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YoY</w:t>
            </w:r>
          </w:p>
        </w:tc>
        <w:tc>
          <w:tcPr>
            <w:tcW w:w="60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1H22</w:t>
            </w:r>
          </w:p>
        </w:tc>
        <w:tc>
          <w:tcPr>
            <w:tcW w:w="72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w:t>
            </w:r>
          </w:p>
        </w:tc>
        <w:tc>
          <w:tcPr>
            <w:tcW w:w="78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 / 1H22</w:t>
            </w:r>
          </w:p>
        </w:tc>
      </w:tr>
      <w:tr>
        <w:trPr/>
        <w:tc>
          <w:tcPr>
            <w:tcW w:w="402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Gross provision for credit losses on loan portfolio</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(447,036)</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(802,107)</w:t>
            </w:r>
          </w:p>
        </w:tc>
        <w:tc>
          <w:tcPr>
            <w:tcW w:w="60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(886,123)</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10.5%</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98.2%</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(797,717)</w:t>
            </w:r>
          </w:p>
        </w:tc>
        <w:tc>
          <w:tcPr>
            <w:tcW w:w="72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(1,688,230)</w:t>
            </w:r>
          </w:p>
        </w:tc>
        <w:tc>
          <w:tcPr>
            <w:tcW w:w="78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111.6%</w:t>
            </w:r>
          </w:p>
        </w:tc>
      </w:tr>
      <w:tr>
        <w:trPr/>
        <w:tc>
          <w:tcPr>
            <w:tcW w:w="4025"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Recoveries of written-off loans</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83,745</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75,109</w:t>
            </w:r>
          </w:p>
        </w:tc>
        <w:tc>
          <w:tcPr>
            <w:tcW w:w="60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81,872</w:t>
            </w:r>
          </w:p>
        </w:tc>
        <w:tc>
          <w:tcPr>
            <w:tcW w:w="440"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9.0%</w:t>
            </w:r>
          </w:p>
        </w:tc>
        <w:tc>
          <w:tcPr>
            <w:tcW w:w="51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-2.2%</w:t>
            </w:r>
          </w:p>
        </w:tc>
        <w:tc>
          <w:tcPr>
            <w:tcW w:w="605" w:type="dxa"/>
            <w:tcBorders/>
            <w:tcMar>
              <w:top w:w="0" w:type="dxa"/>
              <w:left w:w="0"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176,836</w:t>
            </w:r>
          </w:p>
        </w:tc>
        <w:tc>
          <w:tcPr>
            <w:tcW w:w="725"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156,981</w:t>
            </w:r>
          </w:p>
        </w:tc>
        <w:tc>
          <w:tcPr>
            <w:tcW w:w="78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-11.2%</w:t>
            </w:r>
          </w:p>
        </w:tc>
      </w:tr>
      <w:tr>
        <w:trPr/>
        <w:tc>
          <w:tcPr>
            <w:tcW w:w="402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Provision for credit losses on loan portfolio, net of recoveries</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(363,291)</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(726,998)</w:t>
            </w:r>
          </w:p>
        </w:tc>
        <w:tc>
          <w:tcPr>
            <w:tcW w:w="60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(804,251)</w:t>
            </w:r>
          </w:p>
        </w:tc>
        <w:tc>
          <w:tcPr>
            <w:tcW w:w="44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10.6%</w:t>
            </w:r>
          </w:p>
        </w:tc>
        <w:tc>
          <w:tcPr>
            <w:tcW w:w="5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121.4%</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(620,881)</w:t>
            </w:r>
          </w:p>
        </w:tc>
        <w:tc>
          <w:tcPr>
            <w:tcW w:w="72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(1,531,249)</w:t>
            </w:r>
          </w:p>
        </w:tc>
        <w:tc>
          <w:tcPr>
            <w:tcW w:w="7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146.6%</w:t>
            </w:r>
          </w:p>
        </w:tc>
      </w:tr>
      <w:tr>
        <w:trPr/>
        <w:tc>
          <w:tcPr>
            <w:tcW w:w="402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lineRule="auto" w:line="240" w:before="0" w:after="283"/>
              <w:jc w:val="left"/>
              <w:rPr>
                <w:rFonts w:ascii="Arial;Helvetica;Sans-Serif" w:hAnsi="Arial;Helvetica;Sans-Serif"/>
                <w:sz w:val="14"/>
              </w:rPr>
            </w:pPr>
            <w:r>
              <w:rPr>
                <w:rFonts w:ascii="Arial;Helvetica;Sans-Serif" w:hAnsi="Arial;Helvetica;Sans-Serif"/>
                <w:sz w:val="14"/>
              </w:rPr>
              <w:t xml:space="preserve">Cost of risk </w:t>
            </w:r>
            <w:r>
              <w:rPr>
                <w:rFonts w:ascii="Arial;Helvetica;Sans-Serif" w:hAnsi="Arial;Helvetica;Sans-Serif"/>
                <w:b w:val="false"/>
                <w:i w:val="false"/>
                <w:caps w:val="false"/>
                <w:smallCaps w:val="false"/>
                <w:sz w:val="14"/>
              </w:rPr>
              <w:t>(1)</w:t>
            </w:r>
          </w:p>
        </w:tc>
        <w:tc>
          <w:tcPr>
            <w:tcW w:w="605"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0.97%</w:t>
            </w:r>
          </w:p>
        </w:tc>
        <w:tc>
          <w:tcPr>
            <w:tcW w:w="605"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2.00%</w:t>
            </w:r>
          </w:p>
        </w:tc>
        <w:tc>
          <w:tcPr>
            <w:tcW w:w="60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2.25%</w:t>
            </w:r>
          </w:p>
        </w:tc>
        <w:tc>
          <w:tcPr>
            <w:tcW w:w="44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25 bps</w:t>
            </w:r>
          </w:p>
        </w:tc>
        <w:tc>
          <w:tcPr>
            <w:tcW w:w="51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128 bps</w:t>
            </w:r>
          </w:p>
        </w:tc>
        <w:tc>
          <w:tcPr>
            <w:tcW w:w="605"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0.83%</w:t>
            </w:r>
          </w:p>
        </w:tc>
        <w:tc>
          <w:tcPr>
            <w:tcW w:w="7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2.14%</w:t>
            </w:r>
          </w:p>
        </w:tc>
        <w:tc>
          <w:tcPr>
            <w:tcW w:w="78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131 bps</w:t>
            </w:r>
          </w:p>
        </w:tc>
      </w:tr>
    </w:tbl>
    <w:tbl>
      <w:tblPr>
        <w:tblW w:w="5590" w:type="dxa"/>
        <w:jc w:val="left"/>
        <w:tblInd w:w="0" w:type="dxa"/>
        <w:tblLayout w:type="fixed"/>
        <w:tblCellMar>
          <w:top w:w="0" w:type="dxa"/>
          <w:left w:w="0" w:type="dxa"/>
          <w:bottom w:w="0" w:type="dxa"/>
          <w:right w:w="0" w:type="dxa"/>
        </w:tblCellMar>
      </w:tblPr>
      <w:tblGrid>
        <w:gridCol w:w="200"/>
        <w:gridCol w:w="5390"/>
      </w:tblGrid>
      <w:tr>
        <w:trPr/>
        <w:tc>
          <w:tcPr>
            <w:tcW w:w="20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539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Provision for credit losses on loan portfolio, net of annualized recoveries / Total loans.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CofR for the complete portfolio, which is comprised of structural loans and GP loans, reported growth of 25bps QoQ, 128bps YoY and 131 bps YTD in line with an uptick in structural provisions.</w:t>
      </w:r>
    </w:p>
    <w:p>
      <w:pPr>
        <w:pStyle w:val="TextBody"/>
        <w:bidi w:val="0"/>
        <w:spacing w:before="0" w:after="0"/>
        <w:ind w:left="0" w:right="0" w:hanging="0"/>
        <w:jc w:val="both"/>
        <w:rPr>
          <w:caps w:val="false"/>
          <w:smallCaps w:val="false"/>
        </w:rPr>
      </w:pPr>
      <w:r>
        <w:rPr>
          <w:caps w:val="false"/>
          <w:smallCaps w:val="false"/>
        </w:rPr>
        <w:t> </w:t>
      </w:r>
    </w:p>
    <w:tbl>
      <w:tblPr>
        <w:tblW w:w="10620" w:type="dxa"/>
        <w:jc w:val="left"/>
        <w:tblInd w:w="0" w:type="dxa"/>
        <w:tblLayout w:type="fixed"/>
        <w:tblCellMar>
          <w:top w:w="0" w:type="dxa"/>
          <w:left w:w="0" w:type="dxa"/>
          <w:bottom w:w="0" w:type="dxa"/>
          <w:right w:w="0" w:type="dxa"/>
        </w:tblCellMar>
      </w:tblPr>
      <w:tblGrid>
        <w:gridCol w:w="5250"/>
        <w:gridCol w:w="60"/>
        <w:gridCol w:w="5310"/>
      </w:tblGrid>
      <w:tr>
        <w:trPr/>
        <w:tc>
          <w:tcPr>
            <w:tcW w:w="5250" w:type="dxa"/>
            <w:tcBorders/>
            <w:vAlign w:val="center"/>
          </w:tcPr>
          <w:p>
            <w:pPr>
              <w:pStyle w:val="TableContents"/>
              <w:bidi w:val="0"/>
              <w:spacing w:before="0" w:after="283"/>
              <w:jc w:val="left"/>
              <w:rPr/>
            </w:pPr>
            <w:r>
              <w:rPr/>
              <w:t>QoQ Cost of Risk Evolution</w:t>
            </w:r>
          </w:p>
        </w:tc>
        <w:tc>
          <w:tcPr>
            <w:tcW w:w="60" w:type="dxa"/>
            <w:tcBorders/>
            <w:vAlign w:val="center"/>
          </w:tcPr>
          <w:p>
            <w:pPr>
              <w:pStyle w:val="TableContents"/>
              <w:bidi w:val="0"/>
              <w:spacing w:before="0" w:after="283"/>
              <w:jc w:val="left"/>
              <w:rPr/>
            </w:pPr>
            <w:r>
              <w:rPr/>
              <w:t> </w:t>
            </w:r>
          </w:p>
        </w:tc>
        <w:tc>
          <w:tcPr>
            <w:tcW w:w="5310" w:type="dxa"/>
            <w:tcBorders/>
            <w:vAlign w:val="center"/>
          </w:tcPr>
          <w:p>
            <w:pPr>
              <w:pStyle w:val="TableContents"/>
              <w:bidi w:val="0"/>
              <w:spacing w:before="0" w:after="283"/>
              <w:jc w:val="left"/>
              <w:rPr/>
            </w:pPr>
            <w:r>
              <w:rPr/>
              <w:t>YoY Cost of Risk Evolution</w:t>
            </w:r>
          </w:p>
        </w:tc>
      </w:tr>
      <w:tr>
        <w:trPr/>
        <w:tc>
          <w:tcPr>
            <w:tcW w:w="5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10" w:type="dxa"/>
            <w:tcBorders/>
            <w:vAlign w:val="center"/>
          </w:tcPr>
          <w:p>
            <w:pPr>
              <w:pStyle w:val="TableContents"/>
              <w:bidi w:val="0"/>
              <w:spacing w:before="0" w:after="283"/>
              <w:jc w:val="left"/>
              <w:rPr/>
            </w:pPr>
            <w:r>
              <w:rPr/>
              <w:t> </w:t>
            </w:r>
          </w:p>
        </w:tc>
      </w:tr>
      <w:tr>
        <w:trPr/>
        <w:tc>
          <w:tcPr>
            <w:tcW w:w="5250" w:type="dxa"/>
            <w:tcBorders/>
            <w:vAlign w:val="center"/>
          </w:tcPr>
          <w:p>
            <w:pPr>
              <w:pStyle w:val="TableContents"/>
              <w:bidi w:val="0"/>
              <w:spacing w:before="0" w:after="283"/>
              <w:jc w:val="left"/>
              <w:rPr/>
            </w:pPr>
            <w:r>
              <w:rPr/>
              <w:drawing>
                <wp:inline distT="0" distB="0" distL="0" distR="0">
                  <wp:extent cx="3333750" cy="1362075"/>
                  <wp:effectExtent l="0" t="0" r="0" b="0"/>
                  <wp:docPr id="12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8" descr=""/>
                          <pic:cNvPicPr>
                            <a:picLocks noChangeAspect="1" noChangeArrowheads="1"/>
                          </pic:cNvPicPr>
                        </pic:nvPicPr>
                        <pic:blipFill>
                          <a:blip r:embed="rId85"/>
                          <a:stretch>
                            <a:fillRect/>
                          </a:stretch>
                        </pic:blipFill>
                        <pic:spPr bwMode="auto">
                          <a:xfrm>
                            <a:off x="0" y="0"/>
                            <a:ext cx="3333750" cy="13620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310" w:type="dxa"/>
            <w:tcBorders/>
            <w:vAlign w:val="center"/>
          </w:tcPr>
          <w:p>
            <w:pPr>
              <w:pStyle w:val="TableContents"/>
              <w:bidi w:val="0"/>
              <w:spacing w:before="0" w:after="283"/>
              <w:jc w:val="left"/>
              <w:rPr/>
            </w:pPr>
            <w:r>
              <w:rPr/>
              <w:drawing>
                <wp:inline distT="0" distB="0" distL="0" distR="0">
                  <wp:extent cx="3333750" cy="1438275"/>
                  <wp:effectExtent l="0" t="0" r="0" b="0"/>
                  <wp:docPr id="12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9" descr=""/>
                          <pic:cNvPicPr>
                            <a:picLocks noChangeAspect="1" noChangeArrowheads="1"/>
                          </pic:cNvPicPr>
                        </pic:nvPicPr>
                        <pic:blipFill>
                          <a:blip r:embed="rId86"/>
                          <a:stretch>
                            <a:fillRect/>
                          </a:stretch>
                        </pic:blipFill>
                        <pic:spPr bwMode="auto">
                          <a:xfrm>
                            <a:off x="0" y="0"/>
                            <a:ext cx="3333750" cy="143827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Otros incluye BCP Bolivia, Mibanco Colombia, ASB y eliminaciones.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2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0" descr=""/>
                          <pic:cNvPicPr>
                            <a:picLocks noChangeAspect="1" noChangeArrowheads="1"/>
                          </pic:cNvPicPr>
                        </pic:nvPicPr>
                        <pic:blipFill>
                          <a:blip r:embed="rId87"/>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95"/>
        <w:gridCol w:w="2210"/>
      </w:tblGrid>
      <w:tr>
        <w:trPr/>
        <w:tc>
          <w:tcPr>
            <w:tcW w:w="695" w:type="dxa"/>
            <w:tcBorders/>
            <w:vAlign w:val="center"/>
          </w:tcPr>
          <w:p>
            <w:pPr>
              <w:pStyle w:val="TableContents"/>
              <w:bidi w:val="0"/>
              <w:spacing w:before="0" w:after="283"/>
              <w:jc w:val="left"/>
              <w:rPr>
                <w:rFonts w:ascii="Arial;Helvetica;Sans-Serif" w:hAnsi="Arial;Helvetica;Sans-Serif"/>
                <w:b/>
                <w:color w:val="E93CAC"/>
                <w:sz w:val="58"/>
              </w:rPr>
            </w:pPr>
            <w:r>
              <w:rPr>
                <w:rFonts w:ascii="Arial;Helvetica;Sans-Serif" w:hAnsi="Arial;Helvetica;Sans-Serif"/>
                <w:b/>
                <w:color w:val="E93CAC"/>
                <w:sz w:val="58"/>
              </w:rPr>
              <w:t>06</w:t>
            </w:r>
          </w:p>
        </w:tc>
        <w:tc>
          <w:tcPr>
            <w:tcW w:w="2210" w:type="dxa"/>
            <w:tcBorders/>
            <w:vAlign w:val="center"/>
          </w:tcPr>
          <w:p>
            <w:pPr>
              <w:pStyle w:val="TableContents"/>
              <w:bidi w:val="0"/>
              <w:spacing w:before="0" w:after="283"/>
              <w:jc w:val="left"/>
              <w:rPr>
                <w:rFonts w:ascii="Arial;Helvetica;Sans-Serif" w:hAnsi="Arial;Helvetica;Sans-Serif"/>
                <w:color w:val="E93CAC"/>
                <w:sz w:val="36"/>
              </w:rPr>
            </w:pPr>
            <w:r>
              <w:rPr>
                <w:rFonts w:ascii="Arial;Helvetica;Sans-Serif" w:hAnsi="Arial;Helvetica;Sans-Serif"/>
                <w:color w:val="E93CAC"/>
                <w:sz w:val="36"/>
              </w:rPr>
              <w:t>Other Income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shd w:fill="E93CAC" w:val="clear"/>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When analyzing other core income results (fee income + gains on FX transactions) it is important to note that both lines have been affected by our strategy at BCP Bolivia, where we have implemented a new fee framework for international transfers in response to a drop in the availability of foreign currency. On a QoQ basis, excluding this strategy, Other Core Income increased 3.2% via an uptick in transactions while the result for FX transactions remained flat. YoY and YTD, fee income contracted 2.3% after the fee level for the Pensions business dropped and inter-city fees were eliminated at BCP Perú.</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Other Non-core Income rose QoQ, YoY and YTD, which primarily reflected two impacts: the recognition of fees from previous periods, and the sale of a delinquent portfolio in Wholesale Banking at BCP Perú.</w:t>
            </w:r>
          </w:p>
          <w:p>
            <w:pPr>
              <w:pStyle w:val="TableContents"/>
              <w:bidi w:val="0"/>
              <w:spacing w:before="0" w:after="0"/>
              <w:ind w:left="0" w:right="0" w:hanging="0"/>
              <w:jc w:val="both"/>
              <w:rPr>
                <w:caps w:val="false"/>
                <w:smallCaps w:val="false"/>
                <w:color w:val="FFFFFF"/>
              </w:rPr>
            </w:pPr>
            <w:r>
              <w:rPr>
                <w:caps w:val="false"/>
                <w:smallCaps w:val="false"/>
                <w:color w:val="FFFFFF"/>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6.1 Other Core Income</w:t>
      </w:r>
    </w:p>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10" w:type="dxa"/>
        <w:tblLayout w:type="fixed"/>
        <w:tblCellMar>
          <w:top w:w="28" w:type="dxa"/>
          <w:left w:w="28" w:type="dxa"/>
          <w:bottom w:w="0" w:type="dxa"/>
          <w:right w:w="0" w:type="dxa"/>
        </w:tblCellMar>
      </w:tblPr>
      <w:tblGrid>
        <w:gridCol w:w="2645"/>
        <w:gridCol w:w="635"/>
        <w:gridCol w:w="635"/>
        <w:gridCol w:w="635"/>
        <w:gridCol w:w="455"/>
        <w:gridCol w:w="455"/>
        <w:gridCol w:w="635"/>
        <w:gridCol w:w="635"/>
        <w:gridCol w:w="740"/>
      </w:tblGrid>
      <w:tr>
        <w:trPr/>
        <w:tc>
          <w:tcPr>
            <w:tcW w:w="2645" w:type="dxa"/>
            <w:tcBorders>
              <w:top w:val="single" w:sz="8" w:space="0" w:color="000000"/>
              <w:lef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Other Core Income</w:t>
            </w:r>
          </w:p>
        </w:tc>
        <w:tc>
          <w:tcPr>
            <w:tcW w:w="1905" w:type="dxa"/>
            <w:gridSpan w:val="3"/>
            <w:tcBorders>
              <w:top w:val="single" w:sz="8" w:space="0" w:color="000000"/>
              <w:left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Quarter</w:t>
            </w:r>
          </w:p>
        </w:tc>
        <w:tc>
          <w:tcPr>
            <w:tcW w:w="910" w:type="dxa"/>
            <w:gridSpan w:val="2"/>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c>
          <w:tcPr>
            <w:tcW w:w="1270" w:type="dxa"/>
            <w:gridSpan w:val="2"/>
            <w:tcBorders>
              <w:top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As of</w:t>
            </w:r>
          </w:p>
        </w:tc>
        <w:tc>
          <w:tcPr>
            <w:tcW w:w="740" w:type="dxa"/>
            <w:tcBorders>
              <w:top w:val="single" w:sz="8" w:space="0" w:color="000000"/>
              <w:left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r>
      <w:tr>
        <w:trPr/>
        <w:tc>
          <w:tcPr>
            <w:tcW w:w="264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(S/ 000)</w:t>
            </w:r>
          </w:p>
        </w:tc>
        <w:tc>
          <w:tcPr>
            <w:tcW w:w="63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2Q22</w:t>
            </w:r>
          </w:p>
        </w:tc>
        <w:tc>
          <w:tcPr>
            <w:tcW w:w="63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1Q23</w:t>
            </w:r>
          </w:p>
        </w:tc>
        <w:tc>
          <w:tcPr>
            <w:tcW w:w="63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2Q23</w:t>
            </w:r>
          </w:p>
        </w:tc>
        <w:tc>
          <w:tcPr>
            <w:tcW w:w="45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QoQ</w:t>
            </w:r>
          </w:p>
        </w:tc>
        <w:tc>
          <w:tcPr>
            <w:tcW w:w="45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YoY</w:t>
            </w:r>
          </w:p>
        </w:tc>
        <w:tc>
          <w:tcPr>
            <w:tcW w:w="63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1H22</w:t>
            </w:r>
          </w:p>
        </w:tc>
        <w:tc>
          <w:tcPr>
            <w:tcW w:w="63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w:t>
            </w:r>
          </w:p>
        </w:tc>
        <w:tc>
          <w:tcPr>
            <w:tcW w:w="740"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 1H22</w:t>
            </w:r>
          </w:p>
        </w:tc>
      </w:tr>
      <w:tr>
        <w:trPr/>
        <w:tc>
          <w:tcPr>
            <w:tcW w:w="2645"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Fee income</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920,950</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881,781</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960,550</w:t>
            </w:r>
          </w:p>
        </w:tc>
        <w:tc>
          <w:tcPr>
            <w:tcW w:w="455" w:type="dxa"/>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8.9%</w:t>
            </w:r>
          </w:p>
        </w:tc>
        <w:tc>
          <w:tcPr>
            <w:tcW w:w="45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4.3%</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1,812,578</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1,842,331</w:t>
            </w:r>
          </w:p>
        </w:tc>
        <w:tc>
          <w:tcPr>
            <w:tcW w:w="740"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1.6%</w:t>
            </w:r>
          </w:p>
        </w:tc>
      </w:tr>
      <w:tr>
        <w:trPr/>
        <w:tc>
          <w:tcPr>
            <w:tcW w:w="2645"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Net gain on foreign exchange transactions</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269,059</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248,515</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210,944</w:t>
            </w:r>
          </w:p>
        </w:tc>
        <w:tc>
          <w:tcPr>
            <w:tcW w:w="455" w:type="dxa"/>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-15.1%</w:t>
            </w:r>
          </w:p>
        </w:tc>
        <w:tc>
          <w:tcPr>
            <w:tcW w:w="45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-21.6%</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528,769</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459,459</w:t>
            </w:r>
          </w:p>
        </w:tc>
        <w:tc>
          <w:tcPr>
            <w:tcW w:w="740"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-13.1%</w:t>
            </w:r>
          </w:p>
        </w:tc>
      </w:tr>
      <w:tr>
        <w:trPr/>
        <w:tc>
          <w:tcPr>
            <w:tcW w:w="264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Total other income Core</w:t>
            </w:r>
          </w:p>
        </w:tc>
        <w:tc>
          <w:tcPr>
            <w:tcW w:w="63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1,190,009</w:t>
            </w:r>
          </w:p>
        </w:tc>
        <w:tc>
          <w:tcPr>
            <w:tcW w:w="63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1,130,296</w:t>
            </w:r>
          </w:p>
        </w:tc>
        <w:tc>
          <w:tcPr>
            <w:tcW w:w="635"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1,171,494</w:t>
            </w:r>
          </w:p>
        </w:tc>
        <w:tc>
          <w:tcPr>
            <w:tcW w:w="45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3.6%</w:t>
            </w:r>
          </w:p>
        </w:tc>
        <w:tc>
          <w:tcPr>
            <w:tcW w:w="455"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-1.6%</w:t>
            </w:r>
          </w:p>
        </w:tc>
        <w:tc>
          <w:tcPr>
            <w:tcW w:w="63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2,341,347</w:t>
            </w:r>
          </w:p>
        </w:tc>
        <w:tc>
          <w:tcPr>
            <w:tcW w:w="635"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2,301,790</w:t>
            </w:r>
          </w:p>
        </w:tc>
        <w:tc>
          <w:tcPr>
            <w:tcW w:w="740"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banking business in Bolivia implemented a strategy to attenuate the impact of the Bolivian Central Bank’s decision to restrict purchases of US dollars in 1Q23. To mitigate the impact of these limitations, BCP Bolivia adjusted its fee framework for foreign transfers, which led to a subsequent increase in Fee income. Thanks to this strategy, Other Core Income at BCP Bolivia rose S/ 6 MM, S/ 8.2 MM and S/ 13 MM QoQ, YoY and YTD,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QoQ</w:t>
      </w:r>
      <w:r>
        <w:rPr>
          <w:rFonts w:ascii="Arial;Helvetica;Sans-Serif" w:hAnsi="Arial;Helvetica;Sans-Serif"/>
          <w:b w:val="false"/>
          <w:i w:val="false"/>
          <w:caps w:val="false"/>
          <w:smallCaps w:val="false"/>
          <w:sz w:val="20"/>
        </w:rPr>
        <w:t>, Other Core Income rose 3.6%. This evolution was driven by 8.9% growth in fees and by a 15.1% drop in the Net gain on FX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exclude BCP Bolivia strategy, growth in Other Core Income stands at 3.2%, driven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Growth of 4.1% in Fee income, primarily driven by BCP Peru; we will provide further details in the section on fees for banking services section.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relatively flat Net gain on FX transactions (0.3%), where the minimal upward variation was driven primarily by BCP Peru.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a -1.6% drop was registered in Other Core Income. This decline was triggered by a -21.6% decrease in FX transactions and offset by 4.3% growth in fee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exclude BCP Bolivia, Other Core Income falls -2.3%, which reflects: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A -3.3% drop in fee income, which was primarily attributable to a regulatory change that eliminated mixed commissions at </w:t>
            </w:r>
            <w:r>
              <w:rPr>
                <w:b/>
              </w:rPr>
              <w:t xml:space="preserve">Prima AFP </w:t>
            </w:r>
            <w:r>
              <w:rPr/>
              <w:t>as of 2Q23 and to a drop in liability and transactional accounts, which will be discussed in the section on banking fees.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aforementioned was partially offset by the FX business at BCP Peru and Credicorp Capital, which registered growth of 1.3% due to exchange rate volatility.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YTD</w:t>
      </w:r>
      <w:r>
        <w:rPr>
          <w:rFonts w:ascii="Arial;Helvetica;Sans-Serif" w:hAnsi="Arial;Helvetica;Sans-Serif"/>
          <w:b w:val="false"/>
          <w:i w:val="false"/>
          <w:caps w:val="false"/>
          <w:smallCaps w:val="false"/>
          <w:sz w:val="20"/>
        </w:rPr>
        <w:t>, Other Core Income dropped -1.7%. This evolution was driven by a -13.1% reduction in FX transactions and by 1.6% growth in fee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exclude BCP Bolivia, Other Core Income decreases -2.3%. This reduction was triggered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-3.6% decrease in fee income, which was primarily driven by a reduction in total fees in the capital markets and asset management businesses and by the same dynamics outlined in the YoY analysis.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aforementioned was partially offset by the FX business, which reported growth of 2.2%, propelled by the same dynamics as those seen YoY.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2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1" descr=""/>
                          <pic:cNvPicPr>
                            <a:picLocks noChangeAspect="1" noChangeArrowheads="1"/>
                          </pic:cNvPicPr>
                        </pic:nvPicPr>
                        <pic:blipFill>
                          <a:blip r:embed="rId8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1970" w:type="dxa"/>
        <w:jc w:val="left"/>
        <w:tblInd w:w="0" w:type="dxa"/>
        <w:shd w:fill="E93CAC" w:val="clear"/>
        <w:tblLayout w:type="fixed"/>
        <w:tblCellMar>
          <w:top w:w="0" w:type="dxa"/>
          <w:left w:w="0" w:type="dxa"/>
          <w:bottom w:w="0" w:type="dxa"/>
          <w:right w:w="0" w:type="dxa"/>
        </w:tblCellMar>
      </w:tblPr>
      <w:tblGrid>
        <w:gridCol w:w="1970"/>
      </w:tblGrid>
      <w:tr>
        <w:trPr/>
        <w:tc>
          <w:tcPr>
            <w:tcW w:w="197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06. Other Income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Fee Income from the banking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Composition of fee income in the banking business1</w:t>
      </w:r>
    </w:p>
    <w:p>
      <w:pPr>
        <w:pStyle w:val="TextBody"/>
        <w:bidi w:val="0"/>
        <w:spacing w:before="0" w:after="0"/>
        <w:ind w:left="0" w:right="0" w:hanging="0"/>
        <w:jc w:val="center"/>
        <w:rPr>
          <w:caps w:val="false"/>
          <w:smallCaps w:val="false"/>
        </w:rPr>
      </w:pPr>
      <w:r>
        <w:rPr>
          <w:caps w:val="false"/>
          <w:smallCaps w:val="false"/>
        </w:rPr>
        <w:t> </w:t>
      </w:r>
    </w:p>
    <w:tbl>
      <w:tblPr>
        <w:tblW w:w="8715" w:type="dxa"/>
        <w:jc w:val="left"/>
        <w:tblInd w:w="-10" w:type="dxa"/>
        <w:tblLayout w:type="fixed"/>
        <w:tblCellMar>
          <w:top w:w="28" w:type="dxa"/>
          <w:left w:w="28" w:type="dxa"/>
          <w:bottom w:w="0" w:type="dxa"/>
          <w:right w:w="0" w:type="dxa"/>
        </w:tblCellMar>
      </w:tblPr>
      <w:tblGrid>
        <w:gridCol w:w="3230"/>
        <w:gridCol w:w="605"/>
        <w:gridCol w:w="605"/>
        <w:gridCol w:w="605"/>
        <w:gridCol w:w="635"/>
        <w:gridCol w:w="665"/>
        <w:gridCol w:w="740"/>
        <w:gridCol w:w="740"/>
        <w:gridCol w:w="890"/>
      </w:tblGrid>
      <w:tr>
        <w:trPr/>
        <w:tc>
          <w:tcPr>
            <w:tcW w:w="3230" w:type="dxa"/>
            <w:tcBorders>
              <w:top w:val="single" w:sz="8" w:space="0" w:color="000000"/>
              <w:lef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Banking Business Fees</w:t>
            </w:r>
          </w:p>
        </w:tc>
        <w:tc>
          <w:tcPr>
            <w:tcW w:w="1815" w:type="dxa"/>
            <w:gridSpan w:val="3"/>
            <w:tcBorders>
              <w:top w:val="single" w:sz="8" w:space="0" w:color="000000"/>
              <w:left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Quarter</w:t>
            </w:r>
          </w:p>
        </w:tc>
        <w:tc>
          <w:tcPr>
            <w:tcW w:w="1300" w:type="dxa"/>
            <w:gridSpan w:val="2"/>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c>
          <w:tcPr>
            <w:tcW w:w="1480" w:type="dxa"/>
            <w:gridSpan w:val="2"/>
            <w:tcBorders>
              <w:top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of</w:t>
            </w:r>
          </w:p>
        </w:tc>
        <w:tc>
          <w:tcPr>
            <w:tcW w:w="890" w:type="dxa"/>
            <w:tcBorders>
              <w:top w:val="single" w:sz="8" w:space="0" w:color="000000"/>
              <w:left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r>
      <w:tr>
        <w:trPr/>
        <w:tc>
          <w:tcPr>
            <w:tcW w:w="323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 000</w:t>
            </w:r>
          </w:p>
        </w:tc>
        <w:tc>
          <w:tcPr>
            <w:tcW w:w="60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2Q22</w:t>
            </w:r>
          </w:p>
        </w:tc>
        <w:tc>
          <w:tcPr>
            <w:tcW w:w="60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1Q23</w:t>
            </w:r>
          </w:p>
        </w:tc>
        <w:tc>
          <w:tcPr>
            <w:tcW w:w="60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2Q23</w:t>
            </w:r>
          </w:p>
        </w:tc>
        <w:tc>
          <w:tcPr>
            <w:tcW w:w="63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QoQ</w:t>
            </w:r>
          </w:p>
        </w:tc>
        <w:tc>
          <w:tcPr>
            <w:tcW w:w="66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YoY</w:t>
            </w:r>
          </w:p>
        </w:tc>
        <w:tc>
          <w:tcPr>
            <w:tcW w:w="74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1H22</w:t>
            </w:r>
          </w:p>
        </w:tc>
        <w:tc>
          <w:tcPr>
            <w:tcW w:w="740"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1H23</w:t>
            </w:r>
          </w:p>
        </w:tc>
        <w:tc>
          <w:tcPr>
            <w:tcW w:w="890"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1H23/ 1H23</w:t>
            </w:r>
          </w:p>
        </w:tc>
      </w:tr>
      <w:tr>
        <w:trPr/>
        <w:tc>
          <w:tcPr>
            <w:tcW w:w="3230"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Payments and transactionals </w:t>
            </w:r>
            <w:r>
              <w:rPr>
                <w:rFonts w:ascii="Arial;Helvetica;Sans-Serif" w:hAnsi="Arial;Helvetica;Sans-Serif"/>
                <w:b w:val="false"/>
                <w:i w:val="false"/>
                <w:caps w:val="false"/>
                <w:smallCaps w:val="false"/>
                <w:sz w:val="16"/>
              </w:rPr>
              <w:t>(2)</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304,950</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325,973</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344,632</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5.72%</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13.01%</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595,147</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670,605</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12.68%</w:t>
            </w:r>
          </w:p>
        </w:tc>
      </w:tr>
      <w:tr>
        <w:trPr/>
        <w:tc>
          <w:tcPr>
            <w:tcW w:w="3230"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Liability accounts </w:t>
            </w:r>
            <w:r>
              <w:rPr>
                <w:rFonts w:ascii="Arial;Helvetica;Sans-Serif" w:hAnsi="Arial;Helvetica;Sans-Serif"/>
                <w:b w:val="false"/>
                <w:i w:val="false"/>
                <w:caps w:val="false"/>
                <w:smallCaps w:val="false"/>
                <w:sz w:val="16"/>
              </w:rPr>
              <w:t>(3)</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234,038</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177,971</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182,018</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2.27%</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-22.23%</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451,994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359,989</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-20.36%</w:t>
            </w:r>
          </w:p>
        </w:tc>
      </w:tr>
      <w:tr>
        <w:trPr/>
        <w:tc>
          <w:tcPr>
            <w:tcW w:w="3230" w:type="dxa"/>
            <w:tcBorders>
              <w:left w:val="single" w:sz="8" w:space="0" w:color="000000"/>
            </w:tcBorders>
            <w:shd w:fill="FFFFFF" w:val="clear"/>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Loan Disbursement </w:t>
            </w:r>
            <w:r>
              <w:rPr>
                <w:rFonts w:ascii="Arial;Helvetica;Sans-Serif" w:hAnsi="Arial;Helvetica;Sans-Serif"/>
                <w:b w:val="false"/>
                <w:i w:val="false"/>
                <w:caps w:val="false"/>
                <w:smallCaps w:val="false"/>
                <w:sz w:val="16"/>
              </w:rPr>
              <w:t>(4)</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91,957</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95,201</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91,599</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-3.78%</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-0.39%</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182,533</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186,800</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2.34%</w:t>
            </w:r>
          </w:p>
        </w:tc>
      </w:tr>
      <w:tr>
        <w:trPr/>
        <w:tc>
          <w:tcPr>
            <w:tcW w:w="323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Off-balance sheet</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59,304</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61,654</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57,154</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-7.30%</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-3.63%</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119,674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118,808</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-0.72%</w:t>
            </w:r>
          </w:p>
        </w:tc>
      </w:tr>
      <w:tr>
        <w:trPr/>
        <w:tc>
          <w:tcPr>
            <w:tcW w:w="323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Mibanco (Peru and Colombia)</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45,000</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46,839</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52,432</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11.94%</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16.52%</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78,276</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99,271</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26.82%</w:t>
            </w:r>
          </w:p>
        </w:tc>
      </w:tr>
      <w:tr>
        <w:trPr/>
        <w:tc>
          <w:tcPr>
            <w:tcW w:w="323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Insurances</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28,823</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31,102</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30,540</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-1.81%</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5.96%</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59,126</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61,642</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4.26%</w:t>
            </w:r>
          </w:p>
        </w:tc>
      </w:tr>
      <w:tr>
        <w:trPr/>
        <w:tc>
          <w:tcPr>
            <w:tcW w:w="323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BCP Bolivia</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25,468</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50,134</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95,027</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89.55%</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273.13%</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52,868</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145,161</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174.57%</w:t>
            </w:r>
          </w:p>
        </w:tc>
      </w:tr>
      <w:tr>
        <w:trPr/>
        <w:tc>
          <w:tcPr>
            <w:tcW w:w="323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Wealth Management and Corporate Finance</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18,126</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15,254</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16,878</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10.65%</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-6.89%</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36,911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32,132</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-12.95%</w:t>
            </w:r>
          </w:p>
        </w:tc>
      </w:tr>
      <w:tr>
        <w:trPr/>
        <w:tc>
          <w:tcPr>
            <w:tcW w:w="323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ASB</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7,546</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9,786</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8,531</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-12.83%</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13.06%</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19,826</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18,318</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-7.61%</w:t>
            </w:r>
          </w:p>
        </w:tc>
      </w:tr>
      <w:tr>
        <w:trPr/>
        <w:tc>
          <w:tcPr>
            <w:tcW w:w="3230"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sz w:val="16"/>
              </w:rPr>
              <w:t xml:space="preserve">Others </w:t>
            </w:r>
            <w:r>
              <w:rPr>
                <w:rFonts w:ascii="Arial;Helvetica;Sans-Serif" w:hAnsi="Arial;Helvetica;Sans-Serif"/>
                <w:b w:val="false"/>
                <w:i w:val="false"/>
                <w:caps w:val="false"/>
                <w:smallCaps w:val="false"/>
                <w:sz w:val="16"/>
              </w:rPr>
              <w:t>(5)</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-42</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-3,501</w:t>
            </w:r>
          </w:p>
        </w:tc>
        <w:tc>
          <w:tcPr>
            <w:tcW w:w="60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8,524</w:t>
            </w:r>
          </w:p>
        </w:tc>
        <w:tc>
          <w:tcPr>
            <w:tcW w:w="635"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66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n.a</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4,554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5,023</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10.30%</w:t>
            </w:r>
          </w:p>
        </w:tc>
      </w:tr>
      <w:tr>
        <w:trPr/>
        <w:tc>
          <w:tcPr>
            <w:tcW w:w="3230"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Total</w:t>
            </w:r>
          </w:p>
        </w:tc>
        <w:tc>
          <w:tcPr>
            <w:tcW w:w="60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815,170</w:t>
            </w:r>
          </w:p>
        </w:tc>
        <w:tc>
          <w:tcPr>
            <w:tcW w:w="60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810,414</w:t>
            </w:r>
          </w:p>
        </w:tc>
        <w:tc>
          <w:tcPr>
            <w:tcW w:w="605"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887,335</w:t>
            </w:r>
          </w:p>
        </w:tc>
        <w:tc>
          <w:tcPr>
            <w:tcW w:w="63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9.49%</w:t>
            </w:r>
          </w:p>
        </w:tc>
        <w:tc>
          <w:tcPr>
            <w:tcW w:w="665"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8.85%</w:t>
            </w:r>
          </w:p>
        </w:tc>
        <w:tc>
          <w:tcPr>
            <w:tcW w:w="74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1,600,909</w:t>
            </w:r>
          </w:p>
        </w:tc>
        <w:tc>
          <w:tcPr>
            <w:tcW w:w="740"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1,697,749</w:t>
            </w:r>
          </w:p>
        </w:tc>
        <w:tc>
          <w:tcPr>
            <w:tcW w:w="890"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6.05%</w:t>
            </w:r>
          </w:p>
        </w:tc>
      </w:tr>
    </w:tbl>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Management Figures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Corresponds to fees from: credit and debit cards; payments and collections.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Corresponds to fees from: Account maintenance, interbank transfers, national money orders y international transfers.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Corresponds to fees from retail and wholesale loan disbursements.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 Use of third-party network, other services to third parties and Commissions in foreign branches.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extract banking fees of BCP Bolivia’s results from total results for banking business fees, we find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Fees for banking services rose </w:t>
      </w:r>
      <w:r>
        <w:rPr>
          <w:rFonts w:ascii="Arial;Helvetica;Sans-Serif" w:hAnsi="Arial;Helvetica;Sans-Serif"/>
          <w:b/>
          <w:i w:val="false"/>
          <w:caps w:val="false"/>
          <w:smallCaps w:val="false"/>
          <w:sz w:val="20"/>
        </w:rPr>
        <w:t>QoQ, YoY and YTD</w:t>
      </w:r>
      <w:r>
        <w:rPr>
          <w:rFonts w:ascii="Arial;Helvetica;Sans-Serif" w:hAnsi="Arial;Helvetica;Sans-Serif"/>
          <w:b w:val="false"/>
          <w:i w:val="false"/>
          <w:caps w:val="false"/>
          <w:smallCaps w:val="false"/>
          <w:sz w:val="20"/>
        </w:rPr>
        <w:t>, driven primarily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 xml:space="preserve">Payment and Transactional, </w:t>
            </w:r>
            <w:r>
              <w:rPr/>
              <w:t xml:space="preserve">via growth in transactions and on-going migration to digital channels and POS which, unlike cash, generate fee income. The consumption volume through debit and credit cards rose </w:t>
            </w:r>
            <w:r>
              <w:rPr>
                <w:b/>
              </w:rPr>
              <w:t xml:space="preserve">QoQ </w:t>
            </w:r>
            <w:r>
              <w:rPr/>
              <w:t xml:space="preserve">1.98% and 3.01% respectively </w:t>
            </w:r>
            <w:r>
              <w:rPr>
                <w:b/>
              </w:rPr>
              <w:t>YoY</w:t>
            </w:r>
            <w:r>
              <w:rPr/>
              <w:t xml:space="preserve">; 17.15% an 18.51% respectively; and </w:t>
            </w:r>
            <w:r>
              <w:rPr>
                <w:b/>
              </w:rPr>
              <w:t>YTD</w:t>
            </w:r>
            <w:r>
              <w:rPr/>
              <w:t xml:space="preserve"> 18.26% and 22.76% respectively.</w:t>
            </w:r>
          </w:p>
        </w:tc>
      </w:tr>
    </w:tbl>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left"/>
              <w:rPr/>
            </w:pPr>
            <w:r>
              <w:rPr>
                <w:b/>
              </w:rPr>
              <w:t>Others,</w:t>
            </w:r>
            <w:r>
              <w:rPr/>
              <w:t xml:space="preserve"> due to a drop in fees paid to third-parties.</w:t>
            </w:r>
          </w:p>
        </w:tc>
      </w:tr>
    </w:tbl>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left"/>
              <w:rPr/>
            </w:pPr>
            <w:r>
              <w:rPr>
                <w:b/>
              </w:rPr>
              <w:t>Mibanco,</w:t>
            </w:r>
            <w:r>
              <w:rPr/>
              <w:t xml:space="preserve"> which registered an uptick in sales of insurance for banking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 and YTD</w:t>
      </w:r>
      <w:r>
        <w:rPr>
          <w:rFonts w:ascii="Arial;Helvetica;Sans-Serif" w:hAnsi="Arial;Helvetica;Sans-Serif"/>
          <w:b w:val="false"/>
          <w:i w:val="false"/>
          <w:caps w:val="false"/>
          <w:smallCaps w:val="false"/>
          <w:sz w:val="20"/>
        </w:rPr>
        <w:t>, the aforementioned was partially offset by the elimination of inter-city fees in the liability accounts, which began in 4Q22 and was completed in 1Q23.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6.2 Other Non-Core income</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10" w:type="dxa"/>
        <w:tblLayout w:type="fixed"/>
        <w:tblCellMar>
          <w:top w:w="28" w:type="dxa"/>
          <w:left w:w="28" w:type="dxa"/>
          <w:bottom w:w="0" w:type="dxa"/>
          <w:right w:w="0" w:type="dxa"/>
        </w:tblCellMar>
      </w:tblPr>
      <w:tblGrid>
        <w:gridCol w:w="2420"/>
        <w:gridCol w:w="530"/>
        <w:gridCol w:w="515"/>
        <w:gridCol w:w="515"/>
        <w:gridCol w:w="455"/>
        <w:gridCol w:w="560"/>
        <w:gridCol w:w="605"/>
        <w:gridCol w:w="515"/>
        <w:gridCol w:w="785"/>
      </w:tblGrid>
      <w:tr>
        <w:trPr/>
        <w:tc>
          <w:tcPr>
            <w:tcW w:w="2420" w:type="dxa"/>
            <w:tcBorders>
              <w:top w:val="single" w:sz="8" w:space="0" w:color="000000"/>
              <w:lef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Non-core Other income</w:t>
            </w:r>
          </w:p>
        </w:tc>
        <w:tc>
          <w:tcPr>
            <w:tcW w:w="1560" w:type="dxa"/>
            <w:gridSpan w:val="3"/>
            <w:tcBorders>
              <w:top w:val="single" w:sz="8" w:space="0" w:color="000000"/>
              <w:left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Quarter</w:t>
            </w:r>
          </w:p>
        </w:tc>
        <w:tc>
          <w:tcPr>
            <w:tcW w:w="1015" w:type="dxa"/>
            <w:gridSpan w:val="2"/>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c>
          <w:tcPr>
            <w:tcW w:w="1120" w:type="dxa"/>
            <w:gridSpan w:val="2"/>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As of</w:t>
            </w:r>
          </w:p>
        </w:tc>
        <w:tc>
          <w:tcPr>
            <w:tcW w:w="78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change</w:t>
            </w:r>
          </w:p>
        </w:tc>
      </w:tr>
      <w:tr>
        <w:trPr/>
        <w:tc>
          <w:tcPr>
            <w:tcW w:w="242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color w:val="FFFFFF"/>
                <w:sz w:val="14"/>
              </w:rPr>
            </w:pPr>
            <w:r>
              <w:rPr>
                <w:rFonts w:ascii="Arial;Helvetica;Sans-Serif" w:hAnsi="Arial;Helvetica;Sans-Serif"/>
                <w:b/>
                <w:color w:val="FFFFFF"/>
                <w:sz w:val="14"/>
              </w:rPr>
              <w:t>(S/ 000)</w:t>
            </w:r>
          </w:p>
        </w:tc>
        <w:tc>
          <w:tcPr>
            <w:tcW w:w="53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2Q22</w:t>
            </w:r>
          </w:p>
        </w:tc>
        <w:tc>
          <w:tcPr>
            <w:tcW w:w="51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1Q23</w:t>
            </w:r>
          </w:p>
        </w:tc>
        <w:tc>
          <w:tcPr>
            <w:tcW w:w="51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2Q23</w:t>
            </w:r>
          </w:p>
        </w:tc>
        <w:tc>
          <w:tcPr>
            <w:tcW w:w="45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QoQ</w:t>
            </w:r>
          </w:p>
        </w:tc>
        <w:tc>
          <w:tcPr>
            <w:tcW w:w="560"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YoY</w:t>
            </w:r>
          </w:p>
        </w:tc>
        <w:tc>
          <w:tcPr>
            <w:tcW w:w="60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1H22</w:t>
            </w:r>
          </w:p>
        </w:tc>
        <w:tc>
          <w:tcPr>
            <w:tcW w:w="51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w:t>
            </w:r>
          </w:p>
        </w:tc>
        <w:tc>
          <w:tcPr>
            <w:tcW w:w="78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1H23 / 1H22</w:t>
            </w:r>
          </w:p>
        </w:tc>
      </w:tr>
      <w:tr>
        <w:trPr/>
        <w:tc>
          <w:tcPr>
            <w:tcW w:w="242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Net gain on securities</w:t>
            </w:r>
          </w:p>
        </w:tc>
        <w:tc>
          <w:tcPr>
            <w:tcW w:w="53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(94,179)</w:t>
            </w:r>
          </w:p>
        </w:tc>
        <w:tc>
          <w:tcPr>
            <w:tcW w:w="51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70,036</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68,603</w:t>
            </w:r>
          </w:p>
        </w:tc>
        <w:tc>
          <w:tcPr>
            <w:tcW w:w="455" w:type="dxa"/>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w:t>
            </w:r>
          </w:p>
        </w:tc>
        <w:tc>
          <w:tcPr>
            <w:tcW w:w="560"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n.a</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(151,045)</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138,639</w:t>
            </w:r>
          </w:p>
        </w:tc>
        <w:tc>
          <w:tcPr>
            <w:tcW w:w="78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n.a</w:t>
            </w:r>
          </w:p>
        </w:tc>
      </w:tr>
      <w:tr>
        <w:trPr/>
        <w:tc>
          <w:tcPr>
            <w:tcW w:w="2420" w:type="dxa"/>
            <w:tcBorders>
              <w:lef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sz w:val="14"/>
              </w:rPr>
            </w:pPr>
            <w:r>
              <w:rPr>
                <w:rFonts w:ascii="Arial;Helvetica;Sans-Serif" w:hAnsi="Arial;Helvetica;Sans-Serif"/>
                <w:sz w:val="14"/>
              </w:rPr>
              <w:t xml:space="preserve">Net gain from associates </w:t>
            </w:r>
            <w:r>
              <w:rPr>
                <w:rFonts w:ascii="Arial;Helvetica;Sans-Serif" w:hAnsi="Arial;Helvetica;Sans-Serif"/>
                <w:b w:val="false"/>
                <w:i w:val="false"/>
                <w:caps w:val="false"/>
                <w:smallCaps w:val="false"/>
                <w:sz w:val="14"/>
              </w:rPr>
              <w:t>(1)</w:t>
            </w:r>
          </w:p>
        </w:tc>
        <w:tc>
          <w:tcPr>
            <w:tcW w:w="53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29,219</w:t>
            </w:r>
          </w:p>
        </w:tc>
        <w:tc>
          <w:tcPr>
            <w:tcW w:w="51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27,212</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23,689</w:t>
            </w:r>
          </w:p>
        </w:tc>
        <w:tc>
          <w:tcPr>
            <w:tcW w:w="455" w:type="dxa"/>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-12.9%</w:t>
            </w:r>
          </w:p>
        </w:tc>
        <w:tc>
          <w:tcPr>
            <w:tcW w:w="560"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-18.9%</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41,787</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50,901</w:t>
            </w:r>
          </w:p>
        </w:tc>
        <w:tc>
          <w:tcPr>
            <w:tcW w:w="78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21.8%</w:t>
            </w:r>
          </w:p>
        </w:tc>
      </w:tr>
      <w:tr>
        <w:trPr/>
        <w:tc>
          <w:tcPr>
            <w:tcW w:w="242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Net gain on derivatives held for trading</w:t>
            </w:r>
          </w:p>
        </w:tc>
        <w:tc>
          <w:tcPr>
            <w:tcW w:w="53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12,304</w:t>
            </w:r>
          </w:p>
        </w:tc>
        <w:tc>
          <w:tcPr>
            <w:tcW w:w="51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(6,570)</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16,671</w:t>
            </w:r>
          </w:p>
        </w:tc>
        <w:tc>
          <w:tcPr>
            <w:tcW w:w="455" w:type="dxa"/>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n.a</w:t>
            </w:r>
          </w:p>
        </w:tc>
        <w:tc>
          <w:tcPr>
            <w:tcW w:w="560"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35.5%</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6,322</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10,101</w:t>
            </w:r>
          </w:p>
        </w:tc>
        <w:tc>
          <w:tcPr>
            <w:tcW w:w="78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59.8%</w:t>
            </w:r>
          </w:p>
        </w:tc>
      </w:tr>
      <w:tr>
        <w:trPr/>
        <w:tc>
          <w:tcPr>
            <w:tcW w:w="242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Net gain from exchange differences</w:t>
            </w:r>
          </w:p>
        </w:tc>
        <w:tc>
          <w:tcPr>
            <w:tcW w:w="53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(18,441)</w:t>
            </w:r>
          </w:p>
        </w:tc>
        <w:tc>
          <w:tcPr>
            <w:tcW w:w="51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22,963</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2,996</w:t>
            </w:r>
          </w:p>
        </w:tc>
        <w:tc>
          <w:tcPr>
            <w:tcW w:w="455" w:type="dxa"/>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-87.0%</w:t>
            </w:r>
          </w:p>
        </w:tc>
        <w:tc>
          <w:tcPr>
            <w:tcW w:w="560"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n.a</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(26,804)</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25,959</w:t>
            </w:r>
          </w:p>
        </w:tc>
        <w:tc>
          <w:tcPr>
            <w:tcW w:w="78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n.a</w:t>
            </w:r>
          </w:p>
        </w:tc>
      </w:tr>
      <w:tr>
        <w:trPr/>
        <w:tc>
          <w:tcPr>
            <w:tcW w:w="2420" w:type="dxa"/>
            <w:tcBorders>
              <w:left w:val="single" w:sz="8" w:space="0" w:color="000000"/>
            </w:tcBorders>
            <w:tcMar>
              <w:top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Other non-financial income</w:t>
            </w:r>
          </w:p>
        </w:tc>
        <w:tc>
          <w:tcPr>
            <w:tcW w:w="530"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78,681</w:t>
            </w:r>
          </w:p>
        </w:tc>
        <w:tc>
          <w:tcPr>
            <w:tcW w:w="51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89,338</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150,333</w:t>
            </w:r>
          </w:p>
        </w:tc>
        <w:tc>
          <w:tcPr>
            <w:tcW w:w="455" w:type="dxa"/>
            <w:tcBorders/>
            <w:tcMar>
              <w:top w:w="0" w:type="dxa"/>
              <w:left w:w="0"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68.3%</w:t>
            </w:r>
          </w:p>
        </w:tc>
        <w:tc>
          <w:tcPr>
            <w:tcW w:w="560"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91.1%</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225,384</w:t>
            </w:r>
          </w:p>
        </w:tc>
        <w:tc>
          <w:tcPr>
            <w:tcW w:w="51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239,671</w:t>
            </w:r>
          </w:p>
        </w:tc>
        <w:tc>
          <w:tcPr>
            <w:tcW w:w="78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6.3%</w:t>
            </w:r>
          </w:p>
        </w:tc>
      </w:tr>
      <w:tr>
        <w:trPr/>
        <w:tc>
          <w:tcPr>
            <w:tcW w:w="242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Total other income Non-Core</w:t>
            </w:r>
          </w:p>
        </w:tc>
        <w:tc>
          <w:tcPr>
            <w:tcW w:w="53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7,584</w:t>
            </w:r>
          </w:p>
        </w:tc>
        <w:tc>
          <w:tcPr>
            <w:tcW w:w="51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202,979</w:t>
            </w:r>
          </w:p>
        </w:tc>
        <w:tc>
          <w:tcPr>
            <w:tcW w:w="515"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262,292</w:t>
            </w:r>
          </w:p>
        </w:tc>
        <w:tc>
          <w:tcPr>
            <w:tcW w:w="45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29.2%</w:t>
            </w:r>
          </w:p>
        </w:tc>
        <w:tc>
          <w:tcPr>
            <w:tcW w:w="560"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3358.5%</w:t>
            </w:r>
          </w:p>
        </w:tc>
        <w:tc>
          <w:tcPr>
            <w:tcW w:w="60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95,644</w:t>
            </w:r>
          </w:p>
        </w:tc>
        <w:tc>
          <w:tcPr>
            <w:tcW w:w="515"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465,271</w:t>
            </w:r>
          </w:p>
        </w:tc>
        <w:tc>
          <w:tcPr>
            <w:tcW w:w="785" w:type="dxa"/>
            <w:tcBorders>
              <w:top w:val="single" w:sz="8" w:space="0" w:color="000000"/>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386.5%</w:t>
            </w:r>
          </w:p>
        </w:tc>
      </w:tr>
    </w:tbl>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Includes gains on other investments, which are mainly attributable to the Banmedica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2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2" descr=""/>
                          <pic:cNvPicPr>
                            <a:picLocks noChangeAspect="1" noChangeArrowheads="1"/>
                          </pic:cNvPicPr>
                        </pic:nvPicPr>
                        <pic:blipFill>
                          <a:blip r:embed="rId89"/>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1970" w:type="dxa"/>
        <w:jc w:val="left"/>
        <w:tblInd w:w="0" w:type="dxa"/>
        <w:shd w:fill="E93CAC" w:val="clear"/>
        <w:tblLayout w:type="fixed"/>
        <w:tblCellMar>
          <w:top w:w="0" w:type="dxa"/>
          <w:left w:w="0" w:type="dxa"/>
          <w:bottom w:w="0" w:type="dxa"/>
          <w:right w:w="0" w:type="dxa"/>
        </w:tblCellMar>
      </w:tblPr>
      <w:tblGrid>
        <w:gridCol w:w="1970"/>
      </w:tblGrid>
      <w:tr>
        <w:trPr/>
        <w:tc>
          <w:tcPr>
            <w:tcW w:w="197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06. Other Income</w:t>
            </w:r>
          </w:p>
        </w:tc>
      </w:tr>
    </w:tbl>
    <w:p>
      <w:pPr>
        <w:pStyle w:val="TextBody"/>
        <w:bidi w:val="0"/>
        <w:jc w:val="left"/>
        <w:rPr>
          <w:caps w:val="false"/>
          <w:smallCaps w:val="false"/>
        </w:rPr>
      </w:pPr>
      <w:r>
        <w:rPr>
          <w:caps w:val="false"/>
          <w:smallCaps w:val="false"/>
        </w:rPr>
        <w:t> </w:t>
      </w:r>
    </w:p>
    <w:tbl>
      <w:tblPr>
        <w:tblW w:w="9090" w:type="dxa"/>
        <w:jc w:val="left"/>
        <w:tblInd w:w="0" w:type="dxa"/>
        <w:tblLayout w:type="fixed"/>
        <w:tblCellMar>
          <w:top w:w="0" w:type="dxa"/>
          <w:left w:w="0" w:type="dxa"/>
          <w:bottom w:w="0" w:type="dxa"/>
          <w:right w:w="0" w:type="dxa"/>
        </w:tblCellMar>
      </w:tblPr>
      <w:tblGrid>
        <w:gridCol w:w="4515"/>
        <w:gridCol w:w="60"/>
        <w:gridCol w:w="4515"/>
      </w:tblGrid>
      <w:tr>
        <w:trPr/>
        <w:tc>
          <w:tcPr>
            <w:tcW w:w="4515"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QoQ Other Non-Core Income Evolution</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(Thousands of soles)</w:t>
            </w:r>
          </w:p>
        </w:tc>
        <w:tc>
          <w:tcPr>
            <w:tcW w:w="60" w:type="dxa"/>
            <w:tcBorders/>
            <w:vAlign w:val="center"/>
          </w:tcPr>
          <w:p>
            <w:pPr>
              <w:pStyle w:val="TableContents"/>
              <w:bidi w:val="0"/>
              <w:spacing w:before="0" w:after="283"/>
              <w:jc w:val="left"/>
              <w:rPr/>
            </w:pPr>
            <w:r>
              <w:rPr/>
              <w:t> </w:t>
            </w:r>
          </w:p>
        </w:tc>
        <w:tc>
          <w:tcPr>
            <w:tcW w:w="4515"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YoY Other Non-Core Income Evolution</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(Thousands of soles)</w:t>
            </w:r>
          </w:p>
        </w:tc>
      </w:tr>
      <w:tr>
        <w:trPr/>
        <w:tc>
          <w:tcPr>
            <w:tcW w:w="4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5" w:type="dxa"/>
            <w:tcBorders/>
            <w:vAlign w:val="center"/>
          </w:tcPr>
          <w:p>
            <w:pPr>
              <w:pStyle w:val="TableContents"/>
              <w:bidi w:val="0"/>
              <w:spacing w:before="0" w:after="283"/>
              <w:jc w:val="left"/>
              <w:rPr/>
            </w:pPr>
            <w:r>
              <w:rPr/>
              <w:t> </w:t>
            </w:r>
          </w:p>
        </w:tc>
      </w:tr>
      <w:tr>
        <w:trPr/>
        <w:tc>
          <w:tcPr>
            <w:tcW w:w="4515" w:type="dxa"/>
            <w:tcBorders/>
            <w:vAlign w:val="center"/>
          </w:tcPr>
          <w:p>
            <w:pPr>
              <w:pStyle w:val="TableContents"/>
              <w:bidi w:val="0"/>
              <w:spacing w:before="0" w:after="283"/>
              <w:jc w:val="center"/>
              <w:rPr/>
            </w:pPr>
            <w:r>
              <w:rPr/>
              <w:drawing>
                <wp:inline distT="0" distB="0" distL="0" distR="0">
                  <wp:extent cx="2857500" cy="2495550"/>
                  <wp:effectExtent l="0" t="0" r="0" b="0"/>
                  <wp:docPr id="12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3" descr=""/>
                          <pic:cNvPicPr>
                            <a:picLocks noChangeAspect="1" noChangeArrowheads="1"/>
                          </pic:cNvPicPr>
                        </pic:nvPicPr>
                        <pic:blipFill>
                          <a:blip r:embed="rId90"/>
                          <a:stretch>
                            <a:fillRect/>
                          </a:stretch>
                        </pic:blipFill>
                        <pic:spPr bwMode="auto">
                          <a:xfrm>
                            <a:off x="0" y="0"/>
                            <a:ext cx="2857500" cy="2495550"/>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4515" w:type="dxa"/>
            <w:tcBorders/>
            <w:vAlign w:val="center"/>
          </w:tcPr>
          <w:p>
            <w:pPr>
              <w:pStyle w:val="TableContents"/>
              <w:bidi w:val="0"/>
              <w:spacing w:before="0" w:after="283"/>
              <w:jc w:val="center"/>
              <w:rPr/>
            </w:pPr>
            <w:r>
              <w:rPr/>
              <w:drawing>
                <wp:inline distT="0" distB="0" distL="0" distR="0">
                  <wp:extent cx="2857500" cy="2447925"/>
                  <wp:effectExtent l="0" t="0" r="0" b="0"/>
                  <wp:docPr id="12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4" descr=""/>
                          <pic:cNvPicPr>
                            <a:picLocks noChangeAspect="1" noChangeArrowheads="1"/>
                          </pic:cNvPicPr>
                        </pic:nvPicPr>
                        <pic:blipFill>
                          <a:blip r:embed="rId91"/>
                          <a:stretch>
                            <a:fillRect/>
                          </a:stretch>
                        </pic:blipFill>
                        <pic:spPr bwMode="auto">
                          <a:xfrm>
                            <a:off x="0" y="0"/>
                            <a:ext cx="2857500" cy="24479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8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(1)</w:t>
            </w:r>
          </w:p>
        </w:tc>
        <w:tc>
          <w:tcPr>
            <w:tcW w:w="4505" w:type="dxa"/>
            <w:tcBorders/>
            <w:vAlign w:val="center"/>
          </w:tcPr>
          <w:p>
            <w:pPr>
              <w:pStyle w:val="TableContents"/>
              <w:bidi w:val="0"/>
              <w:spacing w:before="0" w:after="283"/>
              <w:jc w:val="left"/>
              <w:rPr>
                <w:sz w:val="14"/>
              </w:rPr>
            </w:pPr>
            <w:r>
              <w:rPr>
                <w:sz w:val="14"/>
              </w:rPr>
              <w:t>Other includes: Grupo Crédito, Credicorp Individual, eliminations and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QoQ, Other Non-Core Income rose, driven primarily by:</w:t>
      </w:r>
    </w:p>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pPr>
            <w:r>
              <w:rPr>
                <w:b/>
              </w:rPr>
              <w:t>Universal Banking</w:t>
            </w:r>
            <w:r>
              <w:rPr/>
              <w:t>, due to:</w:t>
            </w:r>
          </w:p>
        </w:tc>
      </w:tr>
    </w:tbl>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The recognition of fees from previous periods.</w:t>
            </w:r>
          </w:p>
        </w:tc>
      </w:tr>
    </w:tbl>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pPr>
            <w:r>
              <w:rPr/>
              <w:t>The sale of a delinquent portfolio in the energy sector in Wholesale Banking.</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Growth in income in the derivatives line, which reflects derivatives trading to take advantage of market opportunities.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This was partially offset by a drop in the Net gain on securities, which reflects a strategy to manage the balance sheet to prepare for new rate scenarios.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xml:space="preserve"> and </w:t>
      </w:r>
      <w:r>
        <w:rPr>
          <w:rFonts w:ascii="Arial;Helvetica;Sans-Serif" w:hAnsi="Arial;Helvetica;Sans-Serif"/>
          <w:b/>
          <w:i w:val="false"/>
          <w:caps w:val="false"/>
          <w:smallCaps w:val="false"/>
          <w:sz w:val="20"/>
        </w:rPr>
        <w:t>YTD</w:t>
      </w:r>
      <w:r>
        <w:rPr>
          <w:rFonts w:ascii="Arial;Helvetica;Sans-Serif" w:hAnsi="Arial;Helvetica;Sans-Serif"/>
          <w:b w:val="false"/>
          <w:i w:val="false"/>
          <w:caps w:val="false"/>
          <w:smallCaps w:val="false"/>
          <w:sz w:val="20"/>
        </w:rPr>
        <w:t>, Other Non-Core income rose, driven mainly by:</w:t>
      </w:r>
    </w:p>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pPr>
            <w:r>
              <w:rPr>
                <w:b/>
              </w:rPr>
              <w:t>Universal Banking,</w:t>
            </w:r>
            <w:r>
              <w:rPr/>
              <w:t xml:space="preserve"> fueled by the same dynamics as those seen QoQ.</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Investment Banking and Wealth Management,</w:t>
            </w:r>
            <w:r>
              <w:rPr/>
              <w:t xml:space="preserve"> which reaped positive results through trading strategies at Credicorp Capital Colombia and ASB in a context marked by rate curve variations and volatility.</w:t>
            </w:r>
          </w:p>
        </w:tc>
      </w:tr>
    </w:tbl>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pPr>
            <w:r>
              <w:rPr>
                <w:b/>
              </w:rPr>
              <w:t>Others,</w:t>
            </w:r>
            <w:r>
              <w:rPr/>
              <w:t xml:space="preserve"> due to growth in the market value of investments held by Credicorp Stand-Alone.</w:t>
            </w:r>
          </w:p>
        </w:tc>
      </w:tr>
    </w:tbl>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pPr>
            <w:r>
              <w:rPr>
                <w:b/>
              </w:rPr>
              <w:t>Insurance and Pensions,</w:t>
            </w:r>
            <w:r>
              <w:rPr/>
              <w:t xml:space="preserve"> due to growth in the Net gain on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2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5" descr=""/>
                          <pic:cNvPicPr>
                            <a:picLocks noChangeAspect="1" noChangeArrowheads="1"/>
                          </pic:cNvPicPr>
                        </pic:nvPicPr>
                        <pic:blipFill>
                          <a:blip r:embed="rId92"/>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p>
      <w:pPr>
        <w:pStyle w:val="TextBody"/>
        <w:bidi w:val="0"/>
        <w:spacing w:before="0" w:after="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95"/>
        <w:gridCol w:w="4970"/>
      </w:tblGrid>
      <w:tr>
        <w:trPr/>
        <w:tc>
          <w:tcPr>
            <w:tcW w:w="695" w:type="dxa"/>
            <w:tcBorders/>
            <w:vAlign w:val="center"/>
          </w:tcPr>
          <w:p>
            <w:pPr>
              <w:pStyle w:val="TableContents"/>
              <w:bidi w:val="0"/>
              <w:spacing w:before="0" w:after="283"/>
              <w:jc w:val="left"/>
              <w:rPr>
                <w:rFonts w:ascii="Arial;Helvetica;Sans-Serif" w:hAnsi="Arial;Helvetica;Sans-Serif"/>
                <w:b/>
                <w:color w:val="E93CAC"/>
                <w:sz w:val="58"/>
              </w:rPr>
            </w:pPr>
            <w:r>
              <w:rPr>
                <w:rFonts w:ascii="Arial;Helvetica;Sans-Serif" w:hAnsi="Arial;Helvetica;Sans-Serif"/>
                <w:b/>
                <w:color w:val="E93CAC"/>
                <w:sz w:val="58"/>
              </w:rPr>
              <w:t>07</w:t>
            </w:r>
          </w:p>
        </w:tc>
        <w:tc>
          <w:tcPr>
            <w:tcW w:w="4970" w:type="dxa"/>
            <w:tcBorders/>
            <w:vAlign w:val="center"/>
          </w:tcPr>
          <w:p>
            <w:pPr>
              <w:pStyle w:val="TableContents"/>
              <w:bidi w:val="0"/>
              <w:spacing w:before="0" w:after="283"/>
              <w:jc w:val="left"/>
              <w:rPr>
                <w:rFonts w:ascii="Arial;Helvetica;Sans-Serif" w:hAnsi="Arial;Helvetica;Sans-Serif"/>
                <w:color w:val="E93CAC"/>
                <w:sz w:val="36"/>
              </w:rPr>
            </w:pPr>
            <w:r>
              <w:rPr>
                <w:rFonts w:ascii="Arial;Helvetica;Sans-Serif" w:hAnsi="Arial;Helvetica;Sans-Serif"/>
                <w:color w:val="E93CAC"/>
                <w:sz w:val="36"/>
              </w:rPr>
              <w:t>Insurance Underwriting Results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shd w:fill="E93CAC" w:val="clear"/>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The insurance underwriting result rose 0.1% QoQ due to an improvement in the results for P&amp;C. This evolution was mitigated by lower results in Life. P&amp;C’s result rose due to the favorable evolution of P&amp;C Risks and Medical Assistance. The aforementioned was attenuated by the results registered in Life, which reported lower results in Individual Life and Group Life; and was partially offset by uptick in the results posted by Pensions.</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YoY and YTD, results rose 52.7% and 47.9% respectively, driven by the Life businesses and by Pensions, Group Life and Credit Life in particular. The drop registered in P&amp;C was attributable to lower results in P&amp;C risks and Cars.</w:t>
            </w:r>
          </w:p>
        </w:tc>
      </w:tr>
    </w:tbl>
    <w:p>
      <w:pPr>
        <w:pStyle w:val="TextBody"/>
        <w:bidi w:val="0"/>
        <w:spacing w:before="0" w:after="0"/>
        <w:ind w:left="0" w:right="0" w:hanging="0"/>
        <w:jc w:val="left"/>
        <w:rPr>
          <w:caps w:val="false"/>
          <w:smallCaps w:val="false"/>
        </w:rPr>
      </w:pPr>
      <w:r>
        <w:rPr>
          <w:caps w:val="false"/>
          <w:smallCaps w:val="false"/>
        </w:rPr>
        <w:t> </w:t>
      </w:r>
    </w:p>
    <w:tbl>
      <w:tblPr>
        <w:tblW w:w="8900" w:type="dxa"/>
        <w:jc w:val="left"/>
        <w:tblInd w:w="-10" w:type="dxa"/>
        <w:tblLayout w:type="fixed"/>
        <w:tblCellMar>
          <w:top w:w="28" w:type="dxa"/>
          <w:left w:w="28" w:type="dxa"/>
          <w:bottom w:w="0" w:type="dxa"/>
          <w:right w:w="0" w:type="dxa"/>
        </w:tblCellMar>
      </w:tblPr>
      <w:tblGrid>
        <w:gridCol w:w="1010"/>
        <w:gridCol w:w="2570"/>
        <w:gridCol w:w="545"/>
        <w:gridCol w:w="545"/>
        <w:gridCol w:w="545"/>
        <w:gridCol w:w="575"/>
        <w:gridCol w:w="725"/>
        <w:gridCol w:w="635"/>
        <w:gridCol w:w="635"/>
        <w:gridCol w:w="1115"/>
      </w:tblGrid>
      <w:tr>
        <w:trPr/>
        <w:tc>
          <w:tcPr>
            <w:tcW w:w="3580" w:type="dxa"/>
            <w:gridSpan w:val="2"/>
            <w:tcBorders>
              <w:top w:val="single" w:sz="8" w:space="0" w:color="000000"/>
              <w:left w:val="single" w:sz="8" w:space="0" w:color="000000"/>
            </w:tcBorders>
            <w:shd w:fill="2AD2C9"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Insurance Underwriting Result</w:t>
            </w:r>
          </w:p>
        </w:tc>
        <w:tc>
          <w:tcPr>
            <w:tcW w:w="1635" w:type="dxa"/>
            <w:gridSpan w:val="3"/>
            <w:tcBorders>
              <w:top w:val="single" w:sz="8" w:space="0" w:color="000000"/>
              <w:left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Quarter</w:t>
            </w:r>
          </w:p>
        </w:tc>
        <w:tc>
          <w:tcPr>
            <w:tcW w:w="1300" w:type="dxa"/>
            <w:gridSpan w:val="2"/>
            <w:tcBorders>
              <w:top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w:t>
            </w:r>
          </w:p>
        </w:tc>
        <w:tc>
          <w:tcPr>
            <w:tcW w:w="1270" w:type="dxa"/>
            <w:gridSpan w:val="2"/>
            <w:tcBorders>
              <w:top w:val="single" w:sz="8" w:space="0" w:color="000000"/>
              <w:left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of</w:t>
            </w:r>
          </w:p>
        </w:tc>
        <w:tc>
          <w:tcPr>
            <w:tcW w:w="111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w:t>
            </w:r>
          </w:p>
        </w:tc>
      </w:tr>
      <w:tr>
        <w:trPr/>
        <w:tc>
          <w:tcPr>
            <w:tcW w:w="101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 000</w:t>
            </w:r>
          </w:p>
        </w:tc>
        <w:tc>
          <w:tcPr>
            <w:tcW w:w="257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left"/>
              <w:rPr>
                <w:color w:val="FFFFFF"/>
              </w:rPr>
            </w:pPr>
            <w:r>
              <w:rPr>
                <w:color w:val="FFFFFF"/>
              </w:rPr>
              <w:t> </w:t>
            </w:r>
          </w:p>
        </w:tc>
        <w:tc>
          <w:tcPr>
            <w:tcW w:w="545" w:type="dxa"/>
            <w:tcBorders>
              <w:left w:val="single" w:sz="8" w:space="0" w:color="000000"/>
            </w:tcBorders>
            <w:shd w:fill="2AD2C9" w:val="clear"/>
            <w:tcMar>
              <w:top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2Q22</w:t>
            </w:r>
          </w:p>
        </w:tc>
        <w:tc>
          <w:tcPr>
            <w:tcW w:w="545" w:type="dxa"/>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1Q23</w:t>
            </w:r>
          </w:p>
        </w:tc>
        <w:tc>
          <w:tcPr>
            <w:tcW w:w="545" w:type="dxa"/>
            <w:tcBorders>
              <w:right w:val="single" w:sz="8" w:space="0" w:color="000000"/>
            </w:tcBorders>
            <w:shd w:fill="2AD2C9" w:val="clear"/>
            <w:tcMar>
              <w:top w:w="0" w:type="dxa"/>
              <w:left w:w="0"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2Q23</w:t>
            </w:r>
          </w:p>
        </w:tc>
        <w:tc>
          <w:tcPr>
            <w:tcW w:w="57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QoQ</w:t>
            </w:r>
          </w:p>
        </w:tc>
        <w:tc>
          <w:tcPr>
            <w:tcW w:w="72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YoY</w:t>
            </w:r>
          </w:p>
        </w:tc>
        <w:tc>
          <w:tcPr>
            <w:tcW w:w="63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22</w:t>
            </w:r>
          </w:p>
        </w:tc>
        <w:tc>
          <w:tcPr>
            <w:tcW w:w="63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23</w:t>
            </w:r>
          </w:p>
        </w:tc>
        <w:tc>
          <w:tcPr>
            <w:tcW w:w="111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Jun23 / Jun22</w:t>
            </w:r>
          </w:p>
        </w:tc>
      </w:tr>
      <w:tr>
        <w:trPr/>
        <w:tc>
          <w:tcPr>
            <w:tcW w:w="1010" w:type="dxa"/>
            <w:vMerge w:val="restart"/>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Total</w:t>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Income from Insurance Services </w:t>
            </w:r>
          </w:p>
        </w:tc>
        <w:tc>
          <w:tcPr>
            <w:tcW w:w="545" w:type="dxa"/>
            <w:tcBorders>
              <w:top w:val="single" w:sz="8" w:space="0" w:color="000000"/>
              <w:left w:val="single" w:sz="8" w:space="0" w:color="000000"/>
            </w:tcBorders>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844.2</w:t>
            </w:r>
          </w:p>
        </w:tc>
        <w:tc>
          <w:tcPr>
            <w:tcW w:w="545" w:type="dxa"/>
            <w:tcBorders>
              <w:top w:val="single" w:sz="8" w:space="0" w:color="000000"/>
            </w:tcBorders>
            <w:tcMar>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956.6</w:t>
            </w:r>
          </w:p>
        </w:tc>
        <w:tc>
          <w:tcPr>
            <w:tcW w:w="545" w:type="dxa"/>
            <w:tcBorders>
              <w:top w:val="single" w:sz="8" w:space="0" w:color="000000"/>
              <w:right w:val="single" w:sz="8" w:space="0" w:color="000000"/>
            </w:tcBorders>
            <w:tcMar>
              <w:left w:w="0" w:type="dxa"/>
              <w:right w:w="6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957.7</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0.1%</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13.4%</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1689.3</w:t>
            </w:r>
          </w:p>
        </w:tc>
        <w:tc>
          <w:tcPr>
            <w:tcW w:w="63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1914.3</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13.3%</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Expenses for Insurance Services</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(513.6)</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(545.2)</w:t>
            </w:r>
          </w:p>
        </w:tc>
        <w:tc>
          <w:tcPr>
            <w:tcW w:w="54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(550.4)</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7.2%</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(1044.4)</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(1095.6)</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4.9%</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Reinsurance Results</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(136.4)</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(115.1)</w:t>
            </w:r>
          </w:p>
        </w:tc>
        <w:tc>
          <w:tcPr>
            <w:tcW w:w="54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(110.7)</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-3.8%</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-18.8%</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(244.0)</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(225.8)</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-7.4%</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Insurance Undewrwriting Result</w:t>
            </w:r>
          </w:p>
        </w:tc>
        <w:tc>
          <w:tcPr>
            <w:tcW w:w="54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194.2</w:t>
            </w:r>
          </w:p>
        </w:tc>
        <w:tc>
          <w:tcPr>
            <w:tcW w:w="54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296.3</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296.6</w:t>
            </w:r>
          </w:p>
        </w:tc>
        <w:tc>
          <w:tcPr>
            <w:tcW w:w="57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0.1%</w:t>
            </w:r>
          </w:p>
        </w:tc>
        <w:tc>
          <w:tcPr>
            <w:tcW w:w="72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52.7%</w:t>
            </w:r>
          </w:p>
        </w:tc>
        <w:tc>
          <w:tcPr>
            <w:tcW w:w="63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400.9</w:t>
            </w:r>
          </w:p>
        </w:tc>
        <w:tc>
          <w:tcPr>
            <w:tcW w:w="63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592.9</w:t>
            </w:r>
          </w:p>
        </w:tc>
        <w:tc>
          <w:tcPr>
            <w:tcW w:w="111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47.9%</w:t>
            </w:r>
          </w:p>
        </w:tc>
      </w:tr>
      <w:tr>
        <w:trPr/>
        <w:tc>
          <w:tcPr>
            <w:tcW w:w="1010" w:type="dxa"/>
            <w:vMerge w:val="restart"/>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P&amp;C</w:t>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Income from Insurance Services </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420.2</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413.9</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430.1</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3.9%</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2.3%</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825.7</w:t>
            </w:r>
          </w:p>
        </w:tc>
        <w:tc>
          <w:tcPr>
            <w:tcW w:w="63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844.0</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Expenses for Insurance Services</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(212.6)</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(286.1)</w:t>
            </w:r>
          </w:p>
        </w:tc>
        <w:tc>
          <w:tcPr>
            <w:tcW w:w="54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(274.1)</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28.9%</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(457.1)</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(560.2)</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22.6%</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Reinsurance Results</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(133.5)</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(83.9)</w:t>
            </w:r>
          </w:p>
        </w:tc>
        <w:tc>
          <w:tcPr>
            <w:tcW w:w="54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(81.1)</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-3.4%</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-39.3%</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(245.3)</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(165.0)</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-32.7%</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Insurance Undewrwriting Result</w:t>
            </w:r>
          </w:p>
        </w:tc>
        <w:tc>
          <w:tcPr>
            <w:tcW w:w="54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74.1</w:t>
            </w:r>
          </w:p>
        </w:tc>
        <w:tc>
          <w:tcPr>
            <w:tcW w:w="54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43.9</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74.9</w:t>
            </w:r>
          </w:p>
        </w:tc>
        <w:tc>
          <w:tcPr>
            <w:tcW w:w="57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70.5%</w:t>
            </w:r>
          </w:p>
        </w:tc>
        <w:tc>
          <w:tcPr>
            <w:tcW w:w="72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1.0%</w:t>
            </w:r>
          </w:p>
        </w:tc>
        <w:tc>
          <w:tcPr>
            <w:tcW w:w="63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123.3</w:t>
            </w:r>
          </w:p>
        </w:tc>
        <w:tc>
          <w:tcPr>
            <w:tcW w:w="63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118.8</w:t>
            </w:r>
          </w:p>
        </w:tc>
        <w:tc>
          <w:tcPr>
            <w:tcW w:w="111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-3.6%</w:t>
            </w:r>
          </w:p>
        </w:tc>
      </w:tr>
      <w:tr>
        <w:trPr/>
        <w:tc>
          <w:tcPr>
            <w:tcW w:w="1010" w:type="dxa"/>
            <w:vMerge w:val="restart"/>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Life</w:t>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Income from Insurance Services </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411.5</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521.9</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500.1</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21.5%</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830.3</w:t>
            </w:r>
          </w:p>
        </w:tc>
        <w:tc>
          <w:tcPr>
            <w:tcW w:w="63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1022.0</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23.1%</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Expenses for Insurance Services</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(306.0)</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(257.3)</w:t>
            </w:r>
          </w:p>
        </w:tc>
        <w:tc>
          <w:tcPr>
            <w:tcW w:w="54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(270.7)</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5.2%</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-11.5%</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(584.4)</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(527.9)</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-9.7%</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Reinsurance Results</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0.2</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(27.2)</w:t>
            </w:r>
          </w:p>
        </w:tc>
        <w:tc>
          <w:tcPr>
            <w:tcW w:w="54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(24.0)</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-11.8%</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n.a</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7.1</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(51.1)</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-819.2%</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Insurance Undewrwriting Result</w:t>
            </w:r>
          </w:p>
        </w:tc>
        <w:tc>
          <w:tcPr>
            <w:tcW w:w="54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105.7</w:t>
            </w:r>
          </w:p>
        </w:tc>
        <w:tc>
          <w:tcPr>
            <w:tcW w:w="54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237.4</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205.5</w:t>
            </w:r>
          </w:p>
        </w:tc>
        <w:tc>
          <w:tcPr>
            <w:tcW w:w="57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-13.5%</w:t>
            </w:r>
          </w:p>
        </w:tc>
        <w:tc>
          <w:tcPr>
            <w:tcW w:w="72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94.5%</w:t>
            </w:r>
          </w:p>
        </w:tc>
        <w:tc>
          <w:tcPr>
            <w:tcW w:w="63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253.0</w:t>
            </w:r>
          </w:p>
        </w:tc>
        <w:tc>
          <w:tcPr>
            <w:tcW w:w="63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442.9</w:t>
            </w:r>
          </w:p>
        </w:tc>
        <w:tc>
          <w:tcPr>
            <w:tcW w:w="111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75.1%</w:t>
            </w:r>
          </w:p>
        </w:tc>
      </w:tr>
      <w:tr>
        <w:trPr/>
        <w:tc>
          <w:tcPr>
            <w:tcW w:w="1010" w:type="dxa"/>
            <w:vMerge w:val="restart"/>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Crediseguros</w:t>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Income from Insurance Services </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16.9</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20.9</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27.5</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31.9%</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63.1%</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33.2</w:t>
            </w:r>
          </w:p>
        </w:tc>
        <w:tc>
          <w:tcPr>
            <w:tcW w:w="63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48.4</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45.6%</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Expenses for Insurance Services</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0.6</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(1.9)</w:t>
            </w:r>
          </w:p>
        </w:tc>
        <w:tc>
          <w:tcPr>
            <w:tcW w:w="54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(5.6)</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203.6%</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-1000.2%</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(2.9)</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(7.5)</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156.8%</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tcMar>
              <w:top w:w="0" w:type="dxa"/>
              <w:lef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Reinsurance Results</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(3.1)</w:t>
            </w:r>
          </w:p>
        </w:tc>
        <w:tc>
          <w:tcPr>
            <w:tcW w:w="545" w:type="dxa"/>
            <w:tcBorders/>
            <w:tcMar>
              <w:top w:w="0" w:type="dxa"/>
              <w:left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(4.0)</w:t>
            </w:r>
          </w:p>
        </w:tc>
        <w:tc>
          <w:tcPr>
            <w:tcW w:w="54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(5.7)</w:t>
            </w:r>
          </w:p>
        </w:tc>
        <w:tc>
          <w:tcPr>
            <w:tcW w:w="57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42.0%</w:t>
            </w:r>
          </w:p>
        </w:tc>
        <w:tc>
          <w:tcPr>
            <w:tcW w:w="725" w:type="dxa"/>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83.9%</w:t>
            </w:r>
          </w:p>
        </w:tc>
        <w:tc>
          <w:tcPr>
            <w:tcW w:w="63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(5.7)</w:t>
            </w:r>
          </w:p>
        </w:tc>
        <w:tc>
          <w:tcPr>
            <w:tcW w:w="635" w:type="dxa"/>
            <w:tcBorders>
              <w:right w:val="single" w:sz="8" w:space="0" w:color="000000"/>
            </w:tcBorders>
            <w:tcMar>
              <w:top w:w="0" w:type="dxa"/>
              <w:left w:w="0" w:type="dxa"/>
              <w:right w:w="28" w:type="dxa"/>
            </w:tcMar>
            <w:vAlign w:val="center"/>
          </w:tcPr>
          <w:p>
            <w:pPr>
              <w:pStyle w:val="TableContents"/>
              <w:bidi w:val="0"/>
              <w:spacing w:before="0" w:after="283"/>
              <w:jc w:val="right"/>
              <w:rPr>
                <w:rFonts w:ascii="Arial;Helvetica;Sans-Serif" w:hAnsi="Arial;Helvetica;Sans-Serif"/>
                <w:color w:val="404040"/>
                <w:sz w:val="16"/>
              </w:rPr>
            </w:pPr>
            <w:r>
              <w:rPr>
                <w:rFonts w:ascii="Arial;Helvetica;Sans-Serif" w:hAnsi="Arial;Helvetica;Sans-Serif"/>
                <w:color w:val="404040"/>
                <w:sz w:val="16"/>
              </w:rPr>
              <w:t>(9.2)</w:t>
            </w:r>
          </w:p>
        </w:tc>
        <w:tc>
          <w:tcPr>
            <w:tcW w:w="1115" w:type="dxa"/>
            <w:tcBorders>
              <w:right w:val="single" w:sz="8" w:space="0" w:color="000000"/>
            </w:tcBorders>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60.3%</w:t>
            </w:r>
          </w:p>
        </w:tc>
      </w:tr>
      <w:tr>
        <w:trPr/>
        <w:tc>
          <w:tcPr>
            <w:tcW w:w="1010" w:type="dxa"/>
            <w:vMerge w:val="continue"/>
            <w:tcBorders>
              <w:left w:val="single" w:sz="8" w:space="0" w:color="000000"/>
              <w:bottom w:val="single" w:sz="8" w:space="0" w:color="000000"/>
              <w:right w:val="single" w:sz="8" w:space="0" w:color="000000"/>
            </w:tcBorders>
            <w:tcMar>
              <w:top w:w="0" w:type="dxa"/>
              <w:bottom w:w="28" w:type="dxa"/>
              <w:right w:w="28" w:type="dxa"/>
            </w:tcMar>
            <w:vAlign w:val="center"/>
          </w:tcPr>
          <w:p>
            <w:pPr>
              <w:pStyle w:val="Normal"/>
              <w:bidi w:val="0"/>
              <w:jc w:val="left"/>
              <w:rPr/>
            </w:pPr>
            <w:r>
              <w:rPr/>
            </w:r>
          </w:p>
        </w:tc>
        <w:tc>
          <w:tcPr>
            <w:tcW w:w="2570" w:type="dxa"/>
            <w:tcBorders>
              <w:bottom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Insurance Undewrwriting Result</w:t>
            </w:r>
          </w:p>
        </w:tc>
        <w:tc>
          <w:tcPr>
            <w:tcW w:w="54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14.4</w:t>
            </w:r>
          </w:p>
        </w:tc>
        <w:tc>
          <w:tcPr>
            <w:tcW w:w="54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15.0</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16.2</w:t>
            </w:r>
          </w:p>
        </w:tc>
        <w:tc>
          <w:tcPr>
            <w:tcW w:w="57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8.0%</w:t>
            </w:r>
          </w:p>
        </w:tc>
        <w:tc>
          <w:tcPr>
            <w:tcW w:w="725" w:type="dxa"/>
            <w:tcBorders>
              <w:bottom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12.5%</w:t>
            </w:r>
          </w:p>
        </w:tc>
        <w:tc>
          <w:tcPr>
            <w:tcW w:w="63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24.6</w:t>
            </w:r>
          </w:p>
        </w:tc>
        <w:tc>
          <w:tcPr>
            <w:tcW w:w="63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color w:val="404040"/>
                <w:sz w:val="16"/>
              </w:rPr>
            </w:pPr>
            <w:r>
              <w:rPr>
                <w:rFonts w:ascii="Arial;Helvetica;Sans-Serif" w:hAnsi="Arial;Helvetica;Sans-Serif"/>
                <w:b/>
                <w:color w:val="404040"/>
                <w:sz w:val="16"/>
              </w:rPr>
              <w:t>31.7</w:t>
            </w:r>
          </w:p>
        </w:tc>
        <w:tc>
          <w:tcPr>
            <w:tcW w:w="111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29.0%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QoQ analysis, the Insurance Underwriting result rose 0.1% due to an uptick in income from insurance contracts via the P &amp; C business. This increase was attenuated by growth in expenses for insurance services through Life and Crediseguros.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YoY and YTD analysis, the Insurance Underwriting Result increased 52.7% and 47.9% respectively. This expansion was driven by an uptick in income and a drop in expenses for insurance services in the Life Business (+21.5% and -11.5% respectively) and by an improvement in the Reinsurance result in the P &amp; C business (-39.3%). The aforementioned was partially offset by an increase in expenses for insurance services via P &amp; C (+28.9%).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P &amp; C</w:t>
      </w:r>
    </w:p>
    <w:p>
      <w:pPr>
        <w:pStyle w:val="TextBody"/>
        <w:bidi w:val="0"/>
        <w:spacing w:before="0" w:after="0"/>
        <w:ind w:left="0" w:right="0" w:hanging="0"/>
        <w:jc w:val="left"/>
        <w:rPr>
          <w:caps w:val="false"/>
          <w:smallCaps w:val="false"/>
        </w:rPr>
      </w:pPr>
      <w:r>
        <w:rPr>
          <w:caps w:val="false"/>
          <w:smallCaps w:val="false"/>
        </w:rPr>
        <w:t> </w:t>
      </w:r>
    </w:p>
    <w:tbl>
      <w:tblPr>
        <w:tblW w:w="9660" w:type="dxa"/>
        <w:jc w:val="left"/>
        <w:tblInd w:w="0" w:type="dxa"/>
        <w:tblLayout w:type="fixed"/>
        <w:tblCellMar>
          <w:top w:w="0" w:type="dxa"/>
          <w:left w:w="0" w:type="dxa"/>
          <w:bottom w:w="0" w:type="dxa"/>
          <w:right w:w="0" w:type="dxa"/>
        </w:tblCellMar>
      </w:tblPr>
      <w:tblGrid>
        <w:gridCol w:w="6000"/>
        <w:gridCol w:w="60"/>
        <w:gridCol w:w="3600"/>
      </w:tblGrid>
      <w:tr>
        <w:trPr/>
        <w:tc>
          <w:tcPr>
            <w:tcW w:w="6000" w:type="dxa"/>
            <w:tcBorders/>
            <w:vAlign w:val="center"/>
          </w:tcPr>
          <w:p>
            <w:pPr>
              <w:pStyle w:val="TableContents"/>
              <w:bidi w:val="0"/>
              <w:spacing w:before="0" w:after="283"/>
              <w:jc w:val="left"/>
              <w:rPr/>
            </w:pPr>
            <w:r>
              <w:rPr/>
              <w:t>Income from Insurance Services</w:t>
            </w:r>
          </w:p>
        </w:tc>
        <w:tc>
          <w:tcPr>
            <w:tcW w:w="60" w:type="dxa"/>
            <w:tcBorders/>
            <w:vAlign w:val="center"/>
          </w:tcPr>
          <w:p>
            <w:pPr>
              <w:pStyle w:val="TableContents"/>
              <w:bidi w:val="0"/>
              <w:spacing w:before="0" w:after="283"/>
              <w:jc w:val="left"/>
              <w:rPr/>
            </w:pPr>
            <w:r>
              <w:rPr/>
              <w:t> </w:t>
            </w:r>
          </w:p>
        </w:tc>
        <w:tc>
          <w:tcPr>
            <w:tcW w:w="3600" w:type="dxa"/>
            <w:tcBorders/>
            <w:vAlign w:val="center"/>
          </w:tcPr>
          <w:p>
            <w:pPr>
              <w:pStyle w:val="TableContents"/>
              <w:bidi w:val="0"/>
              <w:spacing w:before="0" w:after="283"/>
              <w:jc w:val="left"/>
              <w:rPr/>
            </w:pPr>
            <w:r>
              <w:rPr/>
              <w:t>Expenses for Insurance Services</w:t>
            </w:r>
          </w:p>
        </w:tc>
      </w:tr>
      <w:tr>
        <w:trPr/>
        <w:tc>
          <w:tcPr>
            <w:tcW w:w="6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tcBorders/>
            <w:vAlign w:val="center"/>
          </w:tcPr>
          <w:p>
            <w:pPr>
              <w:pStyle w:val="TableContents"/>
              <w:bidi w:val="0"/>
              <w:spacing w:before="0" w:after="283"/>
              <w:jc w:val="left"/>
              <w:rPr/>
            </w:pPr>
            <w:r>
              <w:rPr/>
              <w:t> </w:t>
            </w:r>
          </w:p>
        </w:tc>
      </w:tr>
      <w:tr>
        <w:trPr/>
        <w:tc>
          <w:tcPr>
            <w:tcW w:w="6000" w:type="dxa"/>
            <w:tcBorders/>
            <w:vAlign w:val="center"/>
          </w:tcPr>
          <w:p>
            <w:pPr>
              <w:pStyle w:val="TableContents"/>
              <w:bidi w:val="0"/>
              <w:spacing w:before="0" w:after="283"/>
              <w:jc w:val="left"/>
              <w:rPr/>
            </w:pPr>
            <w:r>
              <w:rPr/>
              <w:drawing>
                <wp:inline distT="0" distB="0" distL="0" distR="0">
                  <wp:extent cx="3810000" cy="2390775"/>
                  <wp:effectExtent l="0" t="0" r="0" b="0"/>
                  <wp:docPr id="12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6" descr=""/>
                          <pic:cNvPicPr>
                            <a:picLocks noChangeAspect="1" noChangeArrowheads="1"/>
                          </pic:cNvPicPr>
                        </pic:nvPicPr>
                        <pic:blipFill>
                          <a:blip r:embed="rId93"/>
                          <a:stretch>
                            <a:fillRect/>
                          </a:stretch>
                        </pic:blipFill>
                        <pic:spPr bwMode="auto">
                          <a:xfrm>
                            <a:off x="0" y="0"/>
                            <a:ext cx="3810000" cy="23907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600" w:type="dxa"/>
            <w:tcBorders/>
            <w:vAlign w:val="center"/>
          </w:tcPr>
          <w:p>
            <w:pPr>
              <w:pStyle w:val="TableContents"/>
              <w:bidi w:val="0"/>
              <w:spacing w:before="0" w:after="283"/>
              <w:jc w:val="left"/>
              <w:rPr/>
            </w:pPr>
            <w:r>
              <w:rPr/>
              <w:drawing>
                <wp:inline distT="0" distB="0" distL="0" distR="0">
                  <wp:extent cx="2286000" cy="2466975"/>
                  <wp:effectExtent l="0" t="0" r="0" b="0"/>
                  <wp:docPr id="12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7" descr=""/>
                          <pic:cNvPicPr>
                            <a:picLocks noChangeAspect="1" noChangeArrowheads="1"/>
                          </pic:cNvPicPr>
                        </pic:nvPicPr>
                        <pic:blipFill>
                          <a:blip r:embed="rId94"/>
                          <a:stretch>
                            <a:fillRect/>
                          </a:stretch>
                        </pic:blipFill>
                        <pic:spPr bwMode="auto">
                          <a:xfrm>
                            <a:off x="0" y="0"/>
                            <a:ext cx="2286000" cy="24669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This quarter we have reclassified most of our Personal Accidents insurance products from the Life business to the P&amp;C business (accounted for using the PAA methodology). The remaining portion in the Life business (BBA and VFA methodology) is negligible.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3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8" descr=""/>
                          <pic:cNvPicPr>
                            <a:picLocks noChangeAspect="1" noChangeArrowheads="1"/>
                          </pic:cNvPicPr>
                        </pic:nvPicPr>
                        <pic:blipFill>
                          <a:blip r:embed="rId95"/>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4040" w:type="dxa"/>
        <w:jc w:val="left"/>
        <w:tblInd w:w="0" w:type="dxa"/>
        <w:shd w:fill="E93CAC" w:val="clear"/>
        <w:tblLayout w:type="fixed"/>
        <w:tblCellMar>
          <w:top w:w="0" w:type="dxa"/>
          <w:left w:w="0" w:type="dxa"/>
          <w:bottom w:w="0" w:type="dxa"/>
          <w:right w:w="0" w:type="dxa"/>
        </w:tblCellMar>
      </w:tblPr>
      <w:tblGrid>
        <w:gridCol w:w="4040"/>
      </w:tblGrid>
      <w:tr>
        <w:trPr/>
        <w:tc>
          <w:tcPr>
            <w:tcW w:w="404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07. Insurance Underwriting Results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QoQ</w:t>
      </w:r>
      <w:r>
        <w:rPr>
          <w:rFonts w:ascii="Arial;Helvetica;Sans-Serif" w:hAnsi="Arial;Helvetica;Sans-Serif"/>
          <w:b w:val="false"/>
          <w:i w:val="false"/>
          <w:caps w:val="false"/>
          <w:smallCaps w:val="false"/>
          <w:sz w:val="20"/>
        </w:rPr>
        <w:t>, the Insurance Underwriting Result rose 70.5% via the following dynamics: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Income from insurance services increased 3.9%, driven primarily by the fact that fewer reserves with set aside for Current Risks, in line with a drop in production in P &amp; C Risks and Cars.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Expenses for insurance services fell 4.2%, pushed downward by a decrease in claims in the Medical Assistance and Personal Accident lines.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reinsurance results improved 3.4% due to a decrease in the ceded premium volume and an uptick in claims recovered from the reinsurer in P &amp; C; the aforementioned was mitigated by the impact of Cyclone Yaku.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xml:space="preserve"> the Underwriting Insurance Result rose 1.0% (-3.6% YTD) due to the following dynamics: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Income from insurance services rose 2.3% and 2.2% (YoY and YTD respectively), fueled primarily by growth in total premiums in Cars and P &amp; C Risks.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Expenses for insurance services rose 29% and 23% (YoY and YTD respectively) due to: (i) P &amp; C Risks, through the card protection product, which registered higher levels of unrecognized internet purchases and via an uptick in cases in the fire line due to the impacts of Cyclone Yaku; and (ii) Cars, due to an increase in the frequency of cases, which was mitigated by Medical Assistance, which registered a decrease in IBNR COVID-19 reserves.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i/>
              </w:rPr>
              <w:t xml:space="preserve">The reinsurance results improved 39.3% </w:t>
            </w:r>
            <w:r>
              <w:rPr/>
              <w:t>due to the evolution of P &amp; C Risks, which reported an uptick in claims recovered from the reinsurer; the aforementioned was mitigated by the impact of Cyclone Yaku.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caps w:val="false"/>
          <w:smallCaps w:val="false"/>
          <w:sz w:val="20"/>
        </w:rPr>
      </w:pPr>
      <w:r>
        <w:rPr>
          <w:rFonts w:ascii="Arial;Helvetica;Sans-Serif" w:hAnsi="Arial;Helvetica;Sans-Serif"/>
          <w:b/>
          <w:i/>
          <w:caps w:val="false"/>
          <w:smallCaps w:val="false"/>
          <w:sz w:val="20"/>
        </w:rPr>
        <w:t>Life Insurance</w:t>
      </w:r>
    </w:p>
    <w:p>
      <w:pPr>
        <w:pStyle w:val="TextBody"/>
        <w:bidi w:val="0"/>
        <w:spacing w:before="0" w:after="0"/>
        <w:ind w:left="0" w:right="0" w:hanging="0"/>
        <w:jc w:val="both"/>
        <w:rPr>
          <w:caps w:val="false"/>
          <w:smallCaps w:val="false"/>
        </w:rPr>
      </w:pPr>
      <w:r>
        <w:rPr>
          <w:caps w:val="false"/>
          <w:smallCaps w:val="false"/>
        </w:rPr>
        <w:t> </w:t>
      </w:r>
    </w:p>
    <w:tbl>
      <w:tblPr>
        <w:tblW w:w="9060" w:type="dxa"/>
        <w:jc w:val="left"/>
        <w:tblInd w:w="0" w:type="dxa"/>
        <w:tblLayout w:type="fixed"/>
        <w:tblCellMar>
          <w:top w:w="0" w:type="dxa"/>
          <w:left w:w="0" w:type="dxa"/>
          <w:bottom w:w="0" w:type="dxa"/>
          <w:right w:w="0" w:type="dxa"/>
        </w:tblCellMar>
      </w:tblPr>
      <w:tblGrid>
        <w:gridCol w:w="5250"/>
        <w:gridCol w:w="60"/>
        <w:gridCol w:w="3750"/>
      </w:tblGrid>
      <w:tr>
        <w:trPr/>
        <w:tc>
          <w:tcPr>
            <w:tcW w:w="5250" w:type="dxa"/>
            <w:tcBorders/>
            <w:vAlign w:val="center"/>
          </w:tcPr>
          <w:p>
            <w:pPr>
              <w:pStyle w:val="TableContents"/>
              <w:bidi w:val="0"/>
              <w:spacing w:before="0" w:after="283"/>
              <w:jc w:val="left"/>
              <w:rPr/>
            </w:pPr>
            <w:r>
              <w:rPr/>
              <w:t>Income from Insurance Services</w:t>
            </w:r>
          </w:p>
        </w:tc>
        <w:tc>
          <w:tcPr>
            <w:tcW w:w="60" w:type="dxa"/>
            <w:tcBorders/>
            <w:vAlign w:val="center"/>
          </w:tcPr>
          <w:p>
            <w:pPr>
              <w:pStyle w:val="TableContents"/>
              <w:bidi w:val="0"/>
              <w:spacing w:before="0" w:after="283"/>
              <w:jc w:val="left"/>
              <w:rPr/>
            </w:pPr>
            <w:r>
              <w:rPr/>
              <w:t> </w:t>
            </w:r>
          </w:p>
        </w:tc>
        <w:tc>
          <w:tcPr>
            <w:tcW w:w="3750" w:type="dxa"/>
            <w:tcBorders/>
            <w:vAlign w:val="center"/>
          </w:tcPr>
          <w:p>
            <w:pPr>
              <w:pStyle w:val="TableContents"/>
              <w:bidi w:val="0"/>
              <w:spacing w:before="0" w:after="283"/>
              <w:jc w:val="left"/>
              <w:rPr/>
            </w:pPr>
            <w:r>
              <w:rPr/>
              <w:t>Expenses for Insurance Services</w:t>
            </w:r>
          </w:p>
        </w:tc>
      </w:tr>
      <w:tr>
        <w:trPr/>
        <w:tc>
          <w:tcPr>
            <w:tcW w:w="5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0" w:type="dxa"/>
            <w:tcBorders/>
            <w:vAlign w:val="center"/>
          </w:tcPr>
          <w:p>
            <w:pPr>
              <w:pStyle w:val="TableContents"/>
              <w:bidi w:val="0"/>
              <w:spacing w:before="0" w:after="283"/>
              <w:jc w:val="left"/>
              <w:rPr/>
            </w:pPr>
            <w:r>
              <w:rPr/>
              <w:t> </w:t>
            </w:r>
          </w:p>
        </w:tc>
      </w:tr>
      <w:tr>
        <w:trPr/>
        <w:tc>
          <w:tcPr>
            <w:tcW w:w="5250" w:type="dxa"/>
            <w:tcBorders/>
            <w:vAlign w:val="center"/>
          </w:tcPr>
          <w:p>
            <w:pPr>
              <w:pStyle w:val="TableContents"/>
              <w:bidi w:val="0"/>
              <w:spacing w:before="0" w:after="283"/>
              <w:jc w:val="left"/>
              <w:rPr/>
            </w:pPr>
            <w:r>
              <w:rPr/>
              <w:drawing>
                <wp:inline distT="0" distB="0" distL="0" distR="0">
                  <wp:extent cx="3333750" cy="2543175"/>
                  <wp:effectExtent l="0" t="0" r="0" b="0"/>
                  <wp:docPr id="13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9" descr=""/>
                          <pic:cNvPicPr>
                            <a:picLocks noChangeAspect="1" noChangeArrowheads="1"/>
                          </pic:cNvPicPr>
                        </pic:nvPicPr>
                        <pic:blipFill>
                          <a:blip r:embed="rId96"/>
                          <a:stretch>
                            <a:fillRect/>
                          </a:stretch>
                        </pic:blipFill>
                        <pic:spPr bwMode="auto">
                          <a:xfrm>
                            <a:off x="0" y="0"/>
                            <a:ext cx="3333750" cy="25431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750" w:type="dxa"/>
            <w:tcBorders/>
            <w:vAlign w:val="center"/>
          </w:tcPr>
          <w:p>
            <w:pPr>
              <w:pStyle w:val="TableContents"/>
              <w:bidi w:val="0"/>
              <w:spacing w:before="0" w:after="283"/>
              <w:jc w:val="left"/>
              <w:rPr/>
            </w:pPr>
            <w:r>
              <w:rPr/>
              <w:drawing>
                <wp:inline distT="0" distB="0" distL="0" distR="0">
                  <wp:extent cx="2381250" cy="2562225"/>
                  <wp:effectExtent l="0" t="0" r="0" b="0"/>
                  <wp:docPr id="13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0" descr=""/>
                          <pic:cNvPicPr>
                            <a:picLocks noChangeAspect="1" noChangeArrowheads="1"/>
                          </pic:cNvPicPr>
                        </pic:nvPicPr>
                        <pic:blipFill>
                          <a:blip r:embed="rId97"/>
                          <a:stretch>
                            <a:fillRect/>
                          </a:stretch>
                        </pic:blipFill>
                        <pic:spPr bwMode="auto">
                          <a:xfrm>
                            <a:off x="0" y="0"/>
                            <a:ext cx="2381250" cy="25622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QoQ</w:t>
      </w:r>
      <w:r>
        <w:rPr>
          <w:rFonts w:ascii="Arial;Helvetica;Sans-Serif" w:hAnsi="Arial;Helvetica;Sans-Serif"/>
          <w:b w:val="false"/>
          <w:i w:val="false"/>
          <w:caps w:val="false"/>
          <w:smallCaps w:val="false"/>
          <w:sz w:val="20"/>
        </w:rPr>
        <w:t>, the Insurance Underwriting Result dropped 13.5% due to the following dynamics: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283"/>
              <w:jc w:val="left"/>
              <w:rPr/>
            </w:pPr>
            <w:r>
              <w:rPr/>
              <w:t>Income from insurance services fell 4.2% due to seasonal effects: i) a drop in income through Group Life via Obligatory Insurance for High-Risk Occupations (SCTR) given that in 1Q23, income reflected the impact of statutory job bonuses and seasonal renewals and ii) a decrease in collections through SISCO VI(2).</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Expenses for insurance services rose 5.2%, mainly through (i) Individual Life, driven by an uptick in claims, redemptions and expenses attributable to (ii) Credit Life, due to an increase in claims. The aforementioned was mitigated by the evolution of the Pensions line, which registered a decrease in claims.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reinsurance results improved 11.8% due to growth in claims recovered from the reinsurer in Credit Life and Group Life.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YoY</w:t>
      </w:r>
      <w:r>
        <w:rPr>
          <w:rFonts w:ascii="Arial;Helvetica;Sans-Serif" w:hAnsi="Arial;Helvetica;Sans-Serif"/>
          <w:b w:val="false"/>
          <w:i w:val="false"/>
          <w:caps w:val="false"/>
          <w:smallCaps w:val="false"/>
          <w:sz w:val="20"/>
        </w:rPr>
        <w:t xml:space="preserve"> and </w:t>
      </w:r>
      <w:r>
        <w:rPr>
          <w:rFonts w:ascii="Arial;Helvetica;Sans-Serif" w:hAnsi="Arial;Helvetica;Sans-Serif"/>
          <w:b/>
          <w:i w:val="false"/>
          <w:caps w:val="false"/>
          <w:smallCaps w:val="false"/>
          <w:sz w:val="20"/>
        </w:rPr>
        <w:t>YTD</w:t>
      </w:r>
      <w:r>
        <w:rPr>
          <w:rFonts w:ascii="Arial;Helvetica;Sans-Serif" w:hAnsi="Arial;Helvetica;Sans-Serif"/>
          <w:b w:val="false"/>
          <w:i w:val="false"/>
          <w:caps w:val="false"/>
          <w:smallCaps w:val="false"/>
          <w:sz w:val="20"/>
        </w:rPr>
        <w:t>, the Insurance Underwriting Result rose 94.5% and 75.1% respectively due to the following dynamics: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Income from insurance services rose 21.5% and 23.1% respectively. These upticks were primarily driven by the Pension line, which benefitted from higher insurance premium rates and the fact that the Company was awarded a larger portion of the SISCO VI contract than that registered through SISCO V; Credit Life, which was mainly fueled by an uptick in total premiums through BCP and the Banco de la Nacion due to rate adjustments and growth in volumes; Group Life, through Obligatory Insurance for High Risk Occupations (SCTR) due to growth in renewals and to rate adjustments in mining and fishing.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left"/>
        <w:rPr>
          <w:caps w:val="false"/>
          <w:smallCaps w:val="false"/>
          <w:bdr w:val="single" w:sz="8" w:space="1" w:color="000000"/>
        </w:rPr>
      </w:pPr>
      <w:r>
        <w:rPr>
          <w:caps w:val="false"/>
          <w:smallCaps w:val="false"/>
          <w:bdr w:val="single" w:sz="8" w:space="1" w:color="000000"/>
        </w:rPr>
        <w:t> </w:t>
      </w:r>
    </w:p>
    <w:p>
      <w:pPr>
        <w:pStyle w:val="TextBody"/>
        <w:bidi w:val="0"/>
        <w:spacing w:lineRule="auto" w:line="240"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Public bidding process product of which the insurance companies that will collectively manage the risks of disability, survival and burial of Pension affiliates are selected for the period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3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1" descr=""/>
                          <pic:cNvPicPr>
                            <a:picLocks noChangeAspect="1" noChangeArrowheads="1"/>
                          </pic:cNvPicPr>
                        </pic:nvPicPr>
                        <pic:blipFill>
                          <a:blip r:embed="rId9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6670" w:type="dxa"/>
            <w:gridSpan w:val="2"/>
            <w:tcBorders/>
            <w:shd w:fill="000000" w:val="clear"/>
            <w:vAlign w:val="center"/>
          </w:tcPr>
          <w:p>
            <w:pPr>
              <w:pStyle w:val="TableContents"/>
              <w:bidi w:val="0"/>
              <w:spacing w:before="0" w:after="283"/>
              <w:jc w:val="left"/>
              <w:rPr>
                <w:color w:val="FFFFFF"/>
              </w:rPr>
            </w:pPr>
            <w:r>
              <w:rPr>
                <w:color w:val="FFFFFF"/>
              </w:rPr>
              <w:t> </w:t>
            </w:r>
          </w:p>
        </w:tc>
      </w:tr>
    </w:tbl>
    <w:tbl>
      <w:tblPr>
        <w:tblW w:w="4040" w:type="dxa"/>
        <w:jc w:val="left"/>
        <w:tblInd w:w="0" w:type="dxa"/>
        <w:shd w:fill="E93CAC" w:val="clear"/>
        <w:tblLayout w:type="fixed"/>
        <w:tblCellMar>
          <w:top w:w="0" w:type="dxa"/>
          <w:left w:w="0" w:type="dxa"/>
          <w:bottom w:w="0" w:type="dxa"/>
          <w:right w:w="0" w:type="dxa"/>
        </w:tblCellMar>
      </w:tblPr>
      <w:tblGrid>
        <w:gridCol w:w="4040"/>
      </w:tblGrid>
      <w:tr>
        <w:trPr/>
        <w:tc>
          <w:tcPr>
            <w:tcW w:w="404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07. Insurance Underwriting Results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Expenses for insurance services fell 11.5% YoY and 9.7% YTD, which was driven primarily by Pensions, Credit Life and Group Life via an uptick in claims versus periods affected by Covid-19.</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reinsurance result deteriorated primarily via the Pensions line, which reflects an increase in ceded premiums via the new SISCO VI contract (growth in market share and higher percentage of cession).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3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2" descr=""/>
                          <pic:cNvPicPr>
                            <a:picLocks noChangeAspect="1" noChangeArrowheads="1"/>
                          </pic:cNvPicPr>
                        </pic:nvPicPr>
                        <pic:blipFill>
                          <a:blip r:embed="rId99"/>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575"/>
        <w:gridCol w:w="3260"/>
      </w:tblGrid>
      <w:tr>
        <w:trPr/>
        <w:tc>
          <w:tcPr>
            <w:tcW w:w="575" w:type="dxa"/>
            <w:tcBorders/>
            <w:vAlign w:val="center"/>
          </w:tcPr>
          <w:p>
            <w:pPr>
              <w:pStyle w:val="TableContents"/>
              <w:bidi w:val="0"/>
              <w:spacing w:before="0" w:after="283"/>
              <w:jc w:val="left"/>
              <w:rPr>
                <w:rFonts w:ascii="Arial;Helvetica;Sans-Serif" w:hAnsi="Arial;Helvetica;Sans-Serif"/>
                <w:b/>
                <w:i w:val="false"/>
                <w:caps w:val="false"/>
                <w:smallCaps w:val="false"/>
                <w:color w:val="E93CAC"/>
                <w:sz w:val="48"/>
              </w:rPr>
            </w:pPr>
            <w:r>
              <w:rPr>
                <w:rFonts w:ascii="Arial;Helvetica;Sans-Serif" w:hAnsi="Arial;Helvetica;Sans-Serif"/>
                <w:b/>
                <w:i w:val="false"/>
                <w:caps w:val="false"/>
                <w:smallCaps w:val="false"/>
                <w:color w:val="E93CAC"/>
                <w:sz w:val="48"/>
              </w:rPr>
              <w:t>08</w:t>
            </w:r>
          </w:p>
        </w:tc>
        <w:tc>
          <w:tcPr>
            <w:tcW w:w="326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E93CAC"/>
                <w:sz w:val="36"/>
              </w:rPr>
            </w:pPr>
            <w:r>
              <w:rPr>
                <w:rFonts w:ascii="Arial;Helvetica;Sans-Serif" w:hAnsi="Arial;Helvetica;Sans-Serif"/>
                <w:b w:val="false"/>
                <w:i w:val="false"/>
                <w:caps w:val="false"/>
                <w:smallCaps w:val="false"/>
                <w:color w:val="E93CAC"/>
                <w:sz w:val="36"/>
              </w:rPr>
              <w:t>Operating Expenses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spacing w:before="0" w:after="283"/>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Operating expenses rose 11.2 % YTD, driven primarily by core businesses at BCP and disruptive initiatives at the Credicorp level. At BCP, core businesses expenses increased via an uptick in Information Technology (IT) expenses related to cloud usage, licenses, cybersecurity, and new IT specialized personnel hired, as well as Advertising and Loyalty Programs. These increases were partially offset by a non-recurrent tax expense reversal. Expenses for disruptive initiatives at Credicorp increased 70%, to ensure market leadership in the long-term. If we exclude disruptive expenses, the YTD variation in Operating expenses stands at 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Total operating expenses1</w:t>
      </w:r>
    </w:p>
    <w:p>
      <w:pPr>
        <w:pStyle w:val="TextBody"/>
        <w:bidi w:val="0"/>
        <w:spacing w:before="0" w:after="0"/>
        <w:ind w:left="0" w:right="0" w:hanging="0"/>
        <w:jc w:val="left"/>
        <w:rPr>
          <w:caps w:val="false"/>
          <w:smallCaps w:val="false"/>
        </w:rPr>
      </w:pPr>
      <w:r>
        <w:rPr>
          <w:caps w:val="false"/>
          <w:smallCaps w:val="false"/>
        </w:rPr>
        <w:t> </w:t>
      </w:r>
    </w:p>
    <w:tbl>
      <w:tblPr>
        <w:tblW w:w="8970" w:type="dxa"/>
        <w:jc w:val="left"/>
        <w:tblInd w:w="-10" w:type="dxa"/>
        <w:tblLayout w:type="fixed"/>
        <w:tblCellMar>
          <w:top w:w="28" w:type="dxa"/>
          <w:left w:w="40" w:type="dxa"/>
          <w:bottom w:w="0" w:type="dxa"/>
          <w:right w:w="40" w:type="dxa"/>
        </w:tblCellMar>
      </w:tblPr>
      <w:tblGrid>
        <w:gridCol w:w="3080"/>
        <w:gridCol w:w="740"/>
        <w:gridCol w:w="740"/>
        <w:gridCol w:w="740"/>
        <w:gridCol w:w="485"/>
        <w:gridCol w:w="485"/>
        <w:gridCol w:w="740"/>
        <w:gridCol w:w="740"/>
        <w:gridCol w:w="1220"/>
      </w:tblGrid>
      <w:tr>
        <w:trPr/>
        <w:tc>
          <w:tcPr>
            <w:tcW w:w="308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Operating expenses</w:t>
            </w:r>
          </w:p>
        </w:tc>
        <w:tc>
          <w:tcPr>
            <w:tcW w:w="222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Quarter</w:t>
            </w:r>
          </w:p>
        </w:tc>
        <w:tc>
          <w:tcPr>
            <w:tcW w:w="97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c>
          <w:tcPr>
            <w:tcW w:w="148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As of</w:t>
            </w:r>
          </w:p>
        </w:tc>
        <w:tc>
          <w:tcPr>
            <w:tcW w:w="1220"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r>
      <w:tr>
        <w:trPr/>
        <w:tc>
          <w:tcPr>
            <w:tcW w:w="3080"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 000</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2Q22</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1Q23</w:t>
            </w:r>
          </w:p>
        </w:tc>
        <w:tc>
          <w:tcPr>
            <w:tcW w:w="74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2Q23</w:t>
            </w:r>
          </w:p>
        </w:tc>
        <w:tc>
          <w:tcPr>
            <w:tcW w:w="48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QoQ</w:t>
            </w:r>
          </w:p>
        </w:tc>
        <w:tc>
          <w:tcPr>
            <w:tcW w:w="48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YoY</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22</w:t>
            </w:r>
          </w:p>
        </w:tc>
        <w:tc>
          <w:tcPr>
            <w:tcW w:w="74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23</w:t>
            </w:r>
          </w:p>
        </w:tc>
        <w:tc>
          <w:tcPr>
            <w:tcW w:w="122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23 / Jun 22</w:t>
            </w:r>
          </w:p>
        </w:tc>
      </w:tr>
      <w:tr>
        <w:trPr/>
        <w:tc>
          <w:tcPr>
            <w:tcW w:w="308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Salaries and employees benefits</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942,159</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1,029,558</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1,054,735</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w:t>
            </w:r>
          </w:p>
        </w:tc>
        <w:tc>
          <w:tcPr>
            <w:tcW w:w="48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11.9%</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1,881,677</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2,084,293</w:t>
            </w:r>
          </w:p>
        </w:tc>
        <w:tc>
          <w:tcPr>
            <w:tcW w:w="122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10.8%</w:t>
            </w:r>
          </w:p>
        </w:tc>
      </w:tr>
      <w:tr>
        <w:trPr/>
        <w:tc>
          <w:tcPr>
            <w:tcW w:w="308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Administrative, general and tax expenses </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819,100</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835,060</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871,047</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w:t>
            </w:r>
          </w:p>
        </w:tc>
        <w:tc>
          <w:tcPr>
            <w:tcW w:w="48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6.3%</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1,515,165</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1,706,107</w:t>
            </w:r>
          </w:p>
        </w:tc>
        <w:tc>
          <w:tcPr>
            <w:tcW w:w="122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12.6%</w:t>
            </w:r>
          </w:p>
        </w:tc>
      </w:tr>
      <w:tr>
        <w:trPr/>
        <w:tc>
          <w:tcPr>
            <w:tcW w:w="308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Depreciation and amortization </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156,891</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161,079</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160,548</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-0.3%</w:t>
            </w:r>
          </w:p>
        </w:tc>
        <w:tc>
          <w:tcPr>
            <w:tcW w:w="48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308,785</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321,627</w:t>
            </w:r>
          </w:p>
        </w:tc>
        <w:tc>
          <w:tcPr>
            <w:tcW w:w="122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w:t>
            </w:r>
          </w:p>
        </w:tc>
      </w:tr>
      <w:tr>
        <w:trPr/>
        <w:tc>
          <w:tcPr>
            <w:tcW w:w="308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Association in participation </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10,329</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12,612</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16,742</w:t>
            </w:r>
          </w:p>
        </w:tc>
        <w:tc>
          <w:tcPr>
            <w:tcW w:w="48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32.7%</w:t>
            </w:r>
          </w:p>
        </w:tc>
        <w:tc>
          <w:tcPr>
            <w:tcW w:w="48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62.1%</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18,020</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29,354</w:t>
            </w:r>
          </w:p>
        </w:tc>
        <w:tc>
          <w:tcPr>
            <w:tcW w:w="122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62.9%</w:t>
            </w:r>
          </w:p>
        </w:tc>
      </w:tr>
      <w:tr>
        <w:trPr/>
        <w:tc>
          <w:tcPr>
            <w:tcW w:w="3080"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Operating expenses</w:t>
            </w:r>
          </w:p>
        </w:tc>
        <w:tc>
          <w:tcPr>
            <w:tcW w:w="74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1,928,479</w:t>
            </w:r>
          </w:p>
        </w:tc>
        <w:tc>
          <w:tcPr>
            <w:tcW w:w="74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2,038,309</w:t>
            </w:r>
          </w:p>
        </w:tc>
        <w:tc>
          <w:tcPr>
            <w:tcW w:w="7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2,103,072</w:t>
            </w:r>
          </w:p>
        </w:tc>
        <w:tc>
          <w:tcPr>
            <w:tcW w:w="48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w:t>
            </w:r>
          </w:p>
        </w:tc>
        <w:tc>
          <w:tcPr>
            <w:tcW w:w="48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9.1%</w:t>
            </w:r>
          </w:p>
        </w:tc>
        <w:tc>
          <w:tcPr>
            <w:tcW w:w="74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3,723,647</w:t>
            </w:r>
          </w:p>
        </w:tc>
        <w:tc>
          <w:tcPr>
            <w:tcW w:w="7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4,141,381</w:t>
            </w:r>
          </w:p>
        </w:tc>
        <w:tc>
          <w:tcPr>
            <w:tcW w:w="122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11.2%</w:t>
            </w:r>
          </w:p>
        </w:tc>
      </w:tr>
    </w:tbl>
    <w:p>
      <w:pPr>
        <w:pStyle w:val="TextBody"/>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Due to the application of IFRS 17, which impacts reporting for Insurance contracts, Operating Expenses have been restated and as such, differ with regard to calculations in previous reports. For more details, review annex 12.1.8.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analysis of expenses will focus on movements at the YTD level to eliminate impact of seasonal effects between quarters.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expenses continue to trend upward due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Growth in </w:t>
            </w:r>
            <w:r>
              <w:rPr>
                <w:rFonts w:ascii="Arial;Helvetica;Sans-Serif" w:hAnsi="Arial;Helvetica;Sans-Serif"/>
                <w:b/>
                <w:sz w:val="20"/>
              </w:rPr>
              <w:t>Salaries and Employee Benefits</w:t>
            </w:r>
            <w:r>
              <w:rPr>
                <w:rFonts w:ascii="Arial;Helvetica;Sans-Serif" w:hAnsi="Arial;Helvetica;Sans-Serif"/>
                <w:sz w:val="20"/>
              </w:rPr>
              <w:t xml:space="preserve"> was driven primarily by an uptick in expenses to hire specialized personnel for disruptive projects and IT.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An increase </w:t>
            </w:r>
            <w:r>
              <w:rPr>
                <w:rFonts w:ascii="Arial;Helvetica;Sans-Serif" w:hAnsi="Arial;Helvetica;Sans-Serif"/>
                <w:b/>
                <w:i w:val="false"/>
                <w:caps w:val="false"/>
                <w:smallCaps w:val="false"/>
                <w:sz w:val="20"/>
              </w:rPr>
              <w:t>Administrative and General Expenses and Taxes</w:t>
            </w:r>
            <w:r>
              <w:rPr>
                <w:rFonts w:ascii="Arial;Helvetica;Sans-Serif" w:hAnsi="Arial;Helvetica;Sans-Serif"/>
                <w:b w:val="false"/>
                <w:i w:val="false"/>
                <w:caps w:val="false"/>
                <w:smallCaps w:val="false"/>
                <w:sz w:val="20"/>
              </w:rPr>
              <w:t>, which was mainly fueled by BCP through IT expenses for the transformation strategy, marketing expenses, loyalty programs and disruptive expenses at the Credicorp level. The aforementioned was partially offset by a tax reversal.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Growth in Operating expenses YTD stood at 11.2%. If we exclude disruption expenses, Operating Expenses stands at 7.6% YTD.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Administrative and general expenses and taxes</w:t>
      </w:r>
    </w:p>
    <w:p>
      <w:pPr>
        <w:pStyle w:val="TextBody"/>
        <w:bidi w:val="0"/>
        <w:spacing w:before="0" w:after="0"/>
        <w:ind w:left="0" w:right="0" w:hanging="0"/>
        <w:jc w:val="left"/>
        <w:rPr>
          <w:caps w:val="false"/>
          <w:smallCaps w:val="false"/>
        </w:rPr>
      </w:pPr>
      <w:r>
        <w:rPr>
          <w:caps w:val="false"/>
          <w:smallCaps w:val="false"/>
        </w:rPr>
        <w:t> </w:t>
      </w:r>
    </w:p>
    <w:tbl>
      <w:tblPr>
        <w:tblW w:w="9150" w:type="dxa"/>
        <w:jc w:val="left"/>
        <w:tblInd w:w="-10" w:type="dxa"/>
        <w:tblLayout w:type="fixed"/>
        <w:tblCellMar>
          <w:top w:w="28" w:type="dxa"/>
          <w:left w:w="40" w:type="dxa"/>
          <w:bottom w:w="0" w:type="dxa"/>
          <w:right w:w="0" w:type="dxa"/>
        </w:tblCellMar>
      </w:tblPr>
      <w:tblGrid>
        <w:gridCol w:w="3545"/>
        <w:gridCol w:w="605"/>
        <w:gridCol w:w="605"/>
        <w:gridCol w:w="605"/>
        <w:gridCol w:w="545"/>
        <w:gridCol w:w="545"/>
        <w:gridCol w:w="740"/>
        <w:gridCol w:w="740"/>
        <w:gridCol w:w="1220"/>
      </w:tblGrid>
      <w:tr>
        <w:trPr/>
        <w:tc>
          <w:tcPr>
            <w:tcW w:w="3545" w:type="dxa"/>
            <w:tcBorders>
              <w:top w:val="single" w:sz="8" w:space="0" w:color="000000"/>
              <w:left w:val="single" w:sz="8" w:space="0" w:color="000000"/>
            </w:tcBorders>
            <w:shd w:fill="2AD2C9"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Administrative general, and tax expenses</w:t>
            </w:r>
          </w:p>
        </w:tc>
        <w:tc>
          <w:tcPr>
            <w:tcW w:w="1815" w:type="dxa"/>
            <w:gridSpan w:val="3"/>
            <w:tcBorders>
              <w:top w:val="single" w:sz="8" w:space="0" w:color="000000"/>
              <w:left w:val="single" w:sz="8" w:space="0" w:color="000000"/>
              <w:right w:val="single" w:sz="8" w:space="0" w:color="000000"/>
            </w:tcBorders>
            <w:shd w:fill="2AD2C9" w:val="clear"/>
            <w:tcMar>
              <w:right w:w="4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Quarter</w:t>
            </w:r>
          </w:p>
        </w:tc>
        <w:tc>
          <w:tcPr>
            <w:tcW w:w="1090" w:type="dxa"/>
            <w:gridSpan w:val="2"/>
            <w:tcBorders>
              <w:top w:val="single" w:sz="8" w:space="0" w:color="000000"/>
              <w:right w:val="single" w:sz="8" w:space="0" w:color="000000"/>
            </w:tcBorders>
            <w:shd w:fill="2AD2C9" w:val="clear"/>
            <w:tcMar>
              <w:left w:w="0" w:type="dxa"/>
              <w:right w:w="4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c>
          <w:tcPr>
            <w:tcW w:w="1480" w:type="dxa"/>
            <w:gridSpan w:val="2"/>
            <w:tcBorders>
              <w:top w:val="single" w:sz="8" w:space="0" w:color="000000"/>
              <w:right w:val="single" w:sz="8" w:space="0" w:color="000000"/>
            </w:tcBorders>
            <w:shd w:fill="2AD2C9" w:val="clear"/>
            <w:tcMar>
              <w:left w:w="0" w:type="dxa"/>
              <w:right w:w="4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As of</w:t>
            </w:r>
          </w:p>
        </w:tc>
        <w:tc>
          <w:tcPr>
            <w:tcW w:w="1220" w:type="dxa"/>
            <w:tcBorders>
              <w:top w:val="single" w:sz="8" w:space="0" w:color="000000"/>
              <w:right w:val="single" w:sz="8" w:space="0" w:color="000000"/>
            </w:tcBorders>
            <w:shd w:fill="2AD2C9" w:val="clear"/>
            <w:tcMar>
              <w:left w:w="0" w:type="dxa"/>
              <w:right w:w="4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r>
      <w:tr>
        <w:trPr/>
        <w:tc>
          <w:tcPr>
            <w:tcW w:w="354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S/000</w:t>
            </w:r>
          </w:p>
        </w:tc>
        <w:tc>
          <w:tcPr>
            <w:tcW w:w="60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2Q22</w:t>
            </w:r>
          </w:p>
        </w:tc>
        <w:tc>
          <w:tcPr>
            <w:tcW w:w="60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1Q23</w:t>
            </w:r>
          </w:p>
        </w:tc>
        <w:tc>
          <w:tcPr>
            <w:tcW w:w="605" w:type="dxa"/>
            <w:tcBorders>
              <w:bottom w:val="single" w:sz="8" w:space="0" w:color="000000"/>
              <w:right w:val="single" w:sz="8" w:space="0" w:color="000000"/>
            </w:tcBorders>
            <w:shd w:fill="2AD2C9" w:val="clear"/>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2Q23</w:t>
            </w:r>
          </w:p>
        </w:tc>
        <w:tc>
          <w:tcPr>
            <w:tcW w:w="54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QoQ</w:t>
            </w:r>
          </w:p>
        </w:tc>
        <w:tc>
          <w:tcPr>
            <w:tcW w:w="545" w:type="dxa"/>
            <w:tcBorders>
              <w:bottom w:val="single" w:sz="8" w:space="0" w:color="000000"/>
              <w:right w:val="single" w:sz="8" w:space="0" w:color="000000"/>
            </w:tcBorders>
            <w:shd w:fill="2AD2C9" w:val="clear"/>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YoY</w:t>
            </w:r>
          </w:p>
        </w:tc>
        <w:tc>
          <w:tcPr>
            <w:tcW w:w="74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22</w:t>
            </w:r>
          </w:p>
        </w:tc>
        <w:tc>
          <w:tcPr>
            <w:tcW w:w="740" w:type="dxa"/>
            <w:tcBorders>
              <w:bottom w:val="single" w:sz="8" w:space="0" w:color="000000"/>
              <w:right w:val="single" w:sz="8" w:space="0" w:color="000000"/>
            </w:tcBorders>
            <w:shd w:fill="2AD2C9" w:val="clear"/>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23</w:t>
            </w:r>
          </w:p>
        </w:tc>
        <w:tc>
          <w:tcPr>
            <w:tcW w:w="1220" w:type="dxa"/>
            <w:tcBorders>
              <w:bottom w:val="single" w:sz="8" w:space="0" w:color="000000"/>
              <w:right w:val="single" w:sz="8" w:space="0" w:color="000000"/>
            </w:tcBorders>
            <w:shd w:fill="2AD2C9" w:val="clear"/>
            <w:tcMar>
              <w:top w:w="0" w:type="dxa"/>
              <w:left w:w="0" w:type="dxa"/>
              <w:bottom w:w="28" w:type="dxa"/>
              <w:right w:w="4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23 / Jun 22</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IT expenses and IT third-party services</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207,929</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240,932</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256,348</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6.4%</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23.3%</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437,009</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497,280</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13.8%</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Advertising and customer loyalty programs</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156,049</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135,767</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174,021</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28.2%</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11.5%</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266,782</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309,788</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16.1%</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Taxes and contributions</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72,982</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85,073</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20,557</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-75.8%</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-71.8%</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152,573</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105,630</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-30.8%</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Audit Services, Consulting and professional fees</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69,239</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51,878</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67,017</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29.2%</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123,172</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118,895</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Transport and communications</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48,899</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51,036</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57,437</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12.5%</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17.5%</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89,935</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108,473</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20.6%</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Repair and maintenance</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39,173</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25,790</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37,555</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45.6%</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70,771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63,345</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-10.5%</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Agents’ Fees</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26,091</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26,152</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27,747</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6.3%</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53,109</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53,899</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Services by third-party</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18,621</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27,511</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27,661</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0.5%</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48.5%</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52,202</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55,172</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5.7%</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Leases of low value and short-term</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22,610</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25,116</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25,282</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0.7%</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11.8%</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43,541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50,398</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15.7%</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Miscellaneous supplies</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20,656</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32,993</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27,837</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-15.6%</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34.8%</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39,734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60,830</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53.1%</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Security and protection</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15,798</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15,789</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16,004</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31,274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31,793</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Subscriptions and quotes</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14,877</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13,086</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16,024</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22.5%</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29,405</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29,110</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Electricity and water</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13,426</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11,497</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14,954</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30.1%</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11.4%</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24,244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26,451</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9.1%</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Electronic processing</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8,208</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8,730</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9,791</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19.3%</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15,901</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18,521</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16.5%</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Insurance</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6,550</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8,750</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5,022</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-42.6%</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-23.3%</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13,804</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13,772</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-0.2%</w:t>
            </w:r>
          </w:p>
        </w:tc>
      </w:tr>
      <w:tr>
        <w:trPr/>
        <w:tc>
          <w:tcPr>
            <w:tcW w:w="3545" w:type="dxa"/>
            <w:tcBorders>
              <w:lef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Cleaning</w:t>
            </w:r>
          </w:p>
        </w:tc>
        <w:tc>
          <w:tcPr>
            <w:tcW w:w="60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5,203</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5,162</w:t>
            </w:r>
          </w:p>
        </w:tc>
        <w:tc>
          <w:tcPr>
            <w:tcW w:w="605"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5,463</w:t>
            </w:r>
          </w:p>
        </w:tc>
        <w:tc>
          <w:tcPr>
            <w:tcW w:w="545" w:type="dxa"/>
            <w:tcBorders>
              <w:left w:val="single" w:sz="8" w:space="0" w:color="000000"/>
            </w:tcBorders>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5.8%</w:t>
            </w:r>
          </w:p>
        </w:tc>
        <w:tc>
          <w:tcPr>
            <w:tcW w:w="545"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9,709</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10,625</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9.4%</w:t>
            </w:r>
          </w:p>
        </w:tc>
      </w:tr>
      <w:tr>
        <w:trPr/>
        <w:tc>
          <w:tcPr>
            <w:tcW w:w="354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Others (1)</w:t>
            </w:r>
          </w:p>
        </w:tc>
        <w:tc>
          <w:tcPr>
            <w:tcW w:w="6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72,789</w:t>
            </w:r>
          </w:p>
        </w:tc>
        <w:tc>
          <w:tcPr>
            <w:tcW w:w="60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69,798</w:t>
            </w:r>
          </w:p>
        </w:tc>
        <w:tc>
          <w:tcPr>
            <w:tcW w:w="60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82,326</w:t>
            </w:r>
          </w:p>
        </w:tc>
        <w:tc>
          <w:tcPr>
            <w:tcW w:w="54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17.9%</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13.1%</w:t>
            </w:r>
          </w:p>
        </w:tc>
        <w:tc>
          <w:tcPr>
            <w:tcW w:w="740" w:type="dxa"/>
            <w:tcBorders/>
            <w:tcMar>
              <w:top w:w="0" w:type="dxa"/>
              <w:lef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122,309</w:t>
            </w:r>
          </w:p>
        </w:tc>
        <w:tc>
          <w:tcPr>
            <w:tcW w:w="74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152,124</w:t>
            </w:r>
          </w:p>
        </w:tc>
        <w:tc>
          <w:tcPr>
            <w:tcW w:w="1220" w:type="dxa"/>
            <w:tcBorders>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24.4%</w:t>
            </w:r>
          </w:p>
        </w:tc>
      </w:tr>
      <w:tr>
        <w:trPr/>
        <w:tc>
          <w:tcPr>
            <w:tcW w:w="354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Total </w:t>
            </w:r>
          </w:p>
        </w:tc>
        <w:tc>
          <w:tcPr>
            <w:tcW w:w="60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819,100</w:t>
            </w:r>
          </w:p>
        </w:tc>
        <w:tc>
          <w:tcPr>
            <w:tcW w:w="60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835,060</w:t>
            </w:r>
          </w:p>
        </w:tc>
        <w:tc>
          <w:tcPr>
            <w:tcW w:w="605" w:type="dxa"/>
            <w:tcBorders>
              <w:bottom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871,046</w:t>
            </w:r>
          </w:p>
        </w:tc>
        <w:tc>
          <w:tcPr>
            <w:tcW w:w="54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4.3%</w:t>
            </w:r>
          </w:p>
        </w:tc>
        <w:tc>
          <w:tcPr>
            <w:tcW w:w="54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6.3%</w:t>
            </w:r>
          </w:p>
        </w:tc>
        <w:tc>
          <w:tcPr>
            <w:tcW w:w="740"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1,515,165</w:t>
            </w:r>
          </w:p>
        </w:tc>
        <w:tc>
          <w:tcPr>
            <w:tcW w:w="740"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1,706,106</w:t>
            </w:r>
          </w:p>
        </w:tc>
        <w:tc>
          <w:tcPr>
            <w:tcW w:w="1220" w:type="dxa"/>
            <w:tcBorders>
              <w:top w:val="single" w:sz="8" w:space="0" w:color="000000"/>
              <w:bottom w:val="single" w:sz="8" w:space="0" w:color="000000"/>
              <w:right w:val="single" w:sz="8" w:space="0" w:color="000000"/>
            </w:tcBorders>
            <w:tcMar>
              <w:left w:w="0" w:type="dxa"/>
              <w:bottom w:w="28" w:type="dxa"/>
              <w:right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12.6%</w:t>
            </w:r>
          </w:p>
        </w:tc>
      </w:tr>
    </w:tbl>
    <w:p>
      <w:pPr>
        <w:pStyle w:val="TextBody"/>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Others consists mainly of security and protection services, cleaning service, representation expenses, electricity and water utilities, insurance policy expenses, subscription expenses and commission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and administrative expenses rose 12.6% YTD in the first half of 2023, driven primarily by expenses for IT, marketing, loyalty programs and others, mainly via BCP and disruptive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37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3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3" descr=""/>
                          <pic:cNvPicPr>
                            <a:picLocks noChangeAspect="1" noChangeArrowheads="1"/>
                          </pic:cNvPicPr>
                        </pic:nvPicPr>
                        <pic:blipFill>
                          <a:blip r:embed="rId100"/>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2450" w:type="dxa"/>
        <w:jc w:val="left"/>
        <w:tblInd w:w="0" w:type="dxa"/>
        <w:tblLayout w:type="fixed"/>
        <w:tblCellMar>
          <w:top w:w="0" w:type="dxa"/>
          <w:left w:w="0" w:type="dxa"/>
          <w:bottom w:w="0" w:type="dxa"/>
          <w:right w:w="0" w:type="dxa"/>
        </w:tblCellMar>
      </w:tblPr>
      <w:tblGrid>
        <w:gridCol w:w="2450"/>
      </w:tblGrid>
      <w:tr>
        <w:trPr/>
        <w:tc>
          <w:tcPr>
            <w:tcW w:w="2450" w:type="dxa"/>
            <w:tcBorders/>
            <w:shd w:fill="E93CAC" w:val="clear"/>
            <w:vAlign w:val="center"/>
          </w:tcPr>
          <w:p>
            <w:pPr>
              <w:pStyle w:val="TableContents"/>
              <w:bidi w:val="0"/>
              <w:spacing w:before="0" w:after="283"/>
              <w:jc w:val="left"/>
              <w:rPr>
                <w:b/>
                <w:color w:val="FFFFFF"/>
                <w:sz w:val="24"/>
              </w:rPr>
            </w:pPr>
            <w:r>
              <w:rPr>
                <w:b/>
                <w:color w:val="FFFFFF"/>
                <w:sz w:val="24"/>
              </w:rPr>
              <w:t>08. Operating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Operating Expenses of Core Businesses and Disruption (1)</w:t>
      </w:r>
    </w:p>
    <w:p>
      <w:pPr>
        <w:pStyle w:val="TextBody"/>
        <w:bidi w:val="0"/>
        <w:spacing w:before="0" w:after="0"/>
        <w:ind w:left="0" w:right="0" w:hanging="0"/>
        <w:jc w:val="left"/>
        <w:rPr>
          <w:caps w:val="false"/>
          <w:smallCaps w:val="false"/>
        </w:rPr>
      </w:pPr>
      <w:r>
        <w:rPr>
          <w:caps w:val="false"/>
          <w:smallCaps w:val="false"/>
        </w:rPr>
        <w:t> </w:t>
      </w:r>
    </w:p>
    <w:tbl>
      <w:tblPr>
        <w:tblW w:w="7665" w:type="dxa"/>
        <w:jc w:val="left"/>
        <w:tblInd w:w="-10" w:type="dxa"/>
        <w:tblLayout w:type="fixed"/>
        <w:tblCellMar>
          <w:top w:w="28" w:type="dxa"/>
          <w:left w:w="40" w:type="dxa"/>
          <w:bottom w:w="28" w:type="dxa"/>
          <w:right w:w="40" w:type="dxa"/>
        </w:tblCellMar>
      </w:tblPr>
      <w:tblGrid>
        <w:gridCol w:w="1775"/>
        <w:gridCol w:w="740"/>
        <w:gridCol w:w="740"/>
        <w:gridCol w:w="740"/>
        <w:gridCol w:w="485"/>
        <w:gridCol w:w="485"/>
        <w:gridCol w:w="740"/>
        <w:gridCol w:w="740"/>
        <w:gridCol w:w="1220"/>
      </w:tblGrid>
      <w:tr>
        <w:trPr/>
        <w:tc>
          <w:tcPr>
            <w:tcW w:w="1775" w:type="dxa"/>
            <w:vMerge w:val="restart"/>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left"/>
              <w:rPr/>
            </w:pPr>
            <w:r>
              <w:rPr>
                <w:rFonts w:ascii="Arial;Helvetica;Sans-Serif" w:hAnsi="Arial;Helvetica;Sans-Serif"/>
                <w:b/>
                <w:color w:val="FFFFFF"/>
                <w:sz w:val="16"/>
              </w:rPr>
              <w:t>Operating Expenses</w:t>
            </w:r>
            <w:r>
              <w:rPr>
                <w:rFonts w:ascii="Arial;Helvetica;Sans-Serif" w:hAnsi="Arial;Helvetica;Sans-Serif"/>
                <w:sz w:val="16"/>
              </w:rPr>
              <w:br/>
            </w:r>
            <w:r>
              <w:rPr>
                <w:rFonts w:ascii="Arial;Helvetica;Sans-Serif" w:hAnsi="Arial;Helvetica;Sans-Serif"/>
                <w:b/>
                <w:color w:val="FFFFFF"/>
                <w:sz w:val="16"/>
              </w:rPr>
              <w:t>S/ (000)</w:t>
            </w:r>
          </w:p>
        </w:tc>
        <w:tc>
          <w:tcPr>
            <w:tcW w:w="2220" w:type="dxa"/>
            <w:gridSpan w:val="3"/>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Quarter</w:t>
            </w:r>
          </w:p>
        </w:tc>
        <w:tc>
          <w:tcPr>
            <w:tcW w:w="970" w:type="dxa"/>
            <w:gridSpan w:val="2"/>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c>
          <w:tcPr>
            <w:tcW w:w="1480" w:type="dxa"/>
            <w:gridSpan w:val="2"/>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of</w:t>
            </w:r>
          </w:p>
        </w:tc>
        <w:tc>
          <w:tcPr>
            <w:tcW w:w="1220" w:type="dxa"/>
            <w:tcBorders>
              <w:top w:val="single" w:sz="8" w:space="0" w:color="000000"/>
              <w:right w:val="single" w:sz="8" w:space="0" w:color="000000"/>
            </w:tcBorders>
            <w:shd w:fill="2AD2C9" w:val="clear"/>
            <w:tcMar>
              <w:left w:w="0" w:type="dxa"/>
              <w:bottom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r>
      <w:tr>
        <w:trPr/>
        <w:tc>
          <w:tcPr>
            <w:tcW w:w="1775" w:type="dxa"/>
            <w:vMerge w:val="continue"/>
            <w:tcBorders>
              <w:top w:val="single" w:sz="8" w:space="0" w:color="000000"/>
              <w:left w:val="single" w:sz="8" w:space="0" w:color="000000"/>
              <w:bottom w:val="single" w:sz="8" w:space="0" w:color="000000"/>
              <w:right w:val="single" w:sz="8" w:space="0" w:color="000000"/>
            </w:tcBorders>
            <w:shd w:fill="2AD2C9" w:val="clear"/>
            <w:vAlign w:val="center"/>
          </w:tcPr>
          <w:p>
            <w:pPr>
              <w:pStyle w:val="Normal"/>
              <w:bidi w:val="0"/>
              <w:jc w:val="left"/>
              <w:rPr/>
            </w:pPr>
            <w:r>
              <w:rPr/>
            </w:r>
          </w:p>
        </w:tc>
        <w:tc>
          <w:tcPr>
            <w:tcW w:w="74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2Q22</w:t>
            </w:r>
          </w:p>
        </w:tc>
        <w:tc>
          <w:tcPr>
            <w:tcW w:w="74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1Q23</w:t>
            </w:r>
          </w:p>
        </w:tc>
        <w:tc>
          <w:tcPr>
            <w:tcW w:w="74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2Q23</w:t>
            </w:r>
          </w:p>
        </w:tc>
        <w:tc>
          <w:tcPr>
            <w:tcW w:w="485"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QoQ</w:t>
            </w:r>
          </w:p>
        </w:tc>
        <w:tc>
          <w:tcPr>
            <w:tcW w:w="485"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YoY</w:t>
            </w:r>
          </w:p>
        </w:tc>
        <w:tc>
          <w:tcPr>
            <w:tcW w:w="740" w:type="dxa"/>
            <w:tcBorders>
              <w:bottom w:val="single" w:sz="8" w:space="0" w:color="000000"/>
            </w:tcBorders>
            <w:shd w:fill="2AD2C9"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22</w:t>
            </w:r>
          </w:p>
        </w:tc>
        <w:tc>
          <w:tcPr>
            <w:tcW w:w="74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23</w:t>
            </w:r>
          </w:p>
        </w:tc>
        <w:tc>
          <w:tcPr>
            <w:tcW w:w="1220" w:type="dxa"/>
            <w:tcBorders>
              <w:bottom w:val="single" w:sz="8" w:space="0" w:color="000000"/>
              <w:right w:val="single" w:sz="8" w:space="0" w:color="000000"/>
            </w:tcBorders>
            <w:shd w:fill="2AD2C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23 / Jun 22</w:t>
            </w:r>
          </w:p>
        </w:tc>
      </w:tr>
      <w:tr>
        <w:trPr/>
        <w:tc>
          <w:tcPr>
            <w:tcW w:w="17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Core Business BCP</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1,124,617</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1,150,502</w:t>
            </w:r>
          </w:p>
        </w:tc>
        <w:tc>
          <w:tcPr>
            <w:tcW w:w="74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1,195,522</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3.9%</w:t>
            </w:r>
          </w:p>
        </w:tc>
        <w:tc>
          <w:tcPr>
            <w:tcW w:w="48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6.3%</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2,164,203</w:t>
            </w:r>
          </w:p>
        </w:tc>
        <w:tc>
          <w:tcPr>
            <w:tcW w:w="740" w:type="dxa"/>
            <w:tcBorders>
              <w:right w:val="single" w:sz="8" w:space="0" w:color="000000"/>
            </w:tcBorders>
            <w:tcMar>
              <w:top w:w="0" w:type="dxa"/>
              <w:left w:w="0" w:type="dxa"/>
              <w:bottom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2,346,024</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8.4%</w:t>
            </w:r>
          </w:p>
        </w:tc>
      </w:tr>
      <w:tr>
        <w:trPr/>
        <w:tc>
          <w:tcPr>
            <w:tcW w:w="1775"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Core Business Mibanco</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284,647</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297,780</w:t>
            </w:r>
          </w:p>
        </w:tc>
        <w:tc>
          <w:tcPr>
            <w:tcW w:w="74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300,220</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0.8%</w:t>
            </w:r>
          </w:p>
        </w:tc>
        <w:tc>
          <w:tcPr>
            <w:tcW w:w="48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566,900</w:t>
            </w:r>
          </w:p>
        </w:tc>
        <w:tc>
          <w:tcPr>
            <w:tcW w:w="740" w:type="dxa"/>
            <w:tcBorders>
              <w:right w:val="single" w:sz="8" w:space="0" w:color="000000"/>
            </w:tcBorders>
            <w:tcMar>
              <w:top w:w="0" w:type="dxa"/>
              <w:left w:w="0" w:type="dxa"/>
              <w:bottom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598,000</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w:t>
            </w:r>
          </w:p>
        </w:tc>
      </w:tr>
      <w:tr>
        <w:trPr/>
        <w:tc>
          <w:tcPr>
            <w:tcW w:w="17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Core Business Pacifico</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61,945</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64,268</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72,708</w:t>
            </w:r>
          </w:p>
        </w:tc>
        <w:tc>
          <w:tcPr>
            <w:tcW w:w="485" w:type="dxa"/>
            <w:tcBorders/>
            <w:tcMar>
              <w:top w:w="0" w:type="dxa"/>
              <w:left w:w="0" w:type="dxa"/>
              <w:bottom w:w="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13.1%</w:t>
            </w:r>
          </w:p>
        </w:tc>
        <w:tc>
          <w:tcPr>
            <w:tcW w:w="4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17.4%</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120,714</w:t>
            </w:r>
          </w:p>
        </w:tc>
        <w:tc>
          <w:tcPr>
            <w:tcW w:w="740" w:type="dxa"/>
            <w:tcBorders>
              <w:right w:val="single" w:sz="8" w:space="0" w:color="000000"/>
            </w:tcBorders>
            <w:tcMar>
              <w:top w:w="0" w:type="dxa"/>
              <w:left w:w="0" w:type="dxa"/>
              <w:bottom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136,976</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13.5%</w:t>
            </w:r>
          </w:p>
        </w:tc>
      </w:tr>
      <w:tr>
        <w:trPr/>
        <w:tc>
          <w:tcPr>
            <w:tcW w:w="17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Disruption (3)</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130,807</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185,195</w:t>
            </w:r>
          </w:p>
        </w:tc>
        <w:tc>
          <w:tcPr>
            <w:tcW w:w="740" w:type="dxa"/>
            <w:tcBorders>
              <w:right w:val="single" w:sz="8" w:space="0" w:color="000000"/>
            </w:tcBorders>
            <w:tcMar>
              <w:top w:w="0" w:type="dxa"/>
              <w:left w:w="0" w:type="dxa"/>
              <w:bottom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186,994</w:t>
            </w:r>
          </w:p>
        </w:tc>
        <w:tc>
          <w:tcPr>
            <w:tcW w:w="485" w:type="dxa"/>
            <w:tcBorders/>
            <w:tcMar>
              <w:top w:w="0" w:type="dxa"/>
              <w:left w:w="0" w:type="dxa"/>
              <w:bottom w:w="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w:t>
            </w:r>
          </w:p>
        </w:tc>
        <w:tc>
          <w:tcPr>
            <w:tcW w:w="485"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43.0%</w:t>
            </w:r>
          </w:p>
        </w:tc>
        <w:tc>
          <w:tcPr>
            <w:tcW w:w="740" w:type="dxa"/>
            <w:tcBorders/>
            <w:tcMar>
              <w:top w:w="0" w:type="dxa"/>
              <w:left w:w="0" w:type="dxa"/>
              <w:bottom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219,490</w:t>
            </w:r>
          </w:p>
        </w:tc>
        <w:tc>
          <w:tcPr>
            <w:tcW w:w="740" w:type="dxa"/>
            <w:tcBorders>
              <w:right w:val="single" w:sz="8" w:space="0" w:color="000000"/>
            </w:tcBorders>
            <w:tcMar>
              <w:top w:w="0" w:type="dxa"/>
              <w:left w:w="0" w:type="dxa"/>
              <w:bottom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372,189</w:t>
            </w:r>
          </w:p>
        </w:tc>
        <w:tc>
          <w:tcPr>
            <w:tcW w:w="1220" w:type="dxa"/>
            <w:tcBorders>
              <w:right w:val="single" w:sz="8" w:space="0" w:color="000000"/>
            </w:tcBorders>
            <w:tcMar>
              <w:top w:w="0" w:type="dxa"/>
              <w:left w:w="0" w:type="dxa"/>
              <w:bottom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69.6%</w:t>
            </w:r>
          </w:p>
        </w:tc>
      </w:tr>
      <w:tr>
        <w:trPr/>
        <w:tc>
          <w:tcPr>
            <w:tcW w:w="177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Others (2)</w:t>
            </w:r>
          </w:p>
        </w:tc>
        <w:tc>
          <w:tcPr>
            <w:tcW w:w="74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326,465</w:t>
            </w:r>
          </w:p>
        </w:tc>
        <w:tc>
          <w:tcPr>
            <w:tcW w:w="74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340,564</w:t>
            </w:r>
          </w:p>
        </w:tc>
        <w:tc>
          <w:tcPr>
            <w:tcW w:w="74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347,627</w:t>
            </w:r>
          </w:p>
        </w:tc>
        <w:tc>
          <w:tcPr>
            <w:tcW w:w="485"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w:t>
            </w:r>
          </w:p>
        </w:tc>
        <w:tc>
          <w:tcPr>
            <w:tcW w:w="48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6.5%</w:t>
            </w:r>
          </w:p>
        </w:tc>
        <w:tc>
          <w:tcPr>
            <w:tcW w:w="74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652,339</w:t>
            </w:r>
          </w:p>
        </w:tc>
        <w:tc>
          <w:tcPr>
            <w:tcW w:w="740" w:type="dxa"/>
            <w:tcBorders>
              <w:bottom w:val="single" w:sz="8" w:space="0" w:color="000000"/>
              <w:right w:val="single" w:sz="8" w:space="0" w:color="000000"/>
            </w:tcBorders>
            <w:shd w:fill="FFFFFF" w:val="clear"/>
            <w:tcMar>
              <w:top w:w="0" w:type="dxa"/>
              <w:left w:w="0" w:type="dxa"/>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688,192</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w:t>
            </w:r>
          </w:p>
        </w:tc>
      </w:tr>
      <w:tr>
        <w:trPr/>
        <w:tc>
          <w:tcPr>
            <w:tcW w:w="17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Total</w:t>
            </w:r>
          </w:p>
        </w:tc>
        <w:tc>
          <w:tcPr>
            <w:tcW w:w="740"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1,928,480</w:t>
            </w:r>
          </w:p>
        </w:tc>
        <w:tc>
          <w:tcPr>
            <w:tcW w:w="740"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2,038,309</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2,103,072</w:t>
            </w:r>
          </w:p>
        </w:tc>
        <w:tc>
          <w:tcPr>
            <w:tcW w:w="48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3.2%</w:t>
            </w:r>
          </w:p>
        </w:tc>
        <w:tc>
          <w:tcPr>
            <w:tcW w:w="4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9.1%</w:t>
            </w:r>
          </w:p>
        </w:tc>
        <w:tc>
          <w:tcPr>
            <w:tcW w:w="740"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3,723,647</w:t>
            </w:r>
          </w:p>
        </w:tc>
        <w:tc>
          <w:tcPr>
            <w:tcW w:w="740"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4,141,381</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11.2%</w:t>
            </w:r>
          </w:p>
        </w:tc>
      </w:tr>
    </w:tbl>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Management figures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Include Credicorp Capital, ASB, Prima, BCP Bolivia, Mibanco Colombia and other entities within the Group.</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Includes disruptive initiatives at the subsidiaries and Krealo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core business at BCP and our disruptive initiatives were responsible for </w:t>
      </w:r>
      <w:r>
        <w:rPr>
          <w:rFonts w:ascii="Arial;Helvetica;Sans-Serif" w:hAnsi="Arial;Helvetica;Sans-Serif"/>
          <w:b/>
          <w:i w:val="false"/>
          <w:caps w:val="false"/>
          <w:smallCaps w:val="false"/>
          <w:sz w:val="20"/>
        </w:rPr>
        <w:t>44%</w:t>
      </w:r>
      <w:r>
        <w:rPr>
          <w:rFonts w:ascii="Arial;Helvetica;Sans-Serif" w:hAnsi="Arial;Helvetica;Sans-Serif"/>
          <w:b w:val="false"/>
          <w:i w:val="false"/>
          <w:caps w:val="false"/>
          <w:smallCaps w:val="false"/>
          <w:sz w:val="20"/>
        </w:rPr>
        <w:t xml:space="preserve"> and </w:t>
      </w:r>
      <w:r>
        <w:rPr>
          <w:rFonts w:ascii="Arial;Helvetica;Sans-Serif" w:hAnsi="Arial;Helvetica;Sans-Serif"/>
          <w:b/>
          <w:i w:val="false"/>
          <w:caps w:val="false"/>
          <w:smallCaps w:val="false"/>
          <w:sz w:val="20"/>
        </w:rPr>
        <w:t>37%</w:t>
      </w:r>
      <w:r>
        <w:rPr>
          <w:rFonts w:ascii="Arial;Helvetica;Sans-Serif" w:hAnsi="Arial;Helvetica;Sans-Serif"/>
          <w:b w:val="false"/>
          <w:i w:val="false"/>
          <w:caps w:val="false"/>
          <w:smallCaps w:val="false"/>
          <w:sz w:val="20"/>
        </w:rPr>
        <w:t xml:space="preserve"> respectively of the </w:t>
      </w:r>
      <w:r>
        <w:rPr>
          <w:rFonts w:ascii="Arial;Helvetica;Sans-Serif" w:hAnsi="Arial;Helvetica;Sans-Serif"/>
          <w:b/>
          <w:i w:val="false"/>
          <w:caps w:val="false"/>
          <w:smallCaps w:val="false"/>
          <w:sz w:val="20"/>
        </w:rPr>
        <w:t xml:space="preserve">11.2% </w:t>
      </w:r>
      <w:r>
        <w:rPr>
          <w:rFonts w:ascii="Arial;Helvetica;Sans-Serif" w:hAnsi="Arial;Helvetica;Sans-Serif"/>
          <w:b w:val="false"/>
          <w:i w:val="false"/>
          <w:caps w:val="false"/>
          <w:smallCaps w:val="false"/>
          <w:sz w:val="20"/>
        </w:rPr>
        <w:t>increase in operating expenses at Credicorp.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the case of Core business at </w:t>
      </w:r>
      <w:r>
        <w:rPr>
          <w:rFonts w:ascii="Arial;Helvetica;Sans-Serif" w:hAnsi="Arial;Helvetica;Sans-Serif"/>
          <w:b/>
          <w:i w:val="false"/>
          <w:caps w:val="false"/>
          <w:smallCaps w:val="false"/>
          <w:sz w:val="20"/>
        </w:rPr>
        <w:t>BCP</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YTD</w:t>
      </w:r>
      <w:r>
        <w:rPr>
          <w:rFonts w:ascii="Arial;Helvetica;Sans-Serif" w:hAnsi="Arial;Helvetica;Sans-Serif"/>
          <w:b w:val="false"/>
          <w:i w:val="false"/>
          <w:caps w:val="false"/>
          <w:smallCaps w:val="false"/>
          <w:sz w:val="20"/>
        </w:rPr>
        <w:t xml:space="preserve"> growth of 8.4 % was driven by technology expenses and other components of Core Expenses (excluding technology expenses):</w:t>
      </w:r>
    </w:p>
    <w:p>
      <w:pPr>
        <w:pStyle w:val="TextBody"/>
        <w:bidi w:val="0"/>
        <w:spacing w:before="0" w:after="0"/>
        <w:ind w:left="0" w:right="0" w:hanging="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490"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Technology (IT)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 line with an uptick in monetary and non-monetary transactions of the most digitalized clients, expenses for the use of the bank’s cloud servers rose.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Additionally, an uptick was recorded in the use of IT applications, data center, licenses and other software to bolster capacity and improve cybersecurity.</w:t>
            </w:r>
          </w:p>
        </w:tc>
      </w:tr>
    </w:tbl>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More specialized personnel with digital capacities were hired, which also increased the average salary level.</w:t>
            </w:r>
          </w:p>
        </w:tc>
      </w:tr>
    </w:tbl>
    <w:p>
      <w:pPr>
        <w:pStyle w:val="TextBody"/>
        <w:bidi w:val="0"/>
        <w:spacing w:before="0" w:after="0"/>
        <w:ind w:left="1440" w:right="0" w:hanging="36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Marketing Expenses in the Core business</w:t>
            </w:r>
          </w:p>
        </w:tc>
      </w:tr>
    </w:tbl>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Increase in advertising expenses to boost deposits and digital sales;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Growth in expenses for </w:t>
            </w:r>
            <w:r>
              <w:rPr>
                <w:rFonts w:ascii="Arial;Helvetica;Sans-Serif" w:hAnsi="Arial;Helvetica;Sans-Serif"/>
                <w:b/>
                <w:sz w:val="20"/>
              </w:rPr>
              <w:t>the Loyalty Program</w:t>
            </w:r>
            <w:r>
              <w:rPr>
                <w:rFonts w:ascii="Arial;Helvetica;Sans-Serif" w:hAnsi="Arial;Helvetica;Sans-Serif"/>
                <w:sz w:val="20"/>
              </w:rPr>
              <w:t>; this was fueled by a recovery in the level of miles consumed, which rose due to an uptick in the use of credit and debit cards at establishments. Billing evolved favorably for debit and credit cards, registering upticks of 18.2% and 22.8% respectively YTD;</w:t>
            </w:r>
          </w:p>
        </w:tc>
      </w:tr>
    </w:tbl>
    <w:p>
      <w:pPr>
        <w:pStyle w:val="TextBody"/>
        <w:bidi w:val="0"/>
        <w:spacing w:before="0" w:after="0"/>
        <w:ind w:left="1440" w:right="0" w:hanging="36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7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growth was partially offset by a tax reversal associated with a non-domiciled supplier.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Growth in </w:t>
      </w:r>
      <w:r>
        <w:rPr>
          <w:rFonts w:ascii="Arial;Helvetica;Sans-Serif" w:hAnsi="Arial;Helvetica;Sans-Serif"/>
          <w:b/>
          <w:i w:val="false"/>
          <w:caps w:val="false"/>
          <w:smallCaps w:val="false"/>
          <w:sz w:val="20"/>
        </w:rPr>
        <w:t>disruptive expenses</w:t>
      </w:r>
      <w:r>
        <w:rPr>
          <w:rFonts w:ascii="Arial;Helvetica;Sans-Serif" w:hAnsi="Arial;Helvetica;Sans-Serif"/>
          <w:b w:val="false"/>
          <w:i w:val="false"/>
          <w:caps w:val="false"/>
          <w:smallCaps w:val="false"/>
          <w:sz w:val="20"/>
        </w:rPr>
        <w:t xml:space="preserve"> stood at 69.6% YTD and represented </w:t>
      </w:r>
      <w:r>
        <w:rPr>
          <w:rFonts w:ascii="Arial;Helvetica;Sans-Serif" w:hAnsi="Arial;Helvetica;Sans-Serif"/>
          <w:b/>
          <w:i w:val="false"/>
          <w:caps w:val="false"/>
          <w:smallCaps w:val="false"/>
          <w:sz w:val="20"/>
        </w:rPr>
        <w:t>9.0%</w:t>
      </w:r>
      <w:r>
        <w:rPr>
          <w:rFonts w:ascii="Arial;Helvetica;Sans-Serif" w:hAnsi="Arial;Helvetica;Sans-Serif"/>
          <w:b w:val="false"/>
          <w:i w:val="false"/>
          <w:caps w:val="false"/>
          <w:smallCaps w:val="false"/>
          <w:sz w:val="20"/>
        </w:rPr>
        <w:t xml:space="preserve"> OPEX at the YTD level as of June 2023. These expenses were attributable to investment in improvements of different functionalities and to an increase in expenses for specialized personnel to steer initiatives such as </w:t>
      </w:r>
      <w:r>
        <w:rPr>
          <w:rFonts w:ascii="Arial;Helvetica;Sans-Serif" w:hAnsi="Arial;Helvetica;Sans-Serif"/>
          <w:b w:val="false"/>
          <w:i w:val="false"/>
          <w:caps w:val="false"/>
          <w:smallCaps w:val="false"/>
          <w:color w:val="000000"/>
          <w:sz w:val="20"/>
        </w:rPr>
        <w:t xml:space="preserve">Yape, IO, Culqui, Tenpo, among others, which are geared to strengthen our leadership long-term.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38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3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4" descr=""/>
                          <pic:cNvPicPr>
                            <a:picLocks noChangeAspect="1" noChangeArrowheads="1"/>
                          </pic:cNvPicPr>
                        </pic:nvPicPr>
                        <pic:blipFill>
                          <a:blip r:embed="rId101"/>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575"/>
        <w:gridCol w:w="3230"/>
      </w:tblGrid>
      <w:tr>
        <w:trPr/>
        <w:tc>
          <w:tcPr>
            <w:tcW w:w="575" w:type="dxa"/>
            <w:tcBorders/>
            <w:vAlign w:val="center"/>
          </w:tcPr>
          <w:p>
            <w:pPr>
              <w:pStyle w:val="TableContents"/>
              <w:bidi w:val="0"/>
              <w:spacing w:before="0" w:after="283"/>
              <w:jc w:val="left"/>
              <w:rPr>
                <w:rFonts w:ascii="Arial;Helvetica;Sans-Serif" w:hAnsi="Arial;Helvetica;Sans-Serif"/>
                <w:b/>
                <w:i w:val="false"/>
                <w:caps w:val="false"/>
                <w:smallCaps w:val="false"/>
                <w:color w:val="E93CAC"/>
                <w:sz w:val="48"/>
              </w:rPr>
            </w:pPr>
            <w:r>
              <w:rPr>
                <w:rFonts w:ascii="Arial;Helvetica;Sans-Serif" w:hAnsi="Arial;Helvetica;Sans-Serif"/>
                <w:b/>
                <w:i w:val="false"/>
                <w:caps w:val="false"/>
                <w:smallCaps w:val="false"/>
                <w:color w:val="E93CAC"/>
                <w:sz w:val="48"/>
              </w:rPr>
              <w:t>09</w:t>
            </w:r>
          </w:p>
        </w:tc>
        <w:tc>
          <w:tcPr>
            <w:tcW w:w="323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E93CAC"/>
                <w:sz w:val="36"/>
              </w:rPr>
            </w:pPr>
            <w:r>
              <w:rPr>
                <w:rFonts w:ascii="Arial;Helvetica;Sans-Serif" w:hAnsi="Arial;Helvetica;Sans-Serif"/>
                <w:b w:val="false"/>
                <w:i w:val="false"/>
                <w:caps w:val="false"/>
                <w:smallCaps w:val="false"/>
                <w:color w:val="E93CAC"/>
                <w:sz w:val="36"/>
              </w:rPr>
              <w:t>Operating Efficiency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The efficiency ratio improved 310 bps YTD. This evolution reflected an uptick in core income, which was driven by growth in net interest income at BCP and by adept pricing management in a context of rising rates. If we exclude disruption expenses, the efficiency ratio stands at 40.4%.</w:t>
            </w:r>
          </w:p>
        </w:tc>
      </w:tr>
    </w:tbl>
    <w:p>
      <w:pPr>
        <w:pStyle w:val="TextBody"/>
        <w:bidi w:val="0"/>
        <w:jc w:val="left"/>
        <w:rPr>
          <w:caps w:val="false"/>
          <w:smallCaps w:val="false"/>
        </w:rPr>
      </w:pPr>
      <w:r>
        <w:rPr>
          <w:caps w:val="false"/>
          <w:smallCaps w:val="false"/>
        </w:rPr>
        <w:t> </w:t>
      </w:r>
    </w:p>
    <w:tbl>
      <w:tblPr>
        <w:tblW w:w="7875" w:type="dxa"/>
        <w:jc w:val="left"/>
        <w:tblInd w:w="-10" w:type="dxa"/>
        <w:tblLayout w:type="fixed"/>
        <w:tblCellMar>
          <w:top w:w="28" w:type="dxa"/>
          <w:left w:w="40" w:type="dxa"/>
          <w:bottom w:w="0" w:type="dxa"/>
          <w:right w:w="28" w:type="dxa"/>
        </w:tblCellMar>
      </w:tblPr>
      <w:tblGrid>
        <w:gridCol w:w="1775"/>
        <w:gridCol w:w="740"/>
        <w:gridCol w:w="740"/>
        <w:gridCol w:w="740"/>
        <w:gridCol w:w="515"/>
        <w:gridCol w:w="665"/>
        <w:gridCol w:w="740"/>
        <w:gridCol w:w="740"/>
        <w:gridCol w:w="1220"/>
      </w:tblGrid>
      <w:tr>
        <w:trPr/>
        <w:tc>
          <w:tcPr>
            <w:tcW w:w="177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Operating efficiency</w:t>
            </w:r>
          </w:p>
        </w:tc>
        <w:tc>
          <w:tcPr>
            <w:tcW w:w="2220" w:type="dxa"/>
            <w:gridSpan w:val="3"/>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Quarter</w:t>
            </w:r>
          </w:p>
        </w:tc>
        <w:tc>
          <w:tcPr>
            <w:tcW w:w="1180" w:type="dxa"/>
            <w:gridSpan w:val="2"/>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c>
          <w:tcPr>
            <w:tcW w:w="1480" w:type="dxa"/>
            <w:gridSpan w:val="2"/>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As of</w:t>
            </w:r>
          </w:p>
        </w:tc>
        <w:tc>
          <w:tcPr>
            <w:tcW w:w="1220" w:type="dxa"/>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change</w:t>
            </w:r>
          </w:p>
        </w:tc>
      </w:tr>
      <w:tr>
        <w:trPr/>
        <w:tc>
          <w:tcPr>
            <w:tcW w:w="1775" w:type="dxa"/>
            <w:tcBorders>
              <w:left w:val="single" w:sz="8" w:space="0" w:color="000000"/>
              <w:right w:val="single" w:sz="8" w:space="0" w:color="000000"/>
            </w:tcBorders>
            <w:shd w:fill="2AD2C9"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20" w:type="dxa"/>
            <w:gridSpan w:val="3"/>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c>
          <w:tcPr>
            <w:tcW w:w="1180" w:type="dxa"/>
            <w:gridSpan w:val="2"/>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c>
          <w:tcPr>
            <w:tcW w:w="1480" w:type="dxa"/>
            <w:gridSpan w:val="2"/>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c>
          <w:tcPr>
            <w:tcW w:w="1220" w:type="dxa"/>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r>
      <w:tr>
        <w:trPr/>
        <w:tc>
          <w:tcPr>
            <w:tcW w:w="177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S/000</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2Q22</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1Q23</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2Q23</w:t>
            </w:r>
          </w:p>
        </w:tc>
        <w:tc>
          <w:tcPr>
            <w:tcW w:w="515" w:type="dxa"/>
            <w:tcBorders>
              <w:left w:val="single" w:sz="8" w:space="0" w:color="000000"/>
              <w:bottom w:val="single" w:sz="8" w:space="0" w:color="000000"/>
            </w:tcBorders>
            <w:shd w:fill="2AD2C9" w:val="clear"/>
            <w:tcMar>
              <w:top w:w="0" w:type="dxa"/>
              <w:left w:w="28"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QoQ</w:t>
            </w:r>
          </w:p>
        </w:tc>
        <w:tc>
          <w:tcPr>
            <w:tcW w:w="66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YoY</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1H22</w:t>
            </w:r>
          </w:p>
        </w:tc>
        <w:tc>
          <w:tcPr>
            <w:tcW w:w="74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1H23</w:t>
            </w:r>
          </w:p>
        </w:tc>
        <w:tc>
          <w:tcPr>
            <w:tcW w:w="122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Jun 23 / Jun 22</w:t>
            </w:r>
          </w:p>
        </w:tc>
      </w:tr>
      <w:tr>
        <w:trPr/>
        <w:tc>
          <w:tcPr>
            <w:tcW w:w="1775"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Operating expenses (1)</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1,928,479</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2,038,309</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2,103,072</w:t>
            </w:r>
          </w:p>
        </w:tc>
        <w:tc>
          <w:tcPr>
            <w:tcW w:w="515" w:type="dxa"/>
            <w:tcBorders>
              <w:left w:val="single" w:sz="8" w:space="0" w:color="000000"/>
            </w:tcBorders>
            <w:tcMar>
              <w:top w:w="0" w:type="dxa"/>
              <w:left w:w="28"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9.1%</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3,723,648</w:t>
            </w:r>
          </w:p>
        </w:tc>
        <w:tc>
          <w:tcPr>
            <w:tcW w:w="740" w:type="dxa"/>
            <w:tcBorders>
              <w:right w:val="single" w:sz="8" w:space="0" w:color="000000"/>
            </w:tcBorders>
            <w:tcMar>
              <w:top w:w="0" w:type="dxa"/>
              <w:left w:w="0" w:type="dxa"/>
              <w:right w:w="2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4,141,381</w:t>
            </w:r>
          </w:p>
        </w:tc>
        <w:tc>
          <w:tcPr>
            <w:tcW w:w="122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11.2%</w:t>
            </w:r>
          </w:p>
        </w:tc>
      </w:tr>
      <w:tr>
        <w:trPr/>
        <w:tc>
          <w:tcPr>
            <w:tcW w:w="1775" w:type="dxa"/>
            <w:tcBorders>
              <w:left w:val="single" w:sz="8" w:space="0" w:color="000000"/>
              <w:right w:val="single" w:sz="8" w:space="0" w:color="000000"/>
            </w:tcBorders>
            <w:shd w:fill="FFFFFF" w:val="clear"/>
            <w:tcMar>
              <w:top w:w="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6"/>
              </w:rPr>
              <w:t>Operating income</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sz w:val="16"/>
              </w:rPr>
              <w:t>(2)</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4,044,394</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4,602,331</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4,715,570</w:t>
            </w:r>
          </w:p>
        </w:tc>
        <w:tc>
          <w:tcPr>
            <w:tcW w:w="515" w:type="dxa"/>
            <w:tcBorders>
              <w:left w:val="single" w:sz="8" w:space="0" w:color="000000"/>
            </w:tcBorders>
            <w:tcMar>
              <w:top w:w="0" w:type="dxa"/>
              <w:left w:w="28"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2.5%</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16.6%</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7,843,775</w:t>
            </w:r>
          </w:p>
        </w:tc>
        <w:tc>
          <w:tcPr>
            <w:tcW w:w="740" w:type="dxa"/>
            <w:tcBorders>
              <w:right w:val="single" w:sz="8" w:space="0" w:color="000000"/>
            </w:tcBorders>
            <w:tcMar>
              <w:top w:w="0" w:type="dxa"/>
              <w:left w:w="0" w:type="dxa"/>
              <w:right w:w="20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9,317,901</w:t>
            </w:r>
          </w:p>
        </w:tc>
        <w:tc>
          <w:tcPr>
            <w:tcW w:w="1220"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18.8%</w:t>
            </w:r>
          </w:p>
        </w:tc>
      </w:tr>
      <w:tr>
        <w:trPr/>
        <w:tc>
          <w:tcPr>
            <w:tcW w:w="1775"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Efficiency ratio (3)</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47.7%</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44.3%</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44.6%</w:t>
            </w:r>
          </w:p>
        </w:tc>
        <w:tc>
          <w:tcPr>
            <w:tcW w:w="515" w:type="dxa"/>
            <w:tcBorders>
              <w:left w:val="single" w:sz="8" w:space="0" w:color="000000"/>
              <w:bottom w:val="single" w:sz="8" w:space="0" w:color="000000"/>
            </w:tcBorders>
            <w:tcMar>
              <w:top w:w="0" w:type="dxa"/>
              <w:left w:w="28" w:type="dxa"/>
              <w:bottom w:w="28"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 pbs</w:t>
            </w:r>
          </w:p>
        </w:tc>
        <w:tc>
          <w:tcPr>
            <w:tcW w:w="6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-310 pbs</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47.5%</w:t>
            </w:r>
          </w:p>
        </w:tc>
        <w:tc>
          <w:tcPr>
            <w:tcW w:w="740" w:type="dxa"/>
            <w:tcBorders>
              <w:bottom w:val="single" w:sz="8" w:space="0" w:color="000000"/>
              <w:right w:val="single" w:sz="8" w:space="0" w:color="000000"/>
            </w:tcBorders>
            <w:tcMar>
              <w:top w:w="0" w:type="dxa"/>
              <w:left w:w="0" w:type="dxa"/>
              <w:bottom w:w="28" w:type="dxa"/>
              <w:right w:w="200" w:type="dxa"/>
            </w:tcMar>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44.4%(4)</w:t>
            </w:r>
          </w:p>
        </w:tc>
        <w:tc>
          <w:tcPr>
            <w:tcW w:w="122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-310 pbs</w:t>
            </w:r>
          </w:p>
        </w:tc>
      </w:tr>
    </w:tbl>
    <w:p>
      <w:pPr>
        <w:pStyle w:val="TextBody"/>
        <w:bidi w:val="0"/>
        <w:spacing w:before="0" w:after="0"/>
        <w:ind w:left="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Due to the application of IFRS 17, which impacts reporting for Insurance contracts, Operating Income has been restated and as such, differs with regard calculations in previous reports. For more details, review annex 12.1.8</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Operating expenses = Salaries and employees benefits + Administrative expenses + Depreciation and amortization + Association in participation + Acquisition cost.</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Operating income = Net interest, similar income and expenses + Fee income + Net gain on foreign exchange transactions + Net gain from associates + Net gain on derivatives held for trading + Net gain from exchange differences + Net Insurance Underwriting Results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(3) Operating expenses / Operating income (under IFRS 17) </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(4) Excluding the non-recurring expense reversal, the efficiency ratio stands at 45.1%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Efficiency ratio by Subsidiary</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8" w:name="zeb448d8ede8e423482c01ccee3a893fa"/>
      <w:bookmarkStart w:id="9" w:name="zeb448d8ede8e423482c01ccee3a893fa"/>
      <w:bookmarkEnd w:id="9"/>
    </w:p>
    <w:tbl>
      <w:tblPr>
        <w:tblW w:w="8990" w:type="dxa"/>
        <w:jc w:val="left"/>
        <w:tblInd w:w="-7" w:type="dxa"/>
        <w:tblLayout w:type="fixed"/>
        <w:tblCellMar>
          <w:top w:w="28" w:type="dxa"/>
          <w:left w:w="28" w:type="dxa"/>
          <w:bottom w:w="28" w:type="dxa"/>
          <w:right w:w="28" w:type="dxa"/>
        </w:tblCellMar>
      </w:tblPr>
      <w:tblGrid>
        <w:gridCol w:w="1055"/>
        <w:gridCol w:w="845"/>
        <w:gridCol w:w="785"/>
        <w:gridCol w:w="995"/>
        <w:gridCol w:w="1325"/>
        <w:gridCol w:w="665"/>
        <w:gridCol w:w="1220"/>
        <w:gridCol w:w="665"/>
        <w:gridCol w:w="725"/>
        <w:gridCol w:w="710"/>
      </w:tblGrid>
      <w:tr>
        <w:trPr/>
        <w:tc>
          <w:tcPr>
            <w:tcW w:w="10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rFonts w:ascii="Calibri;sans-serif" w:hAnsi="Calibri;sans-serif"/>
                <w:sz w:val="16"/>
              </w:rPr>
            </w:pPr>
            <w:r>
              <w:rPr>
                <w:rFonts w:ascii="Calibri;sans-serif" w:hAnsi="Calibri;sans-serif"/>
                <w:sz w:val="16"/>
              </w:rPr>
              <w:t>IFRS 17</w:t>
            </w:r>
          </w:p>
        </w:tc>
        <w:tc>
          <w:tcPr>
            <w:tcW w:w="845" w:type="dxa"/>
            <w:tcBorders>
              <w:top w:val="single" w:sz="2" w:space="0" w:color="000000"/>
              <w:bottom w:val="single" w:sz="2" w:space="0" w:color="000000"/>
            </w:tcBorders>
            <w:shd w:fill="2AD2C9" w:val="clear"/>
            <w:tcMar>
              <w:left w:w="0" w:type="dxa"/>
              <w:right w:w="0" w:type="dxa"/>
            </w:tcMar>
            <w:vAlign w:val="center"/>
          </w:tcPr>
          <w:p>
            <w:pPr>
              <w:pStyle w:val="TableContents"/>
              <w:bidi w:val="0"/>
              <w:spacing w:before="0" w:after="0"/>
              <w:jc w:val="center"/>
              <w:rPr>
                <w:rFonts w:ascii="Calibri;sans-serif" w:hAnsi="Calibri;sans-serif"/>
                <w:b/>
                <w:color w:val="FFFFFF"/>
                <w:sz w:val="16"/>
              </w:rPr>
            </w:pPr>
            <w:r>
              <w:rPr>
                <w:rFonts w:ascii="Calibri;sans-serif" w:hAnsi="Calibri;sans-serif"/>
                <w:b/>
                <w:color w:val="FFFFFF"/>
                <w:sz w:val="16"/>
              </w:rPr>
              <w:t>BCP</w:t>
              <w:br/>
              <w:t>Stand-alone</w:t>
            </w:r>
          </w:p>
        </w:tc>
        <w:tc>
          <w:tcPr>
            <w:tcW w:w="785" w:type="dxa"/>
            <w:tcBorders>
              <w:top w:val="single" w:sz="2" w:space="0" w:color="000000"/>
              <w:bottom w:val="single" w:sz="2" w:space="0" w:color="000000"/>
            </w:tcBorders>
            <w:shd w:fill="2AD2C9" w:val="clear"/>
            <w:tcMar>
              <w:left w:w="0" w:type="dxa"/>
              <w:right w:w="0" w:type="dxa"/>
            </w:tcMar>
            <w:vAlign w:val="center"/>
          </w:tcPr>
          <w:p>
            <w:pPr>
              <w:pStyle w:val="TableContents"/>
              <w:bidi w:val="0"/>
              <w:spacing w:before="0" w:after="0"/>
              <w:jc w:val="center"/>
              <w:rPr>
                <w:rFonts w:ascii="Calibri;sans-serif" w:hAnsi="Calibri;sans-serif"/>
                <w:b/>
                <w:color w:val="FFFFFF"/>
                <w:sz w:val="16"/>
              </w:rPr>
            </w:pPr>
            <w:r>
              <w:rPr>
                <w:rFonts w:ascii="Calibri;sans-serif" w:hAnsi="Calibri;sans-serif"/>
                <w:b/>
                <w:color w:val="FFFFFF"/>
                <w:sz w:val="16"/>
              </w:rPr>
              <w:t>BCP Bolivia</w:t>
            </w:r>
          </w:p>
        </w:tc>
        <w:tc>
          <w:tcPr>
            <w:tcW w:w="995" w:type="dxa"/>
            <w:tcBorders>
              <w:top w:val="single" w:sz="2" w:space="0" w:color="000000"/>
              <w:bottom w:val="single" w:sz="2" w:space="0" w:color="000000"/>
            </w:tcBorders>
            <w:shd w:fill="2AD2C9" w:val="clear"/>
            <w:tcMar>
              <w:left w:w="0" w:type="dxa"/>
              <w:right w:w="0" w:type="dxa"/>
            </w:tcMar>
            <w:vAlign w:val="center"/>
          </w:tcPr>
          <w:p>
            <w:pPr>
              <w:pStyle w:val="TableContents"/>
              <w:bidi w:val="0"/>
              <w:spacing w:before="0" w:after="0"/>
              <w:jc w:val="center"/>
              <w:rPr>
                <w:rFonts w:ascii="Calibri;sans-serif" w:hAnsi="Calibri;sans-serif"/>
                <w:b/>
                <w:color w:val="FFFFFF"/>
                <w:sz w:val="16"/>
              </w:rPr>
            </w:pPr>
            <w:r>
              <w:rPr>
                <w:rFonts w:ascii="Calibri;sans-serif" w:hAnsi="Calibri;sans-serif"/>
                <w:b/>
                <w:color w:val="FFFFFF"/>
                <w:sz w:val="16"/>
              </w:rPr>
              <w:t>Mibanco Peru</w:t>
            </w:r>
          </w:p>
        </w:tc>
        <w:tc>
          <w:tcPr>
            <w:tcW w:w="1325" w:type="dxa"/>
            <w:tcBorders>
              <w:top w:val="single" w:sz="2" w:space="0" w:color="000000"/>
              <w:bottom w:val="single" w:sz="2" w:space="0" w:color="000000"/>
            </w:tcBorders>
            <w:shd w:fill="2AD2C9" w:val="clear"/>
            <w:tcMar>
              <w:left w:w="0" w:type="dxa"/>
              <w:right w:w="0" w:type="dxa"/>
            </w:tcMar>
            <w:vAlign w:val="center"/>
          </w:tcPr>
          <w:p>
            <w:pPr>
              <w:pStyle w:val="TableContents"/>
              <w:bidi w:val="0"/>
              <w:spacing w:before="0" w:after="0"/>
              <w:jc w:val="center"/>
              <w:rPr>
                <w:rFonts w:ascii="Calibri;sans-serif" w:hAnsi="Calibri;sans-serif"/>
                <w:b/>
                <w:color w:val="FFFFFF"/>
                <w:sz w:val="16"/>
              </w:rPr>
            </w:pPr>
            <w:r>
              <w:rPr>
                <w:rFonts w:ascii="Calibri;sans-serif" w:hAnsi="Calibri;sans-serif"/>
                <w:b/>
                <w:color w:val="FFFFFF"/>
                <w:sz w:val="16"/>
              </w:rPr>
              <w:t>Mibanco Colombia</w:t>
            </w:r>
          </w:p>
        </w:tc>
        <w:tc>
          <w:tcPr>
            <w:tcW w:w="665" w:type="dxa"/>
            <w:tcBorders>
              <w:top w:val="single" w:sz="2" w:space="0" w:color="000000"/>
              <w:bottom w:val="single" w:sz="2" w:space="0" w:color="000000"/>
            </w:tcBorders>
            <w:shd w:fill="2AD2C9" w:val="clear"/>
            <w:tcMar>
              <w:left w:w="0" w:type="dxa"/>
              <w:right w:w="0" w:type="dxa"/>
            </w:tcMar>
            <w:vAlign w:val="center"/>
          </w:tcPr>
          <w:p>
            <w:pPr>
              <w:pStyle w:val="TableContents"/>
              <w:bidi w:val="0"/>
              <w:spacing w:before="0" w:after="0"/>
              <w:jc w:val="center"/>
              <w:rPr>
                <w:rFonts w:ascii="Calibri;sans-serif" w:hAnsi="Calibri;sans-serif"/>
                <w:b/>
                <w:color w:val="FFFFFF"/>
                <w:sz w:val="16"/>
              </w:rPr>
            </w:pPr>
            <w:r>
              <w:rPr>
                <w:rFonts w:ascii="Calibri;sans-serif" w:hAnsi="Calibri;sans-serif"/>
                <w:b/>
                <w:color w:val="FFFFFF"/>
                <w:sz w:val="16"/>
              </w:rPr>
              <w:t>ASB</w:t>
            </w:r>
          </w:p>
        </w:tc>
        <w:tc>
          <w:tcPr>
            <w:tcW w:w="1220" w:type="dxa"/>
            <w:tcBorders>
              <w:top w:val="single" w:sz="2" w:space="0" w:color="000000"/>
              <w:bottom w:val="single" w:sz="2" w:space="0" w:color="000000"/>
            </w:tcBorders>
            <w:shd w:fill="2AD2C9" w:val="clear"/>
            <w:tcMar>
              <w:left w:w="0" w:type="dxa"/>
              <w:right w:w="0" w:type="dxa"/>
            </w:tcMar>
            <w:vAlign w:val="center"/>
          </w:tcPr>
          <w:p>
            <w:pPr>
              <w:pStyle w:val="TableContents"/>
              <w:bidi w:val="0"/>
              <w:spacing w:before="0" w:after="0"/>
              <w:jc w:val="center"/>
              <w:rPr>
                <w:rFonts w:ascii="Calibri;sans-serif" w:hAnsi="Calibri;sans-serif"/>
                <w:b/>
                <w:color w:val="FFFFFF"/>
                <w:sz w:val="16"/>
              </w:rPr>
            </w:pPr>
            <w:r>
              <w:rPr>
                <w:rFonts w:ascii="Calibri;sans-serif" w:hAnsi="Calibri;sans-serif"/>
                <w:b/>
                <w:color w:val="FFFFFF"/>
                <w:sz w:val="16"/>
              </w:rPr>
              <w:t>Credicorp Capital</w:t>
            </w:r>
          </w:p>
        </w:tc>
        <w:tc>
          <w:tcPr>
            <w:tcW w:w="665" w:type="dxa"/>
            <w:tcBorders>
              <w:top w:val="single" w:sz="2" w:space="0" w:color="000000"/>
              <w:bottom w:val="single" w:sz="2" w:space="0" w:color="000000"/>
            </w:tcBorders>
            <w:shd w:fill="2AD2C9" w:val="clear"/>
            <w:tcMar>
              <w:left w:w="0" w:type="dxa"/>
              <w:right w:w="0" w:type="dxa"/>
            </w:tcMar>
            <w:vAlign w:val="center"/>
          </w:tcPr>
          <w:p>
            <w:pPr>
              <w:pStyle w:val="TableContents"/>
              <w:bidi w:val="0"/>
              <w:spacing w:before="0" w:after="0"/>
              <w:jc w:val="center"/>
              <w:rPr>
                <w:rFonts w:ascii="Calibri;sans-serif" w:hAnsi="Calibri;sans-serif"/>
                <w:b/>
                <w:color w:val="FFFFFF"/>
                <w:sz w:val="16"/>
              </w:rPr>
            </w:pPr>
            <w:r>
              <w:rPr>
                <w:rFonts w:ascii="Calibri;sans-serif" w:hAnsi="Calibri;sans-serif"/>
                <w:b/>
                <w:color w:val="FFFFFF"/>
                <w:sz w:val="16"/>
              </w:rPr>
              <w:t>Pacifico</w:t>
            </w:r>
          </w:p>
        </w:tc>
        <w:tc>
          <w:tcPr>
            <w:tcW w:w="725" w:type="dxa"/>
            <w:tcBorders>
              <w:top w:val="single" w:sz="2" w:space="0" w:color="000000"/>
              <w:bottom w:val="single" w:sz="2" w:space="0" w:color="000000"/>
              <w:right w:val="single" w:sz="2" w:space="0" w:color="000000"/>
            </w:tcBorders>
            <w:shd w:fill="2AD2C9" w:val="clear"/>
            <w:tcMar>
              <w:left w:w="0" w:type="dxa"/>
            </w:tcMar>
            <w:vAlign w:val="center"/>
          </w:tcPr>
          <w:p>
            <w:pPr>
              <w:pStyle w:val="TableContents"/>
              <w:bidi w:val="0"/>
              <w:spacing w:before="0" w:after="0"/>
              <w:jc w:val="center"/>
              <w:rPr>
                <w:rFonts w:ascii="Calibri;sans-serif" w:hAnsi="Calibri;sans-serif"/>
                <w:b/>
                <w:color w:val="FFFFFF"/>
                <w:sz w:val="16"/>
              </w:rPr>
            </w:pPr>
            <w:r>
              <w:rPr>
                <w:rFonts w:ascii="Calibri;sans-serif" w:hAnsi="Calibri;sans-serif"/>
                <w:b/>
                <w:color w:val="FFFFFF"/>
                <w:sz w:val="16"/>
              </w:rPr>
              <w:t>Prima AFP</w:t>
            </w:r>
          </w:p>
        </w:tc>
        <w:tc>
          <w:tcPr>
            <w:tcW w:w="710" w:type="dxa"/>
            <w:tcBorders>
              <w:top w:val="single" w:sz="2" w:space="0" w:color="000000"/>
              <w:bottom w:val="single" w:sz="2" w:space="0" w:color="000000"/>
              <w:right w:val="single" w:sz="2" w:space="0" w:color="000000"/>
            </w:tcBorders>
            <w:shd w:fill="2AD2C9" w:val="clear"/>
            <w:tcMar>
              <w:left w:w="0" w:type="dxa"/>
            </w:tcMar>
            <w:vAlign w:val="center"/>
          </w:tcPr>
          <w:p>
            <w:pPr>
              <w:pStyle w:val="TableContents"/>
              <w:bidi w:val="0"/>
              <w:spacing w:before="0" w:after="0"/>
              <w:jc w:val="center"/>
              <w:rPr>
                <w:rFonts w:ascii="Calibri;sans-serif" w:hAnsi="Calibri;sans-serif"/>
                <w:b/>
                <w:color w:val="FFFFFF"/>
                <w:sz w:val="16"/>
              </w:rPr>
            </w:pPr>
            <w:r>
              <w:rPr>
                <w:rFonts w:ascii="Calibri;sans-serif" w:hAnsi="Calibri;sans-serif"/>
                <w:b/>
                <w:color w:val="FFFFFF"/>
                <w:sz w:val="16"/>
              </w:rPr>
              <w:t>Credicorp</w:t>
            </w:r>
          </w:p>
        </w:tc>
      </w:tr>
      <w:tr>
        <w:trPr/>
        <w:tc>
          <w:tcPr>
            <w:tcW w:w="1055" w:type="dxa"/>
            <w:tcBorders>
              <w:left w:val="single" w:sz="2" w:space="0" w:color="000000"/>
              <w:right w:val="single" w:sz="2" w:space="0" w:color="000000"/>
            </w:tcBorders>
            <w:tcMar>
              <w:top w:w="0" w:type="dxa"/>
              <w:bottom w:w="0" w:type="dxa"/>
            </w:tcMar>
            <w:vAlign w:val="center"/>
          </w:tcPr>
          <w:p>
            <w:pPr>
              <w:pStyle w:val="TableContents"/>
              <w:bidi w:val="0"/>
              <w:spacing w:before="0" w:after="0"/>
              <w:jc w:val="center"/>
              <w:rPr>
                <w:rFonts w:ascii="Calibri;sans-serif" w:hAnsi="Calibri;sans-serif"/>
                <w:b/>
                <w:sz w:val="16"/>
              </w:rPr>
            </w:pPr>
            <w:r>
              <w:rPr>
                <w:rFonts w:ascii="Calibri;sans-serif" w:hAnsi="Calibri;sans-serif"/>
                <w:b/>
                <w:sz w:val="16"/>
              </w:rPr>
              <w:t>2Q22</w:t>
            </w:r>
          </w:p>
        </w:tc>
        <w:tc>
          <w:tcPr>
            <w:tcW w:w="84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41.5%</w:t>
            </w:r>
          </w:p>
        </w:tc>
        <w:tc>
          <w:tcPr>
            <w:tcW w:w="78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58.0%</w:t>
            </w:r>
          </w:p>
        </w:tc>
        <w:tc>
          <w:tcPr>
            <w:tcW w:w="99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50.4%</w:t>
            </w:r>
          </w:p>
        </w:tc>
        <w:tc>
          <w:tcPr>
            <w:tcW w:w="132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75.8%</w:t>
            </w:r>
          </w:p>
        </w:tc>
        <w:tc>
          <w:tcPr>
            <w:tcW w:w="66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42.3%</w:t>
            </w:r>
          </w:p>
        </w:tc>
        <w:tc>
          <w:tcPr>
            <w:tcW w:w="1220"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102.7%</w:t>
            </w:r>
          </w:p>
        </w:tc>
        <w:tc>
          <w:tcPr>
            <w:tcW w:w="66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33.9%</w:t>
            </w:r>
          </w:p>
        </w:tc>
        <w:tc>
          <w:tcPr>
            <w:tcW w:w="725" w:type="dxa"/>
            <w:tcBorders>
              <w:right w:val="single" w:sz="2" w:space="0" w:color="000000"/>
            </w:tcBorders>
            <w:tcMar>
              <w:top w:w="0" w:type="dxa"/>
              <w:left w:w="0" w:type="dxa"/>
              <w:bottom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52.6%</w:t>
            </w:r>
          </w:p>
        </w:tc>
        <w:tc>
          <w:tcPr>
            <w:tcW w:w="710" w:type="dxa"/>
            <w:tcBorders>
              <w:right w:val="single" w:sz="2" w:space="0" w:color="000000"/>
            </w:tcBorders>
            <w:tcMar>
              <w:top w:w="0" w:type="dxa"/>
              <w:left w:w="0" w:type="dxa"/>
              <w:bottom w:w="0" w:type="dxa"/>
            </w:tcMar>
            <w:vAlign w:val="center"/>
          </w:tcPr>
          <w:p>
            <w:pPr>
              <w:pStyle w:val="TableContents"/>
              <w:bidi w:val="0"/>
              <w:spacing w:before="0" w:after="0"/>
              <w:jc w:val="center"/>
              <w:rPr>
                <w:rFonts w:ascii="Calibri;sans-serif" w:hAnsi="Calibri;sans-serif"/>
                <w:sz w:val="16"/>
              </w:rPr>
            </w:pPr>
            <w:r>
              <w:rPr>
                <w:rFonts w:ascii="Calibri;sans-serif" w:hAnsi="Calibri;sans-serif"/>
                <w:sz w:val="16"/>
              </w:rPr>
              <w:t>47.7%</w:t>
            </w:r>
          </w:p>
        </w:tc>
      </w:tr>
      <w:tr>
        <w:trPr/>
        <w:tc>
          <w:tcPr>
            <w:tcW w:w="1055" w:type="dxa"/>
            <w:tcBorders>
              <w:left w:val="single" w:sz="2" w:space="0" w:color="000000"/>
              <w:right w:val="single" w:sz="2" w:space="0" w:color="000000"/>
            </w:tcBorders>
            <w:tcMar>
              <w:top w:w="0" w:type="dxa"/>
              <w:bottom w:w="0" w:type="dxa"/>
            </w:tcMar>
            <w:vAlign w:val="center"/>
          </w:tcPr>
          <w:p>
            <w:pPr>
              <w:pStyle w:val="TableContents"/>
              <w:bidi w:val="0"/>
              <w:spacing w:before="0" w:after="0"/>
              <w:jc w:val="center"/>
              <w:rPr>
                <w:rFonts w:ascii="Calibri;sans-serif" w:hAnsi="Calibri;sans-serif"/>
                <w:b/>
                <w:sz w:val="16"/>
              </w:rPr>
            </w:pPr>
            <w:r>
              <w:rPr>
                <w:rFonts w:ascii="Calibri;sans-serif" w:hAnsi="Calibri;sans-serif"/>
                <w:b/>
                <w:sz w:val="16"/>
              </w:rPr>
              <w:t>1Q23</w:t>
            </w:r>
          </w:p>
        </w:tc>
        <w:tc>
          <w:tcPr>
            <w:tcW w:w="84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36.8%</w:t>
            </w:r>
          </w:p>
        </w:tc>
        <w:tc>
          <w:tcPr>
            <w:tcW w:w="78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60.2%</w:t>
            </w:r>
          </w:p>
        </w:tc>
        <w:tc>
          <w:tcPr>
            <w:tcW w:w="99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54.1%</w:t>
            </w:r>
          </w:p>
        </w:tc>
        <w:tc>
          <w:tcPr>
            <w:tcW w:w="132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93.2%</w:t>
            </w:r>
          </w:p>
        </w:tc>
        <w:tc>
          <w:tcPr>
            <w:tcW w:w="66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34.8%</w:t>
            </w:r>
          </w:p>
        </w:tc>
        <w:tc>
          <w:tcPr>
            <w:tcW w:w="1220"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131.4%</w:t>
            </w:r>
          </w:p>
        </w:tc>
        <w:tc>
          <w:tcPr>
            <w:tcW w:w="66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21.7%</w:t>
            </w:r>
          </w:p>
        </w:tc>
        <w:tc>
          <w:tcPr>
            <w:tcW w:w="725" w:type="dxa"/>
            <w:tcBorders>
              <w:right w:val="single" w:sz="2" w:space="0" w:color="000000"/>
            </w:tcBorders>
            <w:tcMar>
              <w:top w:w="0" w:type="dxa"/>
              <w:left w:w="0" w:type="dxa"/>
              <w:bottom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49.6%</w:t>
            </w:r>
          </w:p>
        </w:tc>
        <w:tc>
          <w:tcPr>
            <w:tcW w:w="710" w:type="dxa"/>
            <w:tcBorders>
              <w:right w:val="single" w:sz="2" w:space="0" w:color="000000"/>
            </w:tcBorders>
            <w:tcMar>
              <w:top w:w="0" w:type="dxa"/>
              <w:left w:w="0" w:type="dxa"/>
              <w:bottom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44.3%</w:t>
            </w:r>
          </w:p>
        </w:tc>
      </w:tr>
      <w:tr>
        <w:trPr/>
        <w:tc>
          <w:tcPr>
            <w:tcW w:w="1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jc w:val="center"/>
              <w:rPr>
                <w:rFonts w:ascii="Calibri;sans-serif" w:hAnsi="Calibri;sans-serif"/>
                <w:b/>
                <w:sz w:val="16"/>
              </w:rPr>
            </w:pPr>
            <w:r>
              <w:rPr>
                <w:rFonts w:ascii="Calibri;sans-serif" w:hAnsi="Calibri;sans-serif"/>
                <w:b/>
                <w:sz w:val="16"/>
              </w:rPr>
              <w:t>2Q23</w:t>
            </w:r>
          </w:p>
        </w:tc>
        <w:tc>
          <w:tcPr>
            <w:tcW w:w="84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37.3%</w:t>
            </w:r>
          </w:p>
        </w:tc>
        <w:tc>
          <w:tcPr>
            <w:tcW w:w="78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60.7%</w:t>
            </w:r>
          </w:p>
        </w:tc>
        <w:tc>
          <w:tcPr>
            <w:tcW w:w="99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52.4%</w:t>
            </w:r>
          </w:p>
        </w:tc>
        <w:tc>
          <w:tcPr>
            <w:tcW w:w="132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88.8%</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34.5%</w:t>
            </w:r>
          </w:p>
        </w:tc>
        <w:tc>
          <w:tcPr>
            <w:tcW w:w="1220"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137.6%</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28.4%</w:t>
            </w:r>
          </w:p>
        </w:tc>
        <w:tc>
          <w:tcPr>
            <w:tcW w:w="725"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49.8%</w:t>
            </w:r>
          </w:p>
        </w:tc>
        <w:tc>
          <w:tcPr>
            <w:tcW w:w="710"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44.6%</w:t>
            </w:r>
          </w:p>
        </w:tc>
      </w:tr>
      <w:tr>
        <w:trPr/>
        <w:tc>
          <w:tcPr>
            <w:tcW w:w="1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jc w:val="center"/>
              <w:rPr>
                <w:rFonts w:ascii="Calibri;sans-serif" w:hAnsi="Calibri;sans-serif"/>
                <w:b/>
                <w:color w:val="000000"/>
                <w:sz w:val="16"/>
              </w:rPr>
            </w:pPr>
            <w:r>
              <w:rPr>
                <w:rFonts w:ascii="Calibri;sans-serif" w:hAnsi="Calibri;sans-serif"/>
                <w:b/>
                <w:color w:val="000000"/>
                <w:sz w:val="16"/>
              </w:rPr>
              <w:t>Var. QoQ</w:t>
            </w:r>
          </w:p>
        </w:tc>
        <w:tc>
          <w:tcPr>
            <w:tcW w:w="84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50 bps</w:t>
            </w:r>
          </w:p>
        </w:tc>
        <w:tc>
          <w:tcPr>
            <w:tcW w:w="78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50 bps</w:t>
            </w:r>
          </w:p>
        </w:tc>
        <w:tc>
          <w:tcPr>
            <w:tcW w:w="99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-170 bps</w:t>
            </w:r>
          </w:p>
        </w:tc>
        <w:tc>
          <w:tcPr>
            <w:tcW w:w="132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-440 bps</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-30 bps</w:t>
            </w:r>
          </w:p>
        </w:tc>
        <w:tc>
          <w:tcPr>
            <w:tcW w:w="1220"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620 bps</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670 bps</w:t>
            </w:r>
          </w:p>
        </w:tc>
        <w:tc>
          <w:tcPr>
            <w:tcW w:w="725"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20 bps</w:t>
            </w:r>
          </w:p>
        </w:tc>
        <w:tc>
          <w:tcPr>
            <w:tcW w:w="710"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30 bps</w:t>
            </w:r>
          </w:p>
        </w:tc>
      </w:tr>
      <w:tr>
        <w:trPr/>
        <w:tc>
          <w:tcPr>
            <w:tcW w:w="1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jc w:val="center"/>
              <w:rPr>
                <w:rFonts w:ascii="Calibri;sans-serif" w:hAnsi="Calibri;sans-serif"/>
                <w:b/>
                <w:sz w:val="16"/>
              </w:rPr>
            </w:pPr>
            <w:r>
              <w:rPr>
                <w:rFonts w:ascii="Calibri;sans-serif" w:hAnsi="Calibri;sans-serif"/>
                <w:b/>
                <w:sz w:val="16"/>
              </w:rPr>
              <w:t>Var. YoY</w:t>
            </w:r>
          </w:p>
        </w:tc>
        <w:tc>
          <w:tcPr>
            <w:tcW w:w="84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r>
              <w:rPr>
                <w:rFonts w:ascii="Calibri;sans-serif" w:hAnsi="Calibri;sans-serif"/>
                <w:b/>
                <w:sz w:val="16"/>
              </w:rPr>
              <w:t>-420 bps</w:t>
            </w:r>
          </w:p>
        </w:tc>
        <w:tc>
          <w:tcPr>
            <w:tcW w:w="78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r>
              <w:rPr>
                <w:rFonts w:ascii="Calibri;sans-serif" w:hAnsi="Calibri;sans-serif"/>
                <w:b/>
                <w:sz w:val="16"/>
              </w:rPr>
              <w:t>270 bps</w:t>
            </w:r>
          </w:p>
        </w:tc>
        <w:tc>
          <w:tcPr>
            <w:tcW w:w="99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r>
              <w:rPr>
                <w:rFonts w:ascii="Calibri;sans-serif" w:hAnsi="Calibri;sans-serif"/>
                <w:b/>
                <w:sz w:val="16"/>
              </w:rPr>
              <w:t>200 bps</w:t>
            </w:r>
          </w:p>
        </w:tc>
        <w:tc>
          <w:tcPr>
            <w:tcW w:w="132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r>
              <w:rPr>
                <w:rFonts w:ascii="Calibri;sans-serif" w:hAnsi="Calibri;sans-serif"/>
                <w:b/>
                <w:sz w:val="16"/>
              </w:rPr>
              <w:t>1300 bps</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r>
              <w:rPr>
                <w:rFonts w:ascii="Calibri;sans-serif" w:hAnsi="Calibri;sans-serif"/>
                <w:b/>
                <w:sz w:val="16"/>
              </w:rPr>
              <w:t>-780 bps</w:t>
            </w:r>
          </w:p>
        </w:tc>
        <w:tc>
          <w:tcPr>
            <w:tcW w:w="1220"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r>
              <w:rPr>
                <w:rFonts w:ascii="Calibri;sans-serif" w:hAnsi="Calibri;sans-serif"/>
                <w:b/>
                <w:sz w:val="16"/>
              </w:rPr>
              <w:t>3490 bps</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r>
              <w:rPr>
                <w:rFonts w:ascii="Calibri;sans-serif" w:hAnsi="Calibri;sans-serif"/>
                <w:b/>
                <w:sz w:val="16"/>
              </w:rPr>
              <w:t>-550 bps</w:t>
            </w:r>
          </w:p>
        </w:tc>
        <w:tc>
          <w:tcPr>
            <w:tcW w:w="725"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pPr>
            <w:r>
              <w:rPr/>
              <w:t> </w:t>
            </w:r>
            <w:r>
              <w:rPr>
                <w:rFonts w:ascii="Calibri;sans-serif" w:hAnsi="Calibri;sans-serif"/>
                <w:b/>
                <w:sz w:val="16"/>
              </w:rPr>
              <w:t>-280 bps</w:t>
            </w:r>
          </w:p>
        </w:tc>
        <w:tc>
          <w:tcPr>
            <w:tcW w:w="710"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pPr>
            <w:r>
              <w:rPr/>
              <w:t> </w:t>
            </w:r>
            <w:r>
              <w:rPr>
                <w:rFonts w:ascii="Calibri;sans-serif" w:hAnsi="Calibri;sans-serif"/>
                <w:b/>
                <w:sz w:val="16"/>
              </w:rPr>
              <w:t>-310 bps</w:t>
            </w:r>
          </w:p>
        </w:tc>
      </w:tr>
      <w:tr>
        <w:trPr/>
        <w:tc>
          <w:tcPr>
            <w:tcW w:w="105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p>
        </w:tc>
        <w:tc>
          <w:tcPr>
            <w:tcW w:w="84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p>
        </w:tc>
        <w:tc>
          <w:tcPr>
            <w:tcW w:w="99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p>
        </w:tc>
        <w:tc>
          <w:tcPr>
            <w:tcW w:w="132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p>
        </w:tc>
        <w:tc>
          <w:tcPr>
            <w:tcW w:w="1220"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pPr>
            <w:r>
              <w:rPr/>
              <w:t> </w:t>
            </w:r>
          </w:p>
        </w:tc>
        <w:tc>
          <w:tcPr>
            <w:tcW w:w="72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55" w:type="dxa"/>
            <w:tcBorders>
              <w:left w:val="single" w:sz="2" w:space="0" w:color="000000"/>
              <w:right w:val="single" w:sz="2" w:space="0" w:color="000000"/>
            </w:tcBorders>
            <w:tcMar>
              <w:top w:w="0" w:type="dxa"/>
              <w:bottom w:w="0" w:type="dxa"/>
            </w:tcMar>
            <w:vAlign w:val="center"/>
          </w:tcPr>
          <w:p>
            <w:pPr>
              <w:pStyle w:val="TableContents"/>
              <w:bidi w:val="0"/>
              <w:spacing w:before="0" w:after="0"/>
              <w:jc w:val="center"/>
              <w:rPr>
                <w:rFonts w:ascii="Calibri;sans-serif" w:hAnsi="Calibri;sans-serif"/>
                <w:b/>
                <w:sz w:val="16"/>
              </w:rPr>
            </w:pPr>
            <w:r>
              <w:rPr>
                <w:rFonts w:ascii="Calibri;sans-serif" w:hAnsi="Calibri;sans-serif"/>
                <w:b/>
                <w:sz w:val="16"/>
              </w:rPr>
              <w:t>Jun 22</w:t>
            </w:r>
          </w:p>
        </w:tc>
        <w:tc>
          <w:tcPr>
            <w:tcW w:w="84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41.1%</w:t>
            </w:r>
          </w:p>
        </w:tc>
        <w:tc>
          <w:tcPr>
            <w:tcW w:w="78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58.9%</w:t>
            </w:r>
          </w:p>
        </w:tc>
        <w:tc>
          <w:tcPr>
            <w:tcW w:w="99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51.6%</w:t>
            </w:r>
          </w:p>
        </w:tc>
        <w:tc>
          <w:tcPr>
            <w:tcW w:w="132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77.3%</w:t>
            </w:r>
          </w:p>
        </w:tc>
        <w:tc>
          <w:tcPr>
            <w:tcW w:w="66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39.0%</w:t>
            </w:r>
          </w:p>
        </w:tc>
        <w:tc>
          <w:tcPr>
            <w:tcW w:w="1220"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102.3%</w:t>
            </w:r>
          </w:p>
        </w:tc>
        <w:tc>
          <w:tcPr>
            <w:tcW w:w="665" w:type="dxa"/>
            <w:tcBorders/>
            <w:tcMar>
              <w:top w:w="0" w:type="dxa"/>
              <w:left w:w="0" w:type="dxa"/>
              <w:bottom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32.9%</w:t>
            </w:r>
          </w:p>
        </w:tc>
        <w:tc>
          <w:tcPr>
            <w:tcW w:w="725" w:type="dxa"/>
            <w:tcBorders>
              <w:right w:val="single" w:sz="2" w:space="0" w:color="000000"/>
            </w:tcBorders>
            <w:tcMar>
              <w:top w:w="0" w:type="dxa"/>
              <w:left w:w="0" w:type="dxa"/>
              <w:bottom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53.5%</w:t>
            </w:r>
          </w:p>
        </w:tc>
        <w:tc>
          <w:tcPr>
            <w:tcW w:w="710" w:type="dxa"/>
            <w:tcBorders>
              <w:right w:val="single" w:sz="2" w:space="0" w:color="000000"/>
            </w:tcBorders>
            <w:tcMar>
              <w:top w:w="0" w:type="dxa"/>
              <w:left w:w="0" w:type="dxa"/>
              <w:bottom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47.5%</w:t>
            </w:r>
          </w:p>
        </w:tc>
      </w:tr>
      <w:tr>
        <w:trPr/>
        <w:tc>
          <w:tcPr>
            <w:tcW w:w="1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jc w:val="center"/>
              <w:rPr>
                <w:rFonts w:ascii="Calibri;sans-serif" w:hAnsi="Calibri;sans-serif"/>
                <w:b/>
                <w:color w:val="000000"/>
                <w:sz w:val="16"/>
              </w:rPr>
            </w:pPr>
            <w:r>
              <w:rPr>
                <w:rFonts w:ascii="Calibri;sans-serif" w:hAnsi="Calibri;sans-serif"/>
                <w:b/>
                <w:color w:val="000000"/>
                <w:sz w:val="16"/>
              </w:rPr>
              <w:t>Jun 23</w:t>
            </w:r>
          </w:p>
        </w:tc>
        <w:tc>
          <w:tcPr>
            <w:tcW w:w="84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37.1%</w:t>
            </w:r>
          </w:p>
        </w:tc>
        <w:tc>
          <w:tcPr>
            <w:tcW w:w="78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60.5%</w:t>
            </w:r>
          </w:p>
        </w:tc>
        <w:tc>
          <w:tcPr>
            <w:tcW w:w="99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53.2%</w:t>
            </w:r>
          </w:p>
        </w:tc>
        <w:tc>
          <w:tcPr>
            <w:tcW w:w="132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91.0%</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34.7%</w:t>
            </w:r>
          </w:p>
        </w:tc>
        <w:tc>
          <w:tcPr>
            <w:tcW w:w="1220"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134.5%</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24.8%</w:t>
            </w:r>
          </w:p>
        </w:tc>
        <w:tc>
          <w:tcPr>
            <w:tcW w:w="725"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49.7%</w:t>
            </w:r>
          </w:p>
        </w:tc>
        <w:tc>
          <w:tcPr>
            <w:tcW w:w="710"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rFonts w:ascii="Calibri;sans-serif" w:hAnsi="Calibri;sans-serif"/>
                <w:color w:val="000000"/>
                <w:sz w:val="16"/>
              </w:rPr>
            </w:pPr>
            <w:r>
              <w:rPr>
                <w:rFonts w:ascii="Calibri;sans-serif" w:hAnsi="Calibri;sans-serif"/>
                <w:color w:val="000000"/>
                <w:sz w:val="16"/>
              </w:rPr>
              <w:t>44.4%</w:t>
            </w:r>
          </w:p>
        </w:tc>
      </w:tr>
      <w:tr>
        <w:trPr/>
        <w:tc>
          <w:tcPr>
            <w:tcW w:w="1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jc w:val="center"/>
              <w:rPr>
                <w:rFonts w:ascii="Calibri;sans-serif" w:hAnsi="Calibri;sans-serif"/>
                <w:b/>
                <w:color w:val="000000"/>
                <w:sz w:val="16"/>
              </w:rPr>
            </w:pPr>
            <w:r>
              <w:rPr>
                <w:rFonts w:ascii="Calibri;sans-serif" w:hAnsi="Calibri;sans-serif"/>
                <w:b/>
                <w:color w:val="000000"/>
                <w:sz w:val="16"/>
              </w:rPr>
              <w:t>% change</w:t>
              <w:br/>
              <w:t>Jun 23 / Jun 22</w:t>
            </w:r>
          </w:p>
        </w:tc>
        <w:tc>
          <w:tcPr>
            <w:tcW w:w="84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-400 bps</w:t>
            </w:r>
          </w:p>
        </w:tc>
        <w:tc>
          <w:tcPr>
            <w:tcW w:w="78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160 bps</w:t>
            </w:r>
          </w:p>
        </w:tc>
        <w:tc>
          <w:tcPr>
            <w:tcW w:w="99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160 bps</w:t>
            </w:r>
          </w:p>
        </w:tc>
        <w:tc>
          <w:tcPr>
            <w:tcW w:w="132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1370 bps</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-430 bps</w:t>
            </w:r>
          </w:p>
        </w:tc>
        <w:tc>
          <w:tcPr>
            <w:tcW w:w="1220"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3220 bps</w:t>
            </w:r>
          </w:p>
        </w:tc>
        <w:tc>
          <w:tcPr>
            <w:tcW w:w="665" w:type="dxa"/>
            <w:tcBorders>
              <w:bottom w:val="single" w:sz="2" w:space="0" w:color="000000"/>
            </w:tcBorders>
            <w:tcMar>
              <w:top w:w="0" w:type="dxa"/>
              <w:left w:w="0" w:type="dxa"/>
              <w:righ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-810 bps</w:t>
            </w:r>
          </w:p>
        </w:tc>
        <w:tc>
          <w:tcPr>
            <w:tcW w:w="725"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-380 bps</w:t>
            </w:r>
          </w:p>
        </w:tc>
        <w:tc>
          <w:tcPr>
            <w:tcW w:w="710" w:type="dxa"/>
            <w:tcBorders>
              <w:bottom w:val="single" w:sz="2" w:space="0" w:color="000000"/>
              <w:right w:val="single" w:sz="2" w:space="0" w:color="000000"/>
            </w:tcBorders>
            <w:tcMar>
              <w:top w:w="0" w:type="dxa"/>
              <w:left w:w="0" w:type="dxa"/>
            </w:tcMar>
            <w:vAlign w:val="center"/>
          </w:tcPr>
          <w:p>
            <w:pPr>
              <w:pStyle w:val="TableContents"/>
              <w:bidi w:val="0"/>
              <w:spacing w:before="0" w:after="0"/>
              <w:jc w:val="center"/>
              <w:rPr>
                <w:color w:val="000000"/>
              </w:rPr>
            </w:pPr>
            <w:r>
              <w:rPr>
                <w:color w:val="000000"/>
              </w:rPr>
              <w:t> </w:t>
            </w:r>
            <w:r>
              <w:rPr>
                <w:rFonts w:ascii="Calibri;sans-serif" w:hAnsi="Calibri;sans-serif"/>
                <w:b/>
                <w:color w:val="000000"/>
                <w:sz w:val="16"/>
              </w:rPr>
              <w:t>-310 bps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analysis is based on movements at the YTD level to eliminate the impact of seasonality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efficiency ratio improved, driven primarily by growth in core income at </w:t>
      </w:r>
      <w:r>
        <w:rPr>
          <w:rFonts w:ascii="Arial;Helvetica;Sans-Serif" w:hAnsi="Arial;Helvetica;Sans-Serif"/>
          <w:b/>
          <w:i w:val="false"/>
          <w:caps w:val="false"/>
          <w:smallCaps w:val="false"/>
          <w:sz w:val="20"/>
        </w:rPr>
        <w:t>BCP Stand-alone</w:t>
      </w:r>
      <w:r>
        <w:rPr>
          <w:rFonts w:ascii="Arial;Helvetica;Sans-Serif" w:hAnsi="Arial;Helvetica;Sans-Serif"/>
          <w:b w:val="false"/>
          <w:i w:val="false"/>
          <w:caps w:val="false"/>
          <w:smallCaps w:val="false"/>
          <w:sz w:val="20"/>
        </w:rPr>
        <w:t xml:space="preserve"> and by growth of Insurance Underwriting Results at Pacifico.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Additionally, if we exclude disruptive initiatives at Credicorp, the YTD efficiency ratio at the end of June 2023 would be 40.4.%.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39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3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85" descr=""/>
                          <pic:cNvPicPr>
                            <a:picLocks noChangeAspect="1" noChangeArrowheads="1"/>
                          </pic:cNvPicPr>
                        </pic:nvPicPr>
                        <pic:blipFill>
                          <a:blip r:embed="rId102"/>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575"/>
        <w:gridCol w:w="2945"/>
      </w:tblGrid>
      <w:tr>
        <w:trPr/>
        <w:tc>
          <w:tcPr>
            <w:tcW w:w="575" w:type="dxa"/>
            <w:tcBorders/>
            <w:vAlign w:val="center"/>
          </w:tcPr>
          <w:p>
            <w:pPr>
              <w:pStyle w:val="TableContents"/>
              <w:bidi w:val="0"/>
              <w:spacing w:before="0" w:after="283"/>
              <w:jc w:val="left"/>
              <w:rPr>
                <w:rFonts w:ascii="Arial;Helvetica;Sans-Serif" w:hAnsi="Arial;Helvetica;Sans-Serif"/>
                <w:b/>
                <w:i w:val="false"/>
                <w:caps w:val="false"/>
                <w:smallCaps w:val="false"/>
                <w:color w:val="E93CAC"/>
                <w:sz w:val="48"/>
              </w:rPr>
            </w:pPr>
            <w:r>
              <w:rPr>
                <w:rFonts w:ascii="Arial;Helvetica;Sans-Serif" w:hAnsi="Arial;Helvetica;Sans-Serif"/>
                <w:b/>
                <w:i w:val="false"/>
                <w:caps w:val="false"/>
                <w:smallCaps w:val="false"/>
                <w:color w:val="E93CAC"/>
                <w:sz w:val="48"/>
              </w:rPr>
              <w:t>10</w:t>
            </w:r>
          </w:p>
        </w:tc>
        <w:tc>
          <w:tcPr>
            <w:tcW w:w="294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E93CAC"/>
                <w:sz w:val="36"/>
              </w:rPr>
            </w:pPr>
            <w:r>
              <w:rPr>
                <w:rFonts w:ascii="Arial;Helvetica;Sans-Serif" w:hAnsi="Arial;Helvetica;Sans-Serif"/>
                <w:b w:val="false"/>
                <w:i w:val="false"/>
                <w:caps w:val="false"/>
                <w:smallCaps w:val="false"/>
                <w:color w:val="E93CAC"/>
                <w:sz w:val="36"/>
              </w:rPr>
              <w:t>Regulatory Capital</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Credicorp’s Regulatory Capital stood 1.46 times above the minimum requirement required by the regulatory entity.</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The IFRS CET1 Ratio at BCP Stand-alone rose 123 bps YoY to stand at 12.8%. An uptick in the balance of Retained Earnings (+38.1%), coupled with a drop in Unrealized Losses (-74.9%) drove this dynamic.</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The IFRS CET1 Ratio at Mibanco increased 157 bps YoY to stand at 16.6%. Growth in Capital and Reserves (+27.2%) and a drop in Unrealized Losses (-55.5%) fueled this evolution.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10.1 Credicorp’s Regulatory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5"/>
        <w:gridCol w:w="60"/>
        <w:gridCol w:w="5340"/>
      </w:tblGrid>
      <w:tr>
        <w:trPr/>
        <w:tc>
          <w:tcPr>
            <w:tcW w:w="4805"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Credicorp’s Regulatory Capital Ratio stood 1.46 times above the figure required by the regulatory entity at the end of 2Q23. In the QoQ analysis, the ratio rose 3 bps. Growth was driven by an uptick in regulatory capital through growth in the volume of discretionary reserves.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YoY analysis, the Regulatory Capital Ratio dropped 10 bps. This evolution was driven by an uptick in the capital requirement for both BCP Stand-alone and Mibanco. The increase in the capital requirement was partially offset by growth in the balance of Discretionary and Restricted Reserves.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4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Figures in millions 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3343275" cy="1847850"/>
                  <wp:effectExtent l="0" t="0" r="0" b="0"/>
                  <wp:docPr id="13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6" descr=""/>
                          <pic:cNvPicPr>
                            <a:picLocks noChangeAspect="1" noChangeArrowheads="1"/>
                          </pic:cNvPicPr>
                        </pic:nvPicPr>
                        <pic:blipFill>
                          <a:blip r:embed="rId103"/>
                          <a:stretch>
                            <a:fillRect/>
                          </a:stretch>
                        </pic:blipFill>
                        <pic:spPr bwMode="auto">
                          <a:xfrm>
                            <a:off x="0" y="0"/>
                            <a:ext cx="3343275" cy="1847850"/>
                          </a:xfrm>
                          <a:prstGeom prst="rect">
                            <a:avLst/>
                          </a:prstGeom>
                        </pic:spPr>
                      </pic:pic>
                    </a:graphicData>
                  </a:graphic>
                </wp:inline>
              </w:drawing>
            </w: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Analysis of capital at the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current local regulations, which has been in effect since January 2023, three regulatory ratios exist: Common Equity Tier 1 (CET 1), Tier 1 Capital and Global Capital. For all effective purposes, Tier 1 Capital is equal to CET 1 Ratio in Credicorp’s case given that we possess no subordinated Tier 1 debt. Additionally, as has been our practice over the last few years, for management purposes, we use the IFRS CET 1 ratio, which differs slightly from regulatory CET 1 (calculated under local accounting); these differences are primarily driven by Provisions and Unrealized Loss accounts. Given the aforementioned, our analysis focuses solely on IFRS CET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10.2 Analysis of Capital at BCP Stand-alone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60"/>
        <w:gridCol w:w="60"/>
        <w:gridCol w:w="4985"/>
      </w:tblGrid>
      <w:tr>
        <w:trPr/>
        <w:tc>
          <w:tcPr>
            <w:tcW w:w="516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3228975" cy="1828800"/>
                  <wp:effectExtent l="0" t="0" r="0" b="0"/>
                  <wp:docPr id="13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7" descr=""/>
                          <pic:cNvPicPr>
                            <a:picLocks noChangeAspect="1" noChangeArrowheads="1"/>
                          </pic:cNvPicPr>
                        </pic:nvPicPr>
                        <pic:blipFill>
                          <a:blip r:embed="rId104"/>
                          <a:stretch>
                            <a:fillRect/>
                          </a:stretch>
                        </pic:blipFill>
                        <pic:spPr bwMode="auto">
                          <a:xfrm>
                            <a:off x="0" y="0"/>
                            <a:ext cx="3228975" cy="1828800"/>
                          </a:xfrm>
                          <a:prstGeom prst="rect">
                            <a:avLst/>
                          </a:prstGeom>
                        </pic:spPr>
                      </pic:pic>
                    </a:graphicData>
                  </a:graphic>
                </wp:inline>
              </w:drawing>
            </w: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85" w:type="dxa"/>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end of 2Q23, IFRS CET 1 at BCP Stand-alone registered an increase of 87 bps QoQ and stood at 12.79% at the end of 2Q23. This was attributable to (i) an uptick in the balance of Retained Earnings and (ii) a reduction in the balance of Unrealized Losses, in line with a drop in sovereign rates. The RWA level registered no significant variations this quarter despite a reduction in the loan volume. YoY, IFRS CET 1 rose 123 bps, driven by the same dynamics outlined in the QoQ analysis.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000000"/>
                <w:sz w:val="20"/>
              </w:rPr>
              <w:t>Finally, under the parameters of current local regulations, the Global Capital Ratio at BCP Stand-alone stood at 17.2% (+75 bps QoQ)</w:t>
            </w:r>
            <w:r>
              <w:rPr>
                <w:rFonts w:ascii="Arial;Helvetica;Sans-Serif" w:hAnsi="Arial;Helvetica;Sans-Serif"/>
                <w:b w:val="false"/>
                <w:i w:val="false"/>
                <w:caps w:val="false"/>
                <w:smallCaps w:val="false"/>
                <w:sz w:val="20"/>
              </w:rPr>
              <w:t>. The uptick in this ratio was generated by the same drivers at those that drove the evolution of IFRS CET 1.</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4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8" descr=""/>
                          <pic:cNvPicPr>
                            <a:picLocks noChangeAspect="1" noChangeArrowheads="1"/>
                          </pic:cNvPicPr>
                        </pic:nvPicPr>
                        <pic:blipFill>
                          <a:blip r:embed="rId105"/>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2360" w:type="dxa"/>
        <w:jc w:val="left"/>
        <w:tblInd w:w="0" w:type="dxa"/>
        <w:tblLayout w:type="fixed"/>
        <w:tblCellMar>
          <w:top w:w="0" w:type="dxa"/>
          <w:left w:w="0" w:type="dxa"/>
          <w:bottom w:w="0" w:type="dxa"/>
          <w:right w:w="0" w:type="dxa"/>
        </w:tblCellMar>
      </w:tblPr>
      <w:tblGrid>
        <w:gridCol w:w="2360"/>
      </w:tblGrid>
      <w:tr>
        <w:trPr/>
        <w:tc>
          <w:tcPr>
            <w:tcW w:w="2360" w:type="dxa"/>
            <w:tcBorders/>
            <w:shd w:fill="E93CAC" w:val="clear"/>
            <w:vAlign w:val="center"/>
          </w:tcPr>
          <w:p>
            <w:pPr>
              <w:pStyle w:val="TableContents"/>
              <w:bidi w:val="0"/>
              <w:spacing w:before="0" w:after="283"/>
              <w:jc w:val="left"/>
              <w:rPr>
                <w:b/>
                <w:color w:val="FFFFFF"/>
                <w:sz w:val="24"/>
              </w:rPr>
            </w:pPr>
            <w:r>
              <w:rPr>
                <w:b/>
                <w:color w:val="FFFFFF"/>
                <w:sz w:val="24"/>
              </w:rPr>
              <w:t>10. Regulatory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10.3 Analysis of Capital at Mibanco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65"/>
        <w:gridCol w:w="60"/>
        <w:gridCol w:w="4880"/>
      </w:tblGrid>
      <w:tr>
        <w:trPr/>
        <w:tc>
          <w:tcPr>
            <w:tcW w:w="526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3295650" cy="1962150"/>
                  <wp:effectExtent l="0" t="0" r="0" b="0"/>
                  <wp:docPr id="14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89" descr=""/>
                          <pic:cNvPicPr>
                            <a:picLocks noChangeAspect="1" noChangeArrowheads="1"/>
                          </pic:cNvPicPr>
                        </pic:nvPicPr>
                        <pic:blipFill>
                          <a:blip r:embed="rId106"/>
                          <a:stretch>
                            <a:fillRect/>
                          </a:stretch>
                        </pic:blipFill>
                        <pic:spPr bwMode="auto">
                          <a:xfrm>
                            <a:off x="0" y="0"/>
                            <a:ext cx="3295650" cy="1962150"/>
                          </a:xfrm>
                          <a:prstGeom prst="rect">
                            <a:avLst/>
                          </a:prstGeom>
                        </pic:spPr>
                      </pic:pic>
                    </a:graphicData>
                  </a:graphic>
                </wp:inline>
              </w:drawing>
            </w: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8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end of 2Q23, the IFRS CET 1 ratio increased 21 bps QoQ. This evolution was spurred by growth in Retained Earning and to a reduction in the balance for Unrealized Losses. The aforementioned was partially offset by an increase in RWAs, which was driven by credit-risk weighted assets and operational risk weighted assets. YoY, this ratio rose 157 bps due to growth in Capital and Reserves.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current local regulation, Mibanco’s Global Capital ratio stood at 18.8% (+2 bps QoQ). This variation was driven by the same dynamics as those seen for IFRS CET 1.</w:t>
            </w:r>
          </w:p>
        </w:tc>
      </w:tr>
    </w:tbl>
    <w:p>
      <w:pPr>
        <w:pStyle w:val="TextBody"/>
        <w:bidi w:val="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4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0" descr=""/>
                          <pic:cNvPicPr>
                            <a:picLocks noChangeAspect="1" noChangeArrowheads="1"/>
                          </pic:cNvPicPr>
                        </pic:nvPicPr>
                        <pic:blipFill>
                          <a:blip r:embed="rId107"/>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575"/>
        <w:gridCol w:w="2930"/>
      </w:tblGrid>
      <w:tr>
        <w:trPr/>
        <w:tc>
          <w:tcPr>
            <w:tcW w:w="575" w:type="dxa"/>
            <w:tcBorders/>
            <w:vAlign w:val="center"/>
          </w:tcPr>
          <w:p>
            <w:pPr>
              <w:pStyle w:val="TableContents"/>
              <w:bidi w:val="0"/>
              <w:spacing w:before="0" w:after="283"/>
              <w:jc w:val="left"/>
              <w:rPr>
                <w:rFonts w:ascii="Arial;Helvetica;Sans-Serif" w:hAnsi="Arial;Helvetica;Sans-Serif"/>
                <w:b/>
                <w:i w:val="false"/>
                <w:caps w:val="false"/>
                <w:smallCaps w:val="false"/>
                <w:color w:val="E93CAC"/>
                <w:sz w:val="48"/>
              </w:rPr>
            </w:pPr>
            <w:r>
              <w:rPr>
                <w:rFonts w:ascii="Arial;Helvetica;Sans-Serif" w:hAnsi="Arial;Helvetica;Sans-Serif"/>
                <w:b/>
                <w:i w:val="false"/>
                <w:caps w:val="false"/>
                <w:smallCaps w:val="false"/>
                <w:color w:val="E93CAC"/>
                <w:sz w:val="48"/>
              </w:rPr>
              <w:t>11</w:t>
            </w:r>
          </w:p>
        </w:tc>
        <w:tc>
          <w:tcPr>
            <w:tcW w:w="293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E93CAC"/>
                <w:sz w:val="36"/>
              </w:rPr>
            </w:pPr>
            <w:r>
              <w:rPr>
                <w:rFonts w:ascii="Arial;Helvetica;Sans-Serif" w:hAnsi="Arial;Helvetica;Sans-Serif"/>
                <w:b w:val="false"/>
                <w:i w:val="false"/>
                <w:caps w:val="false"/>
                <w:smallCaps w:val="false"/>
                <w:color w:val="E93CAC"/>
                <w:sz w:val="36"/>
              </w:rPr>
              <w:t>Economic Outlook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93CAC" w:val="clear"/>
            <w:vAlign w:val="center"/>
          </w:tcPr>
          <w:p>
            <w:pPr>
              <w:pStyle w:val="TableContents"/>
              <w:bidi w:val="0"/>
              <w:spacing w:before="120" w:after="0"/>
              <w:ind w:left="120" w:right="12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In 2Q23, the Peruvian economy would have contracted slightly YoY (1Q23 -0.4% YoY) affected by the impact of the “El Niño Costero” phenomenon and unfavorable weather conditions that caused negative growth rates in the primary sectors. The growth of the mining sector, mainly due to Quellaveco’s copper production and the recovery of production at Las Bambas, offset part of this drop.</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The annual inflation rate closed the quarter at 6.5% YoY, after standing above or close to 8.0% for 14 consecutive months. On the other hand, it is estimated that real GDP will grow 1.0% this year.</w:t>
            </w:r>
          </w:p>
          <w:p>
            <w:pPr>
              <w:pStyle w:val="TableContents"/>
              <w:bidi w:val="0"/>
              <w:spacing w:before="0" w:after="0"/>
              <w:ind w:left="0" w:right="0" w:hanging="0"/>
              <w:jc w:val="both"/>
              <w:rPr>
                <w:caps w:val="false"/>
                <w:smallCaps w:val="false"/>
                <w:color w:val="FFFFFF"/>
              </w:rPr>
            </w:pPr>
            <w:r>
              <w:rPr>
                <w:caps w:val="false"/>
                <w:smallCaps w:val="false"/>
                <w:color w:val="FFFFFF"/>
              </w:rPr>
              <w:t> </w:t>
            </w:r>
          </w:p>
          <w:p>
            <w:pPr>
              <w:pStyle w:val="TableContents"/>
              <w:bidi w:val="0"/>
              <w:spacing w:before="0" w:after="120"/>
              <w:ind w:left="0" w:right="0" w:hanging="0"/>
              <w:jc w:val="both"/>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Using as source the BCRP, the exchange rate closed at USDPEN 3.626 in 2Q23, which represents an appreciation of 3.6% compared to the end of 1Q23 and 5.1% compared to a year ago.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Peru: Economic Forecast</w:t>
      </w:r>
    </w:p>
    <w:p>
      <w:pPr>
        <w:pStyle w:val="TextBody"/>
        <w:bidi w:val="0"/>
        <w:spacing w:before="0" w:after="0"/>
        <w:ind w:left="0" w:right="0" w:hanging="0"/>
        <w:jc w:val="left"/>
        <w:rPr>
          <w:caps w:val="false"/>
          <w:smallCaps w:val="false"/>
        </w:rPr>
      </w:pPr>
      <w:r>
        <w:rPr>
          <w:caps w:val="false"/>
          <w:smallCaps w:val="false"/>
        </w:rPr>
        <w:t> </w:t>
      </w:r>
    </w:p>
    <w:tbl>
      <w:tblPr>
        <w:tblW w:w="8720" w:type="dxa"/>
        <w:jc w:val="left"/>
        <w:tblInd w:w="-10" w:type="dxa"/>
        <w:tblLayout w:type="fixed"/>
        <w:tblCellMar>
          <w:top w:w="100" w:type="dxa"/>
          <w:left w:w="108" w:type="dxa"/>
          <w:bottom w:w="100" w:type="dxa"/>
          <w:right w:w="108" w:type="dxa"/>
        </w:tblCellMar>
      </w:tblPr>
      <w:tblGrid>
        <w:gridCol w:w="4475"/>
        <w:gridCol w:w="695"/>
        <w:gridCol w:w="695"/>
        <w:gridCol w:w="695"/>
        <w:gridCol w:w="695"/>
        <w:gridCol w:w="695"/>
        <w:gridCol w:w="770"/>
      </w:tblGrid>
      <w:tr>
        <w:trPr/>
        <w:tc>
          <w:tcPr>
            <w:tcW w:w="4475" w:type="dxa"/>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center"/>
              <w:rPr>
                <w:b/>
                <w:color w:val="FFFFFF"/>
                <w:sz w:val="20"/>
              </w:rPr>
            </w:pPr>
            <w:r>
              <w:rPr>
                <w:b/>
                <w:color w:val="FFFFFF"/>
                <w:sz w:val="20"/>
              </w:rPr>
              <w:t>Peru</w:t>
            </w:r>
          </w:p>
        </w:tc>
        <w:tc>
          <w:tcPr>
            <w:tcW w:w="695"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sz w:val="20"/>
              </w:rPr>
            </w:pPr>
            <w:r>
              <w:rPr>
                <w:b/>
                <w:color w:val="FFFFFF"/>
                <w:sz w:val="20"/>
              </w:rPr>
              <w:t>2018</w:t>
            </w:r>
          </w:p>
        </w:tc>
        <w:tc>
          <w:tcPr>
            <w:tcW w:w="695"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sz w:val="20"/>
              </w:rPr>
            </w:pPr>
            <w:r>
              <w:rPr>
                <w:b/>
                <w:color w:val="FFFFFF"/>
                <w:sz w:val="20"/>
              </w:rPr>
              <w:t>2019</w:t>
            </w:r>
          </w:p>
        </w:tc>
        <w:tc>
          <w:tcPr>
            <w:tcW w:w="695"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sz w:val="20"/>
              </w:rPr>
            </w:pPr>
            <w:r>
              <w:rPr>
                <w:b/>
                <w:color w:val="FFFFFF"/>
                <w:sz w:val="20"/>
              </w:rPr>
              <w:t>2020</w:t>
            </w:r>
          </w:p>
        </w:tc>
        <w:tc>
          <w:tcPr>
            <w:tcW w:w="695"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sz w:val="20"/>
              </w:rPr>
            </w:pPr>
            <w:r>
              <w:rPr>
                <w:b/>
                <w:color w:val="FFFFFF"/>
                <w:sz w:val="20"/>
              </w:rPr>
              <w:t>2021</w:t>
            </w:r>
          </w:p>
        </w:tc>
        <w:tc>
          <w:tcPr>
            <w:tcW w:w="695"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sz w:val="20"/>
              </w:rPr>
            </w:pPr>
            <w:r>
              <w:rPr>
                <w:b/>
                <w:color w:val="FFFFFF"/>
                <w:sz w:val="20"/>
              </w:rPr>
              <w:t>2022</w:t>
            </w:r>
          </w:p>
        </w:tc>
        <w:tc>
          <w:tcPr>
            <w:tcW w:w="770" w:type="dxa"/>
            <w:tcBorders>
              <w:top w:val="single" w:sz="8" w:space="0" w:color="000000"/>
              <w:bottom w:val="single" w:sz="8" w:space="0" w:color="000000"/>
              <w:right w:val="single" w:sz="8" w:space="0" w:color="000000"/>
            </w:tcBorders>
            <w:shd w:fill="2AD2C9" w:val="clear"/>
            <w:tcMar>
              <w:left w:w="0" w:type="dxa"/>
            </w:tcMar>
            <w:vAlign w:val="center"/>
          </w:tcPr>
          <w:p>
            <w:pPr>
              <w:pStyle w:val="TableContents"/>
              <w:bidi w:val="0"/>
              <w:spacing w:lineRule="auto" w:line="240" w:before="0" w:after="283"/>
              <w:jc w:val="center"/>
              <w:rPr>
                <w:b/>
                <w:color w:val="FFFFFF"/>
                <w:sz w:val="20"/>
              </w:rPr>
            </w:pPr>
            <w:r>
              <w:rPr>
                <w:b/>
                <w:color w:val="FFFFFF"/>
                <w:sz w:val="20"/>
              </w:rPr>
              <w:t>2023  (3)</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GDP (US$ Millions)</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226,919</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232,519</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205,755</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225,803</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244,789</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268,043</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Real GDP (% change)</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4.0</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2.2</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-11.0</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13.3</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2.7</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1.0</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GDP per capita (US$)</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7,190</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7,237</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6,306</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6,835</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7,330</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7,933</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Domestic demand (% change)</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4.1</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2.2</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-9.8</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14.5</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2.3</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-0.2</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Gross fixed investment (as % GDP)</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22.4</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21.8</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19.9</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21.6</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22.0</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20.8</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Financial system loan without Reactiva (% change) (1)</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10.3</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6.4</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-4.3</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12.6</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9.7</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2.9</w:t>
            </w:r>
          </w:p>
        </w:tc>
      </w:tr>
      <w:tr>
        <w:trPr/>
        <w:tc>
          <w:tcPr>
            <w:tcW w:w="447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20"/>
              </w:rPr>
            </w:pPr>
            <w:r>
              <w:rPr>
                <w:sz w:val="20"/>
              </w:rPr>
              <w:t>Inflation, end of period(2)</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2.2</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1.9</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2.0</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6.4</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8.5</w:t>
            </w:r>
          </w:p>
        </w:tc>
        <w:tc>
          <w:tcPr>
            <w:tcW w:w="770" w:type="dxa"/>
            <w:tcBorders>
              <w:bottom w:val="single" w:sz="8" w:space="0" w:color="000000"/>
              <w:right w:val="single" w:sz="8" w:space="0" w:color="000000"/>
            </w:tcBorders>
            <w:shd w:fill="E7E6E6" w:val="clear"/>
            <w:tcMar>
              <w:top w:w="0" w:type="dxa"/>
              <w:left w:w="0" w:type="dxa"/>
              <w:bottom w:w="28" w:type="dxa"/>
            </w:tcMar>
            <w:vAlign w:val="center"/>
          </w:tcPr>
          <w:p>
            <w:pPr>
              <w:pStyle w:val="TableContents"/>
              <w:bidi w:val="0"/>
              <w:spacing w:before="0" w:after="283"/>
              <w:jc w:val="center"/>
              <w:rPr>
                <w:sz w:val="20"/>
              </w:rPr>
            </w:pPr>
            <w:r>
              <w:rPr>
                <w:sz w:val="20"/>
              </w:rPr>
              <w:t>4.0</w:t>
            </w:r>
          </w:p>
        </w:tc>
      </w:tr>
      <w:tr>
        <w:trPr/>
        <w:tc>
          <w:tcPr>
            <w:tcW w:w="447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20"/>
              </w:rPr>
            </w:pPr>
            <w:r>
              <w:rPr>
                <w:sz w:val="20"/>
              </w:rPr>
              <w:t>Reference Rate, end of period</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2.8</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2.3</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0.3</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2.5</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7.5</w:t>
            </w:r>
          </w:p>
        </w:tc>
        <w:tc>
          <w:tcPr>
            <w:tcW w:w="770" w:type="dxa"/>
            <w:tcBorders>
              <w:bottom w:val="single" w:sz="8" w:space="0" w:color="000000"/>
              <w:right w:val="single" w:sz="8" w:space="0" w:color="000000"/>
            </w:tcBorders>
            <w:shd w:fill="E7E6E6" w:val="clear"/>
            <w:tcMar>
              <w:top w:w="0" w:type="dxa"/>
              <w:left w:w="0" w:type="dxa"/>
              <w:bottom w:w="28" w:type="dxa"/>
            </w:tcMar>
            <w:vAlign w:val="center"/>
          </w:tcPr>
          <w:p>
            <w:pPr>
              <w:pStyle w:val="TableContents"/>
              <w:bidi w:val="0"/>
              <w:spacing w:before="0" w:after="283"/>
              <w:jc w:val="center"/>
              <w:rPr>
                <w:sz w:val="20"/>
              </w:rPr>
            </w:pPr>
            <w:r>
              <w:rPr>
                <w:sz w:val="20"/>
              </w:rPr>
              <w:t>6.8</w:t>
            </w:r>
          </w:p>
        </w:tc>
      </w:tr>
      <w:tr>
        <w:trPr/>
        <w:tc>
          <w:tcPr>
            <w:tcW w:w="447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20"/>
              </w:rPr>
            </w:pPr>
            <w:r>
              <w:rPr>
                <w:sz w:val="20"/>
              </w:rPr>
              <w:t>Exchange rate, end of period</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3.37</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3.31</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3.62</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3.99</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3.81</w:t>
            </w:r>
          </w:p>
        </w:tc>
        <w:tc>
          <w:tcPr>
            <w:tcW w:w="770" w:type="dxa"/>
            <w:tcBorders>
              <w:bottom w:val="single" w:sz="8" w:space="0" w:color="000000"/>
              <w:right w:val="single" w:sz="8" w:space="0" w:color="000000"/>
            </w:tcBorders>
            <w:shd w:fill="E7E6E6" w:val="clear"/>
            <w:tcMar>
              <w:top w:w="0" w:type="dxa"/>
              <w:left w:w="0" w:type="dxa"/>
              <w:bottom w:w="28" w:type="dxa"/>
            </w:tcMar>
            <w:vAlign w:val="center"/>
          </w:tcPr>
          <w:p>
            <w:pPr>
              <w:pStyle w:val="TableContents"/>
              <w:bidi w:val="0"/>
              <w:spacing w:before="0" w:after="283"/>
              <w:jc w:val="center"/>
              <w:rPr>
                <w:sz w:val="20"/>
              </w:rPr>
            </w:pPr>
            <w:r>
              <w:rPr>
                <w:sz w:val="20"/>
              </w:rPr>
              <w:t>3.65</w:t>
            </w:r>
          </w:p>
        </w:tc>
      </w:tr>
      <w:tr>
        <w:trPr/>
        <w:tc>
          <w:tcPr>
            <w:tcW w:w="447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20"/>
              </w:rPr>
            </w:pPr>
            <w:r>
              <w:rPr>
                <w:sz w:val="20"/>
              </w:rPr>
              <w:t>Exchange rate, (% change)</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4.0%</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-1.8%</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9.3%</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10.3%</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-4.5%</w:t>
            </w:r>
          </w:p>
        </w:tc>
        <w:tc>
          <w:tcPr>
            <w:tcW w:w="770" w:type="dxa"/>
            <w:tcBorders>
              <w:bottom w:val="single" w:sz="8" w:space="0" w:color="000000"/>
              <w:right w:val="single" w:sz="8" w:space="0" w:color="000000"/>
            </w:tcBorders>
            <w:shd w:fill="E7E6E6" w:val="clear"/>
            <w:tcMar>
              <w:top w:w="0" w:type="dxa"/>
              <w:left w:w="0" w:type="dxa"/>
              <w:bottom w:w="28" w:type="dxa"/>
            </w:tcMar>
            <w:vAlign w:val="center"/>
          </w:tcPr>
          <w:p>
            <w:pPr>
              <w:pStyle w:val="TableContents"/>
              <w:bidi w:val="0"/>
              <w:spacing w:before="0" w:after="283"/>
              <w:jc w:val="center"/>
              <w:rPr>
                <w:sz w:val="20"/>
              </w:rPr>
            </w:pPr>
            <w:r>
              <w:rPr>
                <w:sz w:val="20"/>
              </w:rPr>
              <w:t>-4.2%</w:t>
            </w:r>
          </w:p>
        </w:tc>
      </w:tr>
      <w:tr>
        <w:trPr/>
        <w:tc>
          <w:tcPr>
            <w:tcW w:w="447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20"/>
              </w:rPr>
            </w:pPr>
            <w:r>
              <w:rPr>
                <w:sz w:val="20"/>
              </w:rPr>
              <w:t>Fiscal balance (% GDP)</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-2.3</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-1.6</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-8.9</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-2.5</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-1.6</w:t>
            </w:r>
          </w:p>
        </w:tc>
        <w:tc>
          <w:tcPr>
            <w:tcW w:w="770" w:type="dxa"/>
            <w:tcBorders>
              <w:bottom w:val="single" w:sz="8" w:space="0" w:color="000000"/>
              <w:right w:val="single" w:sz="8" w:space="0" w:color="000000"/>
            </w:tcBorders>
            <w:shd w:fill="E7E6E6" w:val="clear"/>
            <w:tcMar>
              <w:top w:w="0" w:type="dxa"/>
              <w:left w:w="0" w:type="dxa"/>
              <w:bottom w:w="28" w:type="dxa"/>
            </w:tcMar>
            <w:vAlign w:val="center"/>
          </w:tcPr>
          <w:p>
            <w:pPr>
              <w:pStyle w:val="TableContents"/>
              <w:bidi w:val="0"/>
              <w:spacing w:before="0" w:after="283"/>
              <w:jc w:val="center"/>
              <w:rPr>
                <w:sz w:val="20"/>
              </w:rPr>
            </w:pPr>
            <w:r>
              <w:rPr>
                <w:sz w:val="20"/>
              </w:rPr>
              <w:t>-2.5</w:t>
            </w:r>
          </w:p>
        </w:tc>
      </w:tr>
      <w:tr>
        <w:trPr/>
        <w:tc>
          <w:tcPr>
            <w:tcW w:w="447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20"/>
              </w:rPr>
            </w:pPr>
            <w:r>
              <w:rPr>
                <w:sz w:val="20"/>
              </w:rPr>
              <w:t>Public Debt (as % GDP)</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25.6</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26.6</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34.6</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35.9</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34.0</w:t>
            </w:r>
          </w:p>
        </w:tc>
        <w:tc>
          <w:tcPr>
            <w:tcW w:w="770" w:type="dxa"/>
            <w:tcBorders>
              <w:bottom w:val="single" w:sz="8" w:space="0" w:color="000000"/>
              <w:right w:val="single" w:sz="8" w:space="0" w:color="000000"/>
            </w:tcBorders>
            <w:shd w:fill="E7E6E6" w:val="clear"/>
            <w:tcMar>
              <w:top w:w="0" w:type="dxa"/>
              <w:left w:w="0" w:type="dxa"/>
              <w:bottom w:w="28" w:type="dxa"/>
            </w:tcMar>
            <w:vAlign w:val="center"/>
          </w:tcPr>
          <w:p>
            <w:pPr>
              <w:pStyle w:val="TableContents"/>
              <w:bidi w:val="0"/>
              <w:spacing w:before="0" w:after="283"/>
              <w:jc w:val="center"/>
              <w:rPr>
                <w:sz w:val="20"/>
              </w:rPr>
            </w:pPr>
            <w:r>
              <w:rPr>
                <w:sz w:val="20"/>
              </w:rPr>
              <w:t>33.7</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Trade balance (US$ Millions)</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7,201</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6,879</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8,196</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14,927</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9,565</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13,500</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(As % GDP)</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3.2%</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3.0%</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4.0%</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6.6%</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3.9%</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5.0%</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Exports</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49,066</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47,980</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42,905</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63,151</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65,834</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65,600</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Imports</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41,866</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41,101</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34,709</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48,223</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56,269</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52,100</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Current account balance (US$ Millions)</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-2,895</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-1,680</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2,398</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-5,179</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-10,644</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-5,300</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Current account balance (As % GDP)</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-1.3%</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-0.7%</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1.2%</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-2.3%</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-4.3%</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-2.0%</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Net international reserves (US$ Millions)</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60,121</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68,316</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74,707</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78,495</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71,883</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74,000</w:t>
            </w:r>
          </w:p>
        </w:tc>
      </w:tr>
      <w:tr>
        <w:trPr/>
        <w:tc>
          <w:tcPr>
            <w:tcW w:w="447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(As % GDP)</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26.5%</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29.4%</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36.3%</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34.8%</w:t>
            </w:r>
          </w:p>
        </w:tc>
        <w:tc>
          <w:tcPr>
            <w:tcW w:w="695" w:type="dxa"/>
            <w:tcBorders/>
            <w:tcMar>
              <w:top w:w="0" w:type="dxa"/>
              <w:left w:w="0" w:type="dxa"/>
              <w:bottom w:w="0" w:type="dxa"/>
              <w:right w:w="0" w:type="dxa"/>
            </w:tcMar>
            <w:vAlign w:val="center"/>
          </w:tcPr>
          <w:p>
            <w:pPr>
              <w:pStyle w:val="TableContents"/>
              <w:bidi w:val="0"/>
              <w:spacing w:before="0" w:after="283"/>
              <w:jc w:val="center"/>
              <w:rPr>
                <w:sz w:val="20"/>
              </w:rPr>
            </w:pPr>
            <w:r>
              <w:rPr>
                <w:sz w:val="20"/>
              </w:rPr>
              <w:t>29.4%</w:t>
            </w:r>
          </w:p>
        </w:tc>
        <w:tc>
          <w:tcPr>
            <w:tcW w:w="770" w:type="dxa"/>
            <w:tcBorders>
              <w:right w:val="single" w:sz="8" w:space="0" w:color="000000"/>
            </w:tcBorders>
            <w:shd w:fill="E7E6E6" w:val="clear"/>
            <w:tcMar>
              <w:top w:w="0" w:type="dxa"/>
              <w:left w:w="0" w:type="dxa"/>
              <w:bottom w:w="0" w:type="dxa"/>
            </w:tcMar>
            <w:vAlign w:val="center"/>
          </w:tcPr>
          <w:p>
            <w:pPr>
              <w:pStyle w:val="TableContents"/>
              <w:bidi w:val="0"/>
              <w:spacing w:before="0" w:after="283"/>
              <w:jc w:val="center"/>
              <w:rPr>
                <w:sz w:val="20"/>
              </w:rPr>
            </w:pPr>
            <w:r>
              <w:rPr>
                <w:sz w:val="20"/>
              </w:rPr>
              <w:t>27.6%</w:t>
            </w:r>
          </w:p>
        </w:tc>
      </w:tr>
      <w:tr>
        <w:trPr/>
        <w:tc>
          <w:tcPr>
            <w:tcW w:w="447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20"/>
              </w:rPr>
            </w:pPr>
            <w:r>
              <w:rPr>
                <w:sz w:val="20"/>
              </w:rPr>
              <w:t>(As months of imports)</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17</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20</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26</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20</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sz w:val="20"/>
              </w:rPr>
            </w:pPr>
            <w:r>
              <w:rPr>
                <w:sz w:val="20"/>
              </w:rPr>
              <w:t>15</w:t>
            </w:r>
          </w:p>
        </w:tc>
        <w:tc>
          <w:tcPr>
            <w:tcW w:w="770" w:type="dxa"/>
            <w:tcBorders>
              <w:bottom w:val="single" w:sz="8" w:space="0" w:color="000000"/>
              <w:right w:val="single" w:sz="8" w:space="0" w:color="000000"/>
            </w:tcBorders>
            <w:shd w:fill="E7E6E6" w:val="clear"/>
            <w:tcMar>
              <w:top w:w="0" w:type="dxa"/>
              <w:left w:w="0" w:type="dxa"/>
              <w:bottom w:w="28" w:type="dxa"/>
            </w:tcMar>
            <w:vAlign w:val="center"/>
          </w:tcPr>
          <w:p>
            <w:pPr>
              <w:pStyle w:val="TableContents"/>
              <w:bidi w:val="0"/>
              <w:spacing w:before="0" w:after="283"/>
              <w:jc w:val="center"/>
              <w:rPr>
                <w:sz w:val="20"/>
              </w:rPr>
            </w:pPr>
            <w:r>
              <w:rPr>
                <w:sz w:val="20"/>
              </w:rPr>
              <w:t>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Sources: INEI, BCRP y SBS.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Financial System, Current Exchange Rate</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Inflation target: 1% - 3%</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Grey area indicate estimates by BCP Economic Research as of July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4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1" descr=""/>
                          <pic:cNvPicPr>
                            <a:picLocks noChangeAspect="1" noChangeArrowheads="1"/>
                          </pic:cNvPicPr>
                        </pic:nvPicPr>
                        <pic:blipFill>
                          <a:blip r:embed="rId10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2300" w:type="dxa"/>
        <w:jc w:val="left"/>
        <w:tblInd w:w="0" w:type="dxa"/>
        <w:tblLayout w:type="fixed"/>
        <w:tblCellMar>
          <w:top w:w="0" w:type="dxa"/>
          <w:left w:w="0" w:type="dxa"/>
          <w:bottom w:w="0" w:type="dxa"/>
          <w:right w:w="0" w:type="dxa"/>
        </w:tblCellMar>
      </w:tblPr>
      <w:tblGrid>
        <w:gridCol w:w="2300"/>
      </w:tblGrid>
      <w:tr>
        <w:trPr/>
        <w:tc>
          <w:tcPr>
            <w:tcW w:w="2300" w:type="dxa"/>
            <w:tcBorders/>
            <w:shd w:fill="E93CAC" w:val="clear"/>
            <w:vAlign w:val="center"/>
          </w:tcPr>
          <w:p>
            <w:pPr>
              <w:pStyle w:val="TableContents"/>
              <w:bidi w:val="0"/>
              <w:spacing w:before="0" w:after="283"/>
              <w:jc w:val="left"/>
              <w:rPr>
                <w:b/>
                <w:color w:val="FFFFFF"/>
                <w:sz w:val="24"/>
              </w:rPr>
            </w:pPr>
            <w:r>
              <w:rPr>
                <w:b/>
                <w:color w:val="FFFFFF"/>
                <w:sz w:val="24"/>
              </w:rPr>
              <w:t>11. Economic Outlook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Main Macroeconomic Variables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Gross Domestic Product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Variations, % YoY)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6191250" cy="2600325"/>
            <wp:effectExtent l="0" t="0" r="0" b="0"/>
            <wp:docPr id="14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2" descr=""/>
                    <pic:cNvPicPr>
                      <a:picLocks noChangeAspect="1" noChangeArrowheads="1"/>
                    </pic:cNvPicPr>
                  </pic:nvPicPr>
                  <pic:blipFill>
                    <a:blip r:embed="rId109"/>
                    <a:stretch>
                      <a:fillRect/>
                    </a:stretch>
                  </pic:blipFill>
                  <pic:spPr bwMode="auto">
                    <a:xfrm>
                      <a:off x="0" y="0"/>
                      <a:ext cx="6191250" cy="2600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0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Sources: BCRP </w:t>
      </w:r>
    </w:p>
    <w:p>
      <w:pPr>
        <w:pStyle w:val="TextBody"/>
        <w:bidi w:val="0"/>
        <w:spacing w:before="0" w:after="0"/>
        <w:ind w:left="200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Estimate: BCP</w:t>
      </w:r>
    </w:p>
    <w:p>
      <w:pPr>
        <w:pStyle w:val="TextBody"/>
        <w:bidi w:val="0"/>
        <w:spacing w:before="0" w:after="0"/>
        <w:ind w:left="1985"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2Q23, the Peruvian economy is expected to have registered a slight contraction due to the impact of “El Niño Costero” and unfavorable climatic conditions, which led to negative growth rates in the primary sectors (agriculture, fishing and primary manufacturing). The Ministry of Production canceled the first anchovy fishing season in the north-central zone, which marks the first time this campaign has been cancelled since the anchovy quota system was established in 2008. Agricultural activity, in turn, fell 20% YoY in April 2023 (worst monthly contraction since data is available at that frequency) and 13% YoY in May 2023. Growth in the mining sector, which was driven primarily by copper production at Quellaveco’s and the recovery of production at Las Bambas, after last year’s temporary shutdowns, offset part of this drop. According to INEI, the monthly economic activity index grew 0.3% YoY in April and fell 1.4% YoY in May.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1H23, the Peruvian economy would have contracted around 0.5% YoY, its worst performance in 22 years, excluding the pandemic, and even lower than what was recorded during the global financial crisis (1st half 2009: +0.8% YoY). For its part, domestic demand would have fallen around 2% YoY in the first half due to the sharp deterioration in private investment (-10% YoY) and the slowdown in private consumption (0.6% YoY). At sectoral level, non-primary GDP fell around 1.5% YoY in the first half, highlighting the contractions of the construction (-9% YoY) and non-primary manufacturing (-8% YoY) sectors. These variations are the worst recorded in the last 22 and 14 years, excluding the pandemic, respectively. On the side of the primary sectors, the poor performance was mitigated by the notable increase of almost 20% YoY in copper production during the first half thanks to Quellaveco and the recovery of production at Las Bambas.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Annual Inflation and Central Bank Reference Rate</w:t>
      </w:r>
      <w:r>
        <w:rPr>
          <w:rFonts w:ascii="Arial;Helvetica;Sans-Serif" w:hAnsi="Arial;Helvetica;Sans-Serif"/>
          <w:b w:val="false"/>
          <w:i w:val="false"/>
          <w:caps w:val="false"/>
          <w:smallCaps w:val="false"/>
          <w:sz w:val="20"/>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4762500" cy="2076450"/>
            <wp:effectExtent l="0" t="0" r="0" b="0"/>
            <wp:docPr id="14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3" descr=""/>
                    <pic:cNvPicPr>
                      <a:picLocks noChangeAspect="1" noChangeArrowheads="1"/>
                    </pic:cNvPicPr>
                  </pic:nvPicPr>
                  <pic:blipFill>
                    <a:blip r:embed="rId110"/>
                    <a:stretch>
                      <a:fillRect/>
                    </a:stretch>
                  </pic:blipFill>
                  <pic:spPr bwMode="auto">
                    <a:xfrm>
                      <a:off x="0" y="0"/>
                      <a:ext cx="4762500" cy="20764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88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Sources: BCRP and INEI</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4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4" descr=""/>
                          <pic:cNvPicPr>
                            <a:picLocks noChangeAspect="1" noChangeArrowheads="1"/>
                          </pic:cNvPicPr>
                        </pic:nvPicPr>
                        <pic:blipFill>
                          <a:blip r:embed="rId111"/>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2300" w:type="dxa"/>
        <w:jc w:val="left"/>
        <w:tblInd w:w="0" w:type="dxa"/>
        <w:tblLayout w:type="fixed"/>
        <w:tblCellMar>
          <w:top w:w="0" w:type="dxa"/>
          <w:left w:w="0" w:type="dxa"/>
          <w:bottom w:w="0" w:type="dxa"/>
          <w:right w:w="0" w:type="dxa"/>
        </w:tblCellMar>
      </w:tblPr>
      <w:tblGrid>
        <w:gridCol w:w="2300"/>
      </w:tblGrid>
      <w:tr>
        <w:trPr/>
        <w:tc>
          <w:tcPr>
            <w:tcW w:w="2300" w:type="dxa"/>
            <w:tcBorders/>
            <w:shd w:fill="E93CAC" w:val="clear"/>
            <w:vAlign w:val="center"/>
          </w:tcPr>
          <w:p>
            <w:pPr>
              <w:pStyle w:val="TableContents"/>
              <w:bidi w:val="0"/>
              <w:spacing w:before="0" w:after="283"/>
              <w:jc w:val="left"/>
              <w:rPr>
                <w:b/>
                <w:color w:val="FFFFFF"/>
                <w:sz w:val="24"/>
              </w:rPr>
            </w:pPr>
            <w:r>
              <w:rPr>
                <w:b/>
                <w:color w:val="FFFFFF"/>
                <w:sz w:val="24"/>
              </w:rPr>
              <w:t>11. Economic Outlook</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Inflation measured using the Consumer Price index of Metropolitan Lima closed 2Q23 at 6.5% YoY after remaining above or close to 8.0% YoY for 14 consecutive months (peak 8.8% YoY in June 2022, highest in 26 years). In June 2023, monthly inflation fell for the first time in 15 months (-0.15% MoM), mainly due to a drop in poultry prices. In the same period, core inflation (excluding food and energy) slowed to 4.4% YoY, a 12-month 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its July meeting, the Central Reserve Bank of Peru (BCRP) held the monetary policy rate at its all-time high of 7.75% (at that level since January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10230" cy="2600960"/>
                <wp:effectExtent l="0" t="0" r="0" b="0"/>
                <wp:wrapTopAndBottom/>
                <wp:docPr id="147" name="Frame37"/>
                <a:graphic xmlns:a="http://schemas.openxmlformats.org/drawingml/2006/main">
                  <a:graphicData uri="http://schemas.microsoft.com/office/word/2010/wordprocessingShape">
                    <wps:wsp>
                      <wps:cNvSpPr txBox="1"/>
                      <wps:spPr>
                        <a:xfrm>
                          <a:off x="0" y="0"/>
                          <a:ext cx="3110230" cy="2600960"/>
                        </a:xfrm>
                        <a:prstGeom prst="rect"/>
                        <a:solidFill>
                          <a:srgbClr val="FFFFFF"/>
                        </a:solidFill>
                      </wps:spPr>
                      <wps:txb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Fiscal Balance and Current Account Balance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of GDP, Quarter)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905250" cy="2133600"/>
                                  <wp:effectExtent l="0" t="0" r="0" b="0"/>
                                  <wp:docPr id="14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5" descr=""/>
                                          <pic:cNvPicPr>
                                            <a:picLocks noChangeAspect="1" noChangeArrowheads="1"/>
                                          </pic:cNvPicPr>
                                        </pic:nvPicPr>
                                        <pic:blipFill>
                                          <a:blip r:embed="rId112"/>
                                          <a:stretch>
                                            <a:fillRect/>
                                          </a:stretch>
                                        </pic:blipFill>
                                        <pic:spPr bwMode="auto">
                                          <a:xfrm>
                                            <a:off x="0" y="0"/>
                                            <a:ext cx="3905250" cy="2133600"/>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Fiscal Balance and Current Account Balance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of GDP, Quarter)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905250" cy="2133600"/>
                            <wp:effectExtent l="0" t="0" r="0" b="0"/>
                            <wp:docPr id="14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95" descr=""/>
                                    <pic:cNvPicPr>
                                      <a:picLocks noChangeAspect="1" noChangeArrowheads="1"/>
                                    </pic:cNvPicPr>
                                  </pic:nvPicPr>
                                  <pic:blipFill>
                                    <a:blip r:embed="rId113"/>
                                    <a:stretch>
                                      <a:fillRect/>
                                    </a:stretch>
                                  </pic:blipFill>
                                  <pic:spPr bwMode="auto">
                                    <a:xfrm>
                                      <a:off x="0" y="0"/>
                                      <a:ext cx="3905250" cy="2133600"/>
                                    </a:xfrm>
                                    <a:prstGeom prst="rect">
                                      <a:avLst/>
                                    </a:prstGeom>
                                  </pic:spPr>
                                </pic:pic>
                              </a:graphicData>
                            </a:graphic>
                          </wp:inline>
                        </w:drawing>
                      </w:r>
                    </w:p>
                  </w:txbxContent>
                </v:textbox>
                <w10:wrap type="topAndBottom"/>
              </v:rect>
            </w:pict>
          </mc:Fallback>
        </mc:AlternateContent>
      </w:r>
      <w:r>
        <mc:AlternateContent>
          <mc:Choice Requires="wps">
            <w:drawing>
              <wp:anchor behindDoc="0" distT="0" distB="0" distL="0" distR="0" simplePos="0" locked="0" layoutInCell="1" allowOverlap="1" relativeHeight="184">
                <wp:simplePos x="0" y="0"/>
                <wp:positionH relativeFrom="column">
                  <wp:align>right</wp:align>
                </wp:positionH>
                <wp:positionV relativeFrom="line">
                  <wp:posOffset>635</wp:posOffset>
                </wp:positionV>
                <wp:extent cx="3110230" cy="2103120"/>
                <wp:effectExtent l="0" t="0" r="0" b="0"/>
                <wp:wrapTopAndBottom/>
                <wp:docPr id="150" name="Frame38"/>
                <a:graphic xmlns:a="http://schemas.openxmlformats.org/drawingml/2006/main">
                  <a:graphicData uri="http://schemas.microsoft.com/office/word/2010/wordprocessingShape">
                    <wps:wsp>
                      <wps:cNvSpPr txBox="1"/>
                      <wps:spPr>
                        <a:xfrm>
                          <a:off x="0" y="0"/>
                          <a:ext cx="3110230" cy="2103120"/>
                        </a:xfrm>
                        <a:prstGeom prst="rect"/>
                        <a:solidFill>
                          <a:srgbClr val="FFFFFF"/>
                        </a:solidFill>
                      </wps:spPr>
                      <wps:txbx>
                        <w:txbxContent>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annualized fiscal deficit in the last 12 months to June 2023 rose to 2.6% of GDP. In 2Q23, tax revenues fell 14.2% YoY (lower income tax revenue fell 22.1% YoY), while non-financial spending grew 3.8% YoY (current spending: +3.3% YoY and capex: +5.4% YoY).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5.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annualized fiscal deficit in the last 12 months to June 2023 rose to 2.6% of GDP. In 2Q23, tax revenues fell 14.2% YoY (lower income tax revenue fell 22.1% YoY), while non-financial spending grew 3.8% YoY (current spending: +3.3% YoY and capex: +5.4% YoY).</w:t>
                      </w:r>
                    </w:p>
                  </w:txbxContent>
                </v:textbox>
                <w10:wrap type="topAndBottom"/>
              </v:rect>
            </w:pict>
          </mc:Fallback>
        </mc:AlternateConten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2Q23, there were no changes to Peru’s sovereign debt credit rating. In January 2023, Moody’s changed the outlook for Peruvian long-term debt in foreign currency to negative from stable (kept the credit rating at Baa1). The decision came after Fitch and Standard &amp; Poor’s changed the outlook to negative in October and December 2022, respectively (both affirmed the credit rating at BBB). In April 2023, Fitch reaffirmed its BBB rating with a negative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Regarding external accounts, the current account deficit closed 1Q23 at 2.9% of GDP in cumulative terms for the last 4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12-month accumulated trade balance surplus to May 2023 rose to USD 11.6 billion, which was higher than the USD 10.1 billion registered in March but still far from the historical record of USD 16.1 billion reached in March 2022. In the same period, exports fell 3.2% YoY to USD 64.9 billion, affected by lower prices, which were partially offset by higher volumes. Imports grew 2.9% YoY to USD 53.3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Terms of trade grew 4.8% YoY in May 2023, which reflected the fact that the reduction registered for import prices (-11.1% YoY) outpaced the drop registered for export prices, which fell 6.8% YoY (due to lower prices for copper, zinc and hydrocarbons). In YTD until May, terms of trade rose 0.9% and stood 10.6% above October 2022 levels (minimum since April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786380" cy="2576195"/>
                <wp:effectExtent l="0" t="0" r="0" b="0"/>
                <wp:wrapTopAndBottom/>
                <wp:docPr id="151" name="Frame39"/>
                <a:graphic xmlns:a="http://schemas.openxmlformats.org/drawingml/2006/main">
                  <a:graphicData uri="http://schemas.microsoft.com/office/word/2010/wordprocessingShape">
                    <wps:wsp>
                      <wps:cNvSpPr txBox="1"/>
                      <wps:spPr>
                        <a:xfrm>
                          <a:off x="0" y="0"/>
                          <a:ext cx="2786380" cy="2576195"/>
                        </a:xfrm>
                        <a:prstGeom prst="rect"/>
                        <a:solidFill>
                          <a:srgbClr val="FFFFFF"/>
                        </a:solidFill>
                      </wps:spPr>
                      <wps:txb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Exchange Rate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(PEN per USD)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333750" cy="1933575"/>
                                  <wp:effectExtent l="0" t="0" r="0" b="0"/>
                                  <wp:docPr id="15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6" descr=""/>
                                          <pic:cNvPicPr>
                                            <a:picLocks noChangeAspect="1" noChangeArrowheads="1"/>
                                          </pic:cNvPicPr>
                                        </pic:nvPicPr>
                                        <pic:blipFill>
                                          <a:blip r:embed="rId114"/>
                                          <a:stretch>
                                            <a:fillRect/>
                                          </a:stretch>
                                        </pic:blipFill>
                                        <pic:spPr bwMode="auto">
                                          <a:xfrm>
                                            <a:off x="0" y="0"/>
                                            <a:ext cx="3333750" cy="1933575"/>
                                          </a:xfrm>
                                          <a:prstGeom prst="rect">
                                            <a:avLst/>
                                          </a:prstGeom>
                                        </pic:spPr>
                                      </pic:pic>
                                    </a:graphicData>
                                  </a:graphic>
                                </wp:inline>
                              </w:drawing>
                            </w:r>
                          </w:p>
                        </w:txbxContent>
                      </wps:txbx>
                      <wps:bodyPr anchor="t" lIns="0" tIns="0" rIns="0" bIns="0">
                        <a:noAutofit/>
                      </wps:bodyPr>
                    </wps:wsp>
                  </a:graphicData>
                </a:graphic>
                <wp14:sizeRelH relativeFrom="margin">
                  <wp14:pctWidth>43000</wp14:pctWidth>
                </wp14:sizeRelH>
              </wp:anchor>
            </w:drawing>
          </mc:Choice>
          <mc:Fallback>
            <w:pict>
              <v:rect style="position:absolute;rotation:-0;width:219.4pt;height:20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Exchange Rate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(PEN per USD)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3333750" cy="1933575"/>
                            <wp:effectExtent l="0" t="0" r="0" b="0"/>
                            <wp:docPr id="15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96" descr=""/>
                                    <pic:cNvPicPr>
                                      <a:picLocks noChangeAspect="1" noChangeArrowheads="1"/>
                                    </pic:cNvPicPr>
                                  </pic:nvPicPr>
                                  <pic:blipFill>
                                    <a:blip r:embed="rId115"/>
                                    <a:stretch>
                                      <a:fillRect/>
                                    </a:stretch>
                                  </pic:blipFill>
                                  <pic:spPr bwMode="auto">
                                    <a:xfrm>
                                      <a:off x="0" y="0"/>
                                      <a:ext cx="3333750" cy="1933575"/>
                                    </a:xfrm>
                                    <a:prstGeom prst="rect">
                                      <a:avLst/>
                                    </a:prstGeom>
                                  </pic:spPr>
                                </pic:pic>
                              </a:graphicData>
                            </a:graphic>
                          </wp:inline>
                        </w:drawing>
                      </w:r>
                    </w:p>
                  </w:txbxContent>
                </v:textbox>
                <w10:wrap type="topAndBottom"/>
              </v:rect>
            </w:pict>
          </mc:Fallback>
        </mc:AlternateContent>
      </w:r>
      <w:r>
        <mc:AlternateContent>
          <mc:Choice Requires="wps">
            <w:drawing>
              <wp:anchor behindDoc="0" distT="0" distB="0" distL="0" distR="0" simplePos="0" locked="0" layoutInCell="1" allowOverlap="1" relativeHeight="185">
                <wp:simplePos x="0" y="0"/>
                <wp:positionH relativeFrom="column">
                  <wp:align>right</wp:align>
                </wp:positionH>
                <wp:positionV relativeFrom="line">
                  <wp:posOffset>635</wp:posOffset>
                </wp:positionV>
                <wp:extent cx="3434080" cy="1986280"/>
                <wp:effectExtent l="0" t="0" r="0" b="0"/>
                <wp:wrapTopAndBottom/>
                <wp:docPr id="154" name="Frame40"/>
                <a:graphic xmlns:a="http://schemas.openxmlformats.org/drawingml/2006/main">
                  <a:graphicData uri="http://schemas.microsoft.com/office/word/2010/wordprocessingShape">
                    <wps:wsp>
                      <wps:cNvSpPr txBox="1"/>
                      <wps:spPr>
                        <a:xfrm>
                          <a:off x="0" y="0"/>
                          <a:ext cx="3434080" cy="1986280"/>
                        </a:xfrm>
                        <a:prstGeom prst="rect"/>
                        <a:solidFill>
                          <a:srgbClr val="FFFFFF"/>
                        </a:solidFill>
                      </wps:spPr>
                      <wps:txbx>
                        <w:txbxContent>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According to BCRP, the exchange rate closed 2Q23 at USDPEN 3.626, an appreciation of 3.6% compared to the end of 1Q23 and 5.1% compared to a year ago. In the same period, Latam main currencies also appreciated compared to the previous quarter due to the weakening of the global dollar. Thus, the Colombian peso appreciated 10.5%, the Brazilian real 5.5% and the Mexican peso 5.1%. The Chilean peso, on the other hand, slightly depreciated (-0.9%).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international reserves closed 2Q23 at USD 72.9 billion, relatively stable compared to 1Q23 (USD 72.7 billion).</w:t>
                            </w:r>
                          </w:p>
                        </w:txbxContent>
                      </wps:txbx>
                      <wps:bodyPr anchor="t" lIns="0" tIns="0" rIns="0" bIns="0">
                        <a:noAutofit/>
                      </wps:bodyPr>
                    </wps:wsp>
                  </a:graphicData>
                </a:graphic>
                <wp14:sizeRelH relativeFrom="margin">
                  <wp14:pctWidth>53000</wp14:pctWidth>
                </wp14:sizeRelH>
              </wp:anchor>
            </w:drawing>
          </mc:Choice>
          <mc:Fallback>
            <w:pict>
              <v:rect style="position:absolute;rotation:-0;width:270.4pt;height:156.4pt;mso-wrap-distance-left:0pt;mso-wrap-distance-right:0pt;mso-wrap-distance-top:0pt;mso-wrap-distance-bottom:0pt;margin-top:0pt;mso-position-vertical:top;mso-position-vertical-relative:text;margin-left:239.85pt;mso-position-horizontal:right;mso-position-horizontal-relative:text">
                <v:textbox>
                  <w:txbxContent>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According to BCRP, the exchange rate closed 2Q23 at USDPEN 3.626, an appreciation of 3.6% compared to the end of 1Q23 and 5.1% compared to a year ago. In the same period, Latam main currencies also appreciated compared to the previous quarter due to the weakening of the global dollar. Thus, the Colombian peso appreciated 10.5%, the Brazilian real 5.5% and the Mexican peso 5.1%. The Chilean peso, on the other hand, slightly depreciated (-0.9%).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international reserves closed 2Q23 at USD 72.9 billion, relatively stable compared to 1Q23 (USD 72.7 billion).</w:t>
                      </w:r>
                    </w:p>
                  </w:txbxContent>
                </v:textbox>
                <w10:wrap type="topAndBottom"/>
              </v:rect>
            </w:pict>
          </mc:Fallback>
        </mc:AlternateConten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5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97" descr=""/>
                          <pic:cNvPicPr>
                            <a:picLocks noChangeAspect="1" noChangeArrowheads="1"/>
                          </pic:cNvPicPr>
                        </pic:nvPicPr>
                        <pic:blipFill>
                          <a:blip r:embed="rId116"/>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4745" w:type="dxa"/>
        <w:jc w:val="left"/>
        <w:tblInd w:w="0" w:type="dxa"/>
        <w:tblLayout w:type="fixed"/>
        <w:tblCellMar>
          <w:top w:w="0" w:type="dxa"/>
          <w:left w:w="0" w:type="dxa"/>
          <w:bottom w:w="0" w:type="dxa"/>
          <w:right w:w="0" w:type="dxa"/>
        </w:tblCellMar>
      </w:tblPr>
      <w:tblGrid>
        <w:gridCol w:w="4745"/>
      </w:tblGrid>
      <w:tr>
        <w:trPr/>
        <w:tc>
          <w:tcPr>
            <w:tcW w:w="4745" w:type="dxa"/>
            <w:tcBorders/>
            <w:shd w:fill="E93CAC" w:val="clear"/>
            <w:vAlign w:val="center"/>
          </w:tcPr>
          <w:p>
            <w:pPr>
              <w:pStyle w:val="TableContents"/>
              <w:bidi w:val="0"/>
              <w:spacing w:before="0" w:after="283"/>
              <w:jc w:val="left"/>
              <w:rPr>
                <w:b/>
                <w:color w:val="FFFFFF"/>
                <w:sz w:val="24"/>
              </w:rPr>
            </w:pPr>
            <w:r>
              <w:rPr>
                <w:b/>
                <w:color w:val="FFFFFF"/>
                <w:sz w:val="24"/>
              </w:rPr>
              <w:t>Safe Harbor for Forward-Looking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occurrence of natural disasters or political or social instability in Peru;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adequacy of the dividends that our subsidiaries are able to pay to us, which may affect our ability to pay dividends to shareholders and corporate expenses;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Performance of, and volatility in, financial markets, including Latin-American and other markets;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frequency, severity and types of insured loss events;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Fluctuations in interest rate levels;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Foreign currency exchange rates, including the Sol/US Dollar exchange rate;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Deterioration in the quality of our loan portfolio;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Increasing levels of competition in Peru and other markets in which we operate;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Developments and changes in laws and regulations affecting the financial sector and adoption of new international guidelines;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Changes in the policies of central banks and/or foreign governments;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Effectiveness of our risk management policies and of our operational and security systems;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Losses associated with counterparty exposures;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The scope of the coronavirus (“COVID-19”) outbreak, actions taken to contain the COVID-19 and related economic effects from such actions and our ability to maintain adequate staffing; and </w:t>
      </w:r>
    </w:p>
    <w:p>
      <w:pPr>
        <w:pStyle w:val="TextBody"/>
        <w:bidi w:val="0"/>
        <w:spacing w:before="0" w:after="0"/>
        <w:ind w:left="0" w:right="0" w:hanging="0"/>
        <w:jc w:val="both"/>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rPr>
        <w:t>Changes in Bermuda laws and regulations applicable to so-called non-resident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 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5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98" descr=""/>
                          <pic:cNvPicPr>
                            <a:picLocks noChangeAspect="1" noChangeArrowheads="1"/>
                          </pic:cNvPicPr>
                        </pic:nvPicPr>
                        <pic:blipFill>
                          <a:blip r:embed="rId117"/>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575"/>
        <w:gridCol w:w="1505"/>
      </w:tblGrid>
      <w:tr>
        <w:trPr/>
        <w:tc>
          <w:tcPr>
            <w:tcW w:w="575" w:type="dxa"/>
            <w:tcBorders/>
            <w:vAlign w:val="center"/>
          </w:tcPr>
          <w:p>
            <w:pPr>
              <w:pStyle w:val="TableContents"/>
              <w:bidi w:val="0"/>
              <w:spacing w:before="0" w:after="283"/>
              <w:jc w:val="left"/>
              <w:rPr>
                <w:rFonts w:ascii="Arial;Helvetica;Sans-Serif" w:hAnsi="Arial;Helvetica;Sans-Serif"/>
                <w:b/>
                <w:i w:val="false"/>
                <w:caps w:val="false"/>
                <w:smallCaps w:val="false"/>
                <w:color w:val="E93CAC"/>
                <w:sz w:val="48"/>
              </w:rPr>
            </w:pPr>
            <w:r>
              <w:rPr>
                <w:rFonts w:ascii="Arial;Helvetica;Sans-Serif" w:hAnsi="Arial;Helvetica;Sans-Serif"/>
                <w:b/>
                <w:i w:val="false"/>
                <w:caps w:val="false"/>
                <w:smallCaps w:val="false"/>
                <w:color w:val="E93CAC"/>
                <w:sz w:val="48"/>
              </w:rPr>
              <w:t>12</w:t>
            </w:r>
          </w:p>
        </w:tc>
        <w:tc>
          <w:tcPr>
            <w:tcW w:w="150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E93CAC"/>
                <w:sz w:val="36"/>
              </w:rPr>
            </w:pPr>
            <w:r>
              <w:rPr>
                <w:rFonts w:ascii="Arial;Helvetica;Sans-Serif" w:hAnsi="Arial;Helvetica;Sans-Serif"/>
                <w:b w:val="false"/>
                <w:i w:val="false"/>
                <w:caps w:val="false"/>
                <w:smallCaps w:val="false"/>
                <w:color w:val="E93CAC"/>
                <w:sz w:val="36"/>
              </w:rPr>
              <w:t>Appendix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jc w:val="left"/>
              <w:rPr>
                <w:b/>
                <w:sz w:val="22"/>
              </w:rPr>
            </w:pPr>
            <w:r>
              <w:rPr>
                <w:b/>
                <w:sz w:val="22"/>
              </w:rPr>
              <w:t>12.1. Implementation of IFRS 17 – Restatement of figures and ratios for 2022</w:t>
            </w:r>
          </w:p>
        </w:tc>
        <w:tc>
          <w:tcPr>
            <w:tcW w:w="275" w:type="dxa"/>
            <w:tcBorders/>
            <w:vAlign w:val="center"/>
          </w:tcPr>
          <w:p>
            <w:pPr>
              <w:pStyle w:val="TableContents"/>
              <w:bidi w:val="0"/>
              <w:spacing w:before="0" w:after="283"/>
              <w:jc w:val="right"/>
              <w:rPr>
                <w:sz w:val="22"/>
              </w:rPr>
            </w:pPr>
            <w:r>
              <w:rPr>
                <w:sz w:val="22"/>
              </w:rPr>
              <w:t>47</w:t>
            </w:r>
          </w:p>
        </w:tc>
      </w:tr>
      <w:tr>
        <w:trPr/>
        <w:tc>
          <w:tcPr>
            <w:tcW w:w="9930" w:type="dxa"/>
            <w:tcBorders/>
            <w:vAlign w:val="center"/>
          </w:tcPr>
          <w:p>
            <w:pPr>
              <w:pStyle w:val="TableContents"/>
              <w:bidi w:val="0"/>
              <w:spacing w:before="0" w:after="283"/>
              <w:jc w:val="left"/>
              <w:rPr>
                <w:b/>
                <w:sz w:val="22"/>
              </w:rPr>
            </w:pPr>
            <w:r>
              <w:rPr>
                <w:b/>
                <w:sz w:val="22"/>
              </w:rPr>
              <w:t>12.1.1. Introduction to the new standards IFRS 17</w:t>
            </w:r>
          </w:p>
        </w:tc>
        <w:tc>
          <w:tcPr>
            <w:tcW w:w="275" w:type="dxa"/>
            <w:tcBorders/>
            <w:vAlign w:val="center"/>
          </w:tcPr>
          <w:p>
            <w:pPr>
              <w:pStyle w:val="TableContents"/>
              <w:bidi w:val="0"/>
              <w:spacing w:before="0" w:after="283"/>
              <w:jc w:val="right"/>
              <w:rPr>
                <w:b/>
                <w:sz w:val="22"/>
              </w:rPr>
            </w:pPr>
            <w:r>
              <w:rPr>
                <w:b/>
                <w:sz w:val="22"/>
              </w:rPr>
              <w:t>47</w:t>
            </w:r>
          </w:p>
        </w:tc>
      </w:tr>
      <w:tr>
        <w:trPr/>
        <w:tc>
          <w:tcPr>
            <w:tcW w:w="9930" w:type="dxa"/>
            <w:tcBorders/>
            <w:vAlign w:val="center"/>
          </w:tcPr>
          <w:p>
            <w:pPr>
              <w:pStyle w:val="TableContents"/>
              <w:bidi w:val="0"/>
              <w:spacing w:before="0" w:after="283"/>
              <w:jc w:val="left"/>
              <w:rPr>
                <w:b/>
                <w:sz w:val="22"/>
              </w:rPr>
            </w:pPr>
            <w:r>
              <w:rPr>
                <w:b/>
                <w:sz w:val="22"/>
              </w:rPr>
              <w:t>12.1.2. Conceptual Framework</w:t>
            </w:r>
          </w:p>
        </w:tc>
        <w:tc>
          <w:tcPr>
            <w:tcW w:w="275" w:type="dxa"/>
            <w:tcBorders/>
            <w:vAlign w:val="center"/>
          </w:tcPr>
          <w:p>
            <w:pPr>
              <w:pStyle w:val="TableContents"/>
              <w:bidi w:val="0"/>
              <w:spacing w:before="0" w:after="283"/>
              <w:jc w:val="right"/>
              <w:rPr>
                <w:b/>
                <w:sz w:val="22"/>
              </w:rPr>
            </w:pPr>
            <w:r>
              <w:rPr>
                <w:b/>
                <w:sz w:val="22"/>
              </w:rPr>
              <w:t>47</w:t>
            </w:r>
          </w:p>
        </w:tc>
      </w:tr>
      <w:tr>
        <w:trPr/>
        <w:tc>
          <w:tcPr>
            <w:tcW w:w="9930" w:type="dxa"/>
            <w:tcBorders/>
            <w:vAlign w:val="center"/>
          </w:tcPr>
          <w:p>
            <w:pPr>
              <w:pStyle w:val="TableContents"/>
              <w:bidi w:val="0"/>
              <w:spacing w:before="0" w:after="283"/>
              <w:jc w:val="left"/>
              <w:rPr>
                <w:b/>
                <w:sz w:val="22"/>
              </w:rPr>
            </w:pPr>
            <w:r>
              <w:rPr>
                <w:b/>
                <w:sz w:val="22"/>
              </w:rPr>
              <w:t>12.1.3. Recognition of Profit and Loss</w:t>
            </w:r>
          </w:p>
        </w:tc>
        <w:tc>
          <w:tcPr>
            <w:tcW w:w="275" w:type="dxa"/>
            <w:tcBorders/>
            <w:vAlign w:val="center"/>
          </w:tcPr>
          <w:p>
            <w:pPr>
              <w:pStyle w:val="TableContents"/>
              <w:bidi w:val="0"/>
              <w:spacing w:before="0" w:after="283"/>
              <w:jc w:val="right"/>
              <w:rPr>
                <w:b/>
                <w:sz w:val="22"/>
              </w:rPr>
            </w:pPr>
            <w:r>
              <w:rPr>
                <w:b/>
                <w:sz w:val="22"/>
              </w:rPr>
              <w:t>47</w:t>
            </w:r>
          </w:p>
        </w:tc>
      </w:tr>
      <w:tr>
        <w:trPr/>
        <w:tc>
          <w:tcPr>
            <w:tcW w:w="9930" w:type="dxa"/>
            <w:tcBorders/>
            <w:vAlign w:val="center"/>
          </w:tcPr>
          <w:p>
            <w:pPr>
              <w:pStyle w:val="TableContents"/>
              <w:bidi w:val="0"/>
              <w:spacing w:before="0" w:after="283"/>
              <w:jc w:val="left"/>
              <w:rPr>
                <w:b/>
                <w:sz w:val="22"/>
              </w:rPr>
            </w:pPr>
            <w:r>
              <w:rPr>
                <w:b/>
                <w:sz w:val="22"/>
              </w:rPr>
              <w:t>12.1.4. Valuation Methods</w:t>
            </w:r>
          </w:p>
        </w:tc>
        <w:tc>
          <w:tcPr>
            <w:tcW w:w="275" w:type="dxa"/>
            <w:tcBorders/>
            <w:vAlign w:val="center"/>
          </w:tcPr>
          <w:p>
            <w:pPr>
              <w:pStyle w:val="TableContents"/>
              <w:bidi w:val="0"/>
              <w:spacing w:before="0" w:after="283"/>
              <w:jc w:val="right"/>
              <w:rPr>
                <w:b/>
                <w:sz w:val="22"/>
              </w:rPr>
            </w:pPr>
            <w:r>
              <w:rPr>
                <w:b/>
                <w:sz w:val="22"/>
              </w:rPr>
              <w:t>47</w:t>
            </w:r>
          </w:p>
        </w:tc>
      </w:tr>
      <w:tr>
        <w:trPr/>
        <w:tc>
          <w:tcPr>
            <w:tcW w:w="9930" w:type="dxa"/>
            <w:tcBorders/>
            <w:vAlign w:val="center"/>
          </w:tcPr>
          <w:p>
            <w:pPr>
              <w:pStyle w:val="TableContents"/>
              <w:bidi w:val="0"/>
              <w:spacing w:before="0" w:after="283"/>
              <w:jc w:val="left"/>
              <w:rPr>
                <w:b/>
                <w:sz w:val="22"/>
              </w:rPr>
            </w:pPr>
            <w:r>
              <w:rPr>
                <w:b/>
                <w:sz w:val="22"/>
              </w:rPr>
              <w:t>12.1.5. Impact on Equity Under IFRS 17</w:t>
            </w:r>
          </w:p>
        </w:tc>
        <w:tc>
          <w:tcPr>
            <w:tcW w:w="275" w:type="dxa"/>
            <w:tcBorders/>
            <w:vAlign w:val="center"/>
          </w:tcPr>
          <w:p>
            <w:pPr>
              <w:pStyle w:val="TableContents"/>
              <w:bidi w:val="0"/>
              <w:spacing w:before="0" w:after="283"/>
              <w:jc w:val="right"/>
              <w:rPr>
                <w:b/>
                <w:sz w:val="22"/>
              </w:rPr>
            </w:pPr>
            <w:r>
              <w:rPr>
                <w:b/>
                <w:sz w:val="22"/>
              </w:rPr>
              <w:t>48</w:t>
            </w:r>
          </w:p>
        </w:tc>
      </w:tr>
      <w:tr>
        <w:trPr/>
        <w:tc>
          <w:tcPr>
            <w:tcW w:w="9930" w:type="dxa"/>
            <w:tcBorders/>
            <w:vAlign w:val="center"/>
          </w:tcPr>
          <w:p>
            <w:pPr>
              <w:pStyle w:val="TableContents"/>
              <w:bidi w:val="0"/>
              <w:spacing w:before="0" w:after="283"/>
              <w:jc w:val="left"/>
              <w:rPr>
                <w:b/>
                <w:sz w:val="22"/>
              </w:rPr>
            </w:pPr>
            <w:r>
              <w:rPr>
                <w:b/>
                <w:sz w:val="22"/>
              </w:rPr>
              <w:t>12.1.6. Reformulation of Profit and Loss Statement at Pacífico Grupo Asegurador for year 2022</w:t>
            </w:r>
          </w:p>
        </w:tc>
        <w:tc>
          <w:tcPr>
            <w:tcW w:w="275" w:type="dxa"/>
            <w:tcBorders/>
            <w:vAlign w:val="center"/>
          </w:tcPr>
          <w:p>
            <w:pPr>
              <w:pStyle w:val="TableContents"/>
              <w:bidi w:val="0"/>
              <w:spacing w:before="0" w:after="283"/>
              <w:jc w:val="right"/>
              <w:rPr>
                <w:b/>
                <w:sz w:val="22"/>
              </w:rPr>
            </w:pPr>
            <w:r>
              <w:rPr>
                <w:b/>
                <w:sz w:val="22"/>
              </w:rPr>
              <w:t>48</w:t>
            </w:r>
          </w:p>
        </w:tc>
      </w:tr>
      <w:tr>
        <w:trPr/>
        <w:tc>
          <w:tcPr>
            <w:tcW w:w="9930" w:type="dxa"/>
            <w:tcBorders/>
            <w:vAlign w:val="center"/>
          </w:tcPr>
          <w:p>
            <w:pPr>
              <w:pStyle w:val="TableContents"/>
              <w:bidi w:val="0"/>
              <w:spacing w:before="0" w:after="283"/>
              <w:jc w:val="left"/>
              <w:rPr>
                <w:b/>
                <w:sz w:val="22"/>
              </w:rPr>
            </w:pPr>
            <w:r>
              <w:rPr>
                <w:b/>
                <w:sz w:val="22"/>
              </w:rPr>
              <w:t>12.1.7. Reformulation Credicorp’s Profit and Loss Statement for year 2022</w:t>
            </w:r>
          </w:p>
        </w:tc>
        <w:tc>
          <w:tcPr>
            <w:tcW w:w="275" w:type="dxa"/>
            <w:tcBorders/>
            <w:vAlign w:val="center"/>
          </w:tcPr>
          <w:p>
            <w:pPr>
              <w:pStyle w:val="TableContents"/>
              <w:bidi w:val="0"/>
              <w:spacing w:before="0" w:after="283"/>
              <w:jc w:val="right"/>
              <w:rPr>
                <w:b/>
                <w:sz w:val="22"/>
              </w:rPr>
            </w:pPr>
            <w:r>
              <w:rPr>
                <w:b/>
                <w:sz w:val="22"/>
              </w:rPr>
              <w:t>49</w:t>
            </w:r>
          </w:p>
        </w:tc>
      </w:tr>
      <w:tr>
        <w:trPr/>
        <w:tc>
          <w:tcPr>
            <w:tcW w:w="9930" w:type="dxa"/>
            <w:tcBorders/>
            <w:vAlign w:val="center"/>
          </w:tcPr>
          <w:p>
            <w:pPr>
              <w:pStyle w:val="TableContents"/>
              <w:bidi w:val="0"/>
              <w:spacing w:before="0" w:after="283"/>
              <w:jc w:val="left"/>
              <w:rPr>
                <w:b/>
                <w:sz w:val="22"/>
              </w:rPr>
            </w:pPr>
            <w:r>
              <w:rPr>
                <w:b/>
                <w:sz w:val="22"/>
              </w:rPr>
              <w:t>12.1.8. Changes in the Methodology to Calculate Financial Indicators and their Reformulation for the year 2022</w:t>
            </w:r>
          </w:p>
        </w:tc>
        <w:tc>
          <w:tcPr>
            <w:tcW w:w="275" w:type="dxa"/>
            <w:tcBorders/>
            <w:vAlign w:val="center"/>
          </w:tcPr>
          <w:p>
            <w:pPr>
              <w:pStyle w:val="TableContents"/>
              <w:bidi w:val="0"/>
              <w:spacing w:before="0" w:after="283"/>
              <w:jc w:val="right"/>
              <w:rPr>
                <w:b/>
                <w:sz w:val="22"/>
              </w:rPr>
            </w:pPr>
            <w:r>
              <w:rPr>
                <w:b/>
                <w:sz w:val="22"/>
              </w:rPr>
              <w:t>49</w:t>
            </w:r>
          </w:p>
        </w:tc>
      </w:tr>
      <w:tr>
        <w:trPr/>
        <w:tc>
          <w:tcPr>
            <w:tcW w:w="9930" w:type="dxa"/>
            <w:tcBorders/>
            <w:vAlign w:val="center"/>
          </w:tcPr>
          <w:p>
            <w:pPr>
              <w:pStyle w:val="TableContents"/>
              <w:bidi w:val="0"/>
              <w:spacing w:before="0" w:after="283"/>
              <w:jc w:val="left"/>
              <w:rPr>
                <w:b/>
                <w:sz w:val="22"/>
              </w:rPr>
            </w:pPr>
            <w:r>
              <w:rPr>
                <w:b/>
                <w:sz w:val="22"/>
              </w:rPr>
              <w:t>12.1.9. Glossary of Terms Under IFRS 17</w:t>
            </w:r>
          </w:p>
        </w:tc>
        <w:tc>
          <w:tcPr>
            <w:tcW w:w="275" w:type="dxa"/>
            <w:tcBorders/>
            <w:vAlign w:val="center"/>
          </w:tcPr>
          <w:p>
            <w:pPr>
              <w:pStyle w:val="TableContents"/>
              <w:bidi w:val="0"/>
              <w:spacing w:before="0" w:after="283"/>
              <w:jc w:val="right"/>
              <w:rPr>
                <w:b/>
                <w:sz w:val="22"/>
              </w:rPr>
            </w:pPr>
            <w:r>
              <w:rPr>
                <w:b/>
                <w:sz w:val="22"/>
              </w:rPr>
              <w:t>52</w:t>
            </w:r>
          </w:p>
        </w:tc>
      </w:tr>
      <w:tr>
        <w:trPr/>
        <w:tc>
          <w:tcPr>
            <w:tcW w:w="9930" w:type="dxa"/>
            <w:tcBorders/>
            <w:vAlign w:val="center"/>
          </w:tcPr>
          <w:p>
            <w:pPr>
              <w:pStyle w:val="TableContents"/>
              <w:bidi w:val="0"/>
              <w:spacing w:before="0" w:after="283"/>
              <w:jc w:val="left"/>
              <w:rPr>
                <w:b/>
                <w:sz w:val="22"/>
              </w:rPr>
            </w:pPr>
            <w:r>
              <w:rPr>
                <w:b/>
                <w:sz w:val="22"/>
              </w:rPr>
              <w:t>12.2. Physical Point of contact</w:t>
            </w:r>
          </w:p>
        </w:tc>
        <w:tc>
          <w:tcPr>
            <w:tcW w:w="275" w:type="dxa"/>
            <w:tcBorders/>
            <w:vAlign w:val="center"/>
          </w:tcPr>
          <w:p>
            <w:pPr>
              <w:pStyle w:val="TableContents"/>
              <w:bidi w:val="0"/>
              <w:spacing w:before="0" w:after="283"/>
              <w:jc w:val="right"/>
              <w:rPr>
                <w:sz w:val="22"/>
              </w:rPr>
            </w:pPr>
            <w:r>
              <w:rPr>
                <w:sz w:val="22"/>
              </w:rPr>
              <w:t>52</w:t>
            </w:r>
          </w:p>
        </w:tc>
      </w:tr>
      <w:tr>
        <w:trPr/>
        <w:tc>
          <w:tcPr>
            <w:tcW w:w="9930" w:type="dxa"/>
            <w:tcBorders/>
            <w:vAlign w:val="center"/>
          </w:tcPr>
          <w:p>
            <w:pPr>
              <w:pStyle w:val="TableContents"/>
              <w:bidi w:val="0"/>
              <w:spacing w:before="0" w:after="283"/>
              <w:jc w:val="left"/>
              <w:rPr>
                <w:b/>
                <w:sz w:val="22"/>
              </w:rPr>
            </w:pPr>
            <w:r>
              <w:rPr>
                <w:b/>
                <w:sz w:val="22"/>
              </w:rPr>
              <w:t>12.3. Loan Portfolio Quality</w:t>
            </w:r>
          </w:p>
        </w:tc>
        <w:tc>
          <w:tcPr>
            <w:tcW w:w="275" w:type="dxa"/>
            <w:tcBorders/>
            <w:vAlign w:val="center"/>
          </w:tcPr>
          <w:p>
            <w:pPr>
              <w:pStyle w:val="TableContents"/>
              <w:bidi w:val="0"/>
              <w:spacing w:before="0" w:after="283"/>
              <w:jc w:val="right"/>
              <w:rPr>
                <w:sz w:val="22"/>
              </w:rPr>
            </w:pPr>
            <w:r>
              <w:rPr>
                <w:sz w:val="22"/>
              </w:rPr>
              <w:t>53</w:t>
            </w:r>
          </w:p>
        </w:tc>
      </w:tr>
      <w:tr>
        <w:trPr/>
        <w:tc>
          <w:tcPr>
            <w:tcW w:w="9930" w:type="dxa"/>
            <w:tcBorders/>
            <w:vAlign w:val="center"/>
          </w:tcPr>
          <w:p>
            <w:pPr>
              <w:pStyle w:val="TableContents"/>
              <w:bidi w:val="0"/>
              <w:spacing w:before="0" w:after="283"/>
              <w:jc w:val="left"/>
              <w:rPr>
                <w:b/>
                <w:sz w:val="22"/>
              </w:rPr>
            </w:pPr>
            <w:r>
              <w:rPr>
                <w:b/>
                <w:sz w:val="22"/>
              </w:rPr>
              <w:t>12.4 Net Interest Income (NII)</w:t>
            </w:r>
          </w:p>
        </w:tc>
        <w:tc>
          <w:tcPr>
            <w:tcW w:w="275" w:type="dxa"/>
            <w:tcBorders/>
            <w:vAlign w:val="center"/>
          </w:tcPr>
          <w:p>
            <w:pPr>
              <w:pStyle w:val="TableContents"/>
              <w:bidi w:val="0"/>
              <w:spacing w:before="0" w:after="283"/>
              <w:jc w:val="right"/>
              <w:rPr>
                <w:sz w:val="22"/>
              </w:rPr>
            </w:pPr>
            <w:r>
              <w:rPr>
                <w:sz w:val="22"/>
              </w:rPr>
              <w:t>58</w:t>
            </w:r>
          </w:p>
        </w:tc>
      </w:tr>
      <w:tr>
        <w:trPr/>
        <w:tc>
          <w:tcPr>
            <w:tcW w:w="9930" w:type="dxa"/>
            <w:tcBorders/>
            <w:vAlign w:val="center"/>
          </w:tcPr>
          <w:p>
            <w:pPr>
              <w:pStyle w:val="TableContents"/>
              <w:bidi w:val="0"/>
              <w:spacing w:before="0" w:after="283"/>
              <w:jc w:val="left"/>
              <w:rPr>
                <w:b/>
                <w:sz w:val="22"/>
              </w:rPr>
            </w:pPr>
            <w:r>
              <w:rPr>
                <w:b/>
                <w:sz w:val="22"/>
              </w:rPr>
              <w:t>12.5. Regulatory Capital</w:t>
            </w:r>
          </w:p>
        </w:tc>
        <w:tc>
          <w:tcPr>
            <w:tcW w:w="275" w:type="dxa"/>
            <w:tcBorders/>
            <w:vAlign w:val="center"/>
          </w:tcPr>
          <w:p>
            <w:pPr>
              <w:pStyle w:val="TableContents"/>
              <w:bidi w:val="0"/>
              <w:spacing w:before="0" w:after="283"/>
              <w:jc w:val="right"/>
              <w:rPr>
                <w:sz w:val="22"/>
              </w:rPr>
            </w:pPr>
            <w:r>
              <w:rPr>
                <w:sz w:val="22"/>
              </w:rPr>
              <w:t>59</w:t>
            </w:r>
          </w:p>
        </w:tc>
      </w:tr>
      <w:tr>
        <w:trPr/>
        <w:tc>
          <w:tcPr>
            <w:tcW w:w="9930" w:type="dxa"/>
            <w:tcBorders/>
            <w:vAlign w:val="center"/>
          </w:tcPr>
          <w:p>
            <w:pPr>
              <w:pStyle w:val="TableContents"/>
              <w:bidi w:val="0"/>
              <w:spacing w:before="0" w:after="283"/>
              <w:jc w:val="left"/>
              <w:rPr>
                <w:b/>
                <w:sz w:val="22"/>
              </w:rPr>
            </w:pPr>
            <w:r>
              <w:rPr>
                <w:b/>
                <w:sz w:val="22"/>
              </w:rPr>
              <w:t>12.6. Financial Statements and Ratios by Business</w:t>
            </w:r>
          </w:p>
        </w:tc>
        <w:tc>
          <w:tcPr>
            <w:tcW w:w="275" w:type="dxa"/>
            <w:tcBorders/>
            <w:vAlign w:val="center"/>
          </w:tcPr>
          <w:p>
            <w:pPr>
              <w:pStyle w:val="TableContents"/>
              <w:bidi w:val="0"/>
              <w:spacing w:before="0" w:after="283"/>
              <w:jc w:val="right"/>
              <w:rPr>
                <w:sz w:val="22"/>
              </w:rPr>
            </w:pPr>
            <w:r>
              <w:rPr>
                <w:sz w:val="22"/>
              </w:rPr>
              <w:t>63</w:t>
            </w:r>
          </w:p>
        </w:tc>
      </w:tr>
      <w:tr>
        <w:trPr/>
        <w:tc>
          <w:tcPr>
            <w:tcW w:w="9930" w:type="dxa"/>
            <w:tcBorders/>
            <w:vAlign w:val="center"/>
          </w:tcPr>
          <w:p>
            <w:pPr>
              <w:pStyle w:val="TableContents"/>
              <w:bidi w:val="0"/>
              <w:spacing w:before="0" w:after="283"/>
              <w:jc w:val="left"/>
              <w:rPr>
                <w:b/>
                <w:sz w:val="22"/>
              </w:rPr>
            </w:pPr>
            <w:r>
              <w:rPr>
                <w:b/>
                <w:sz w:val="22"/>
              </w:rPr>
              <w:t>12.6.1. Credicorp Consolidated</w:t>
            </w:r>
          </w:p>
        </w:tc>
        <w:tc>
          <w:tcPr>
            <w:tcW w:w="275" w:type="dxa"/>
            <w:tcBorders/>
            <w:vAlign w:val="center"/>
          </w:tcPr>
          <w:p>
            <w:pPr>
              <w:pStyle w:val="TableContents"/>
              <w:bidi w:val="0"/>
              <w:spacing w:before="0" w:after="283"/>
              <w:jc w:val="right"/>
              <w:rPr>
                <w:sz w:val="22"/>
              </w:rPr>
            </w:pPr>
            <w:r>
              <w:rPr>
                <w:sz w:val="22"/>
              </w:rPr>
              <w:t>63</w:t>
            </w:r>
          </w:p>
        </w:tc>
      </w:tr>
      <w:tr>
        <w:trPr/>
        <w:tc>
          <w:tcPr>
            <w:tcW w:w="9930" w:type="dxa"/>
            <w:tcBorders/>
            <w:vAlign w:val="center"/>
          </w:tcPr>
          <w:p>
            <w:pPr>
              <w:pStyle w:val="TableContents"/>
              <w:bidi w:val="0"/>
              <w:spacing w:before="0" w:after="283"/>
              <w:jc w:val="left"/>
              <w:rPr>
                <w:b/>
                <w:sz w:val="22"/>
              </w:rPr>
            </w:pPr>
            <w:r>
              <w:rPr>
                <w:b/>
                <w:sz w:val="22"/>
              </w:rPr>
              <w:t>12.6.2. Credicorp Stand-alone</w:t>
            </w:r>
          </w:p>
        </w:tc>
        <w:tc>
          <w:tcPr>
            <w:tcW w:w="275" w:type="dxa"/>
            <w:tcBorders/>
            <w:vAlign w:val="center"/>
          </w:tcPr>
          <w:p>
            <w:pPr>
              <w:pStyle w:val="TableContents"/>
              <w:bidi w:val="0"/>
              <w:spacing w:before="0" w:after="283"/>
              <w:jc w:val="right"/>
              <w:rPr>
                <w:sz w:val="22"/>
              </w:rPr>
            </w:pPr>
            <w:r>
              <w:rPr>
                <w:sz w:val="22"/>
              </w:rPr>
              <w:t>65</w:t>
            </w:r>
          </w:p>
        </w:tc>
      </w:tr>
      <w:tr>
        <w:trPr/>
        <w:tc>
          <w:tcPr>
            <w:tcW w:w="9930" w:type="dxa"/>
            <w:tcBorders/>
            <w:vAlign w:val="center"/>
          </w:tcPr>
          <w:p>
            <w:pPr>
              <w:pStyle w:val="TableContents"/>
              <w:bidi w:val="0"/>
              <w:spacing w:before="0" w:after="283"/>
              <w:jc w:val="left"/>
              <w:rPr>
                <w:b/>
                <w:sz w:val="22"/>
              </w:rPr>
            </w:pPr>
            <w:r>
              <w:rPr>
                <w:b/>
                <w:sz w:val="22"/>
              </w:rPr>
              <w:t>12.6.3. BCP Consolidated</w:t>
            </w:r>
          </w:p>
        </w:tc>
        <w:tc>
          <w:tcPr>
            <w:tcW w:w="275" w:type="dxa"/>
            <w:tcBorders/>
            <w:vAlign w:val="center"/>
          </w:tcPr>
          <w:p>
            <w:pPr>
              <w:pStyle w:val="TableContents"/>
              <w:bidi w:val="0"/>
              <w:spacing w:before="0" w:after="283"/>
              <w:jc w:val="right"/>
              <w:rPr>
                <w:sz w:val="22"/>
              </w:rPr>
            </w:pPr>
            <w:r>
              <w:rPr>
                <w:sz w:val="22"/>
              </w:rPr>
              <w:t>66</w:t>
            </w:r>
          </w:p>
        </w:tc>
      </w:tr>
      <w:tr>
        <w:trPr/>
        <w:tc>
          <w:tcPr>
            <w:tcW w:w="9930" w:type="dxa"/>
            <w:tcBorders/>
            <w:vAlign w:val="center"/>
          </w:tcPr>
          <w:p>
            <w:pPr>
              <w:pStyle w:val="TableContents"/>
              <w:bidi w:val="0"/>
              <w:spacing w:before="0" w:after="283"/>
              <w:jc w:val="left"/>
              <w:rPr>
                <w:b/>
                <w:sz w:val="22"/>
              </w:rPr>
            </w:pPr>
            <w:r>
              <w:rPr>
                <w:b/>
                <w:sz w:val="22"/>
              </w:rPr>
              <w:t>12.6.4. BCP Stand-alone</w:t>
            </w:r>
          </w:p>
        </w:tc>
        <w:tc>
          <w:tcPr>
            <w:tcW w:w="275" w:type="dxa"/>
            <w:tcBorders/>
            <w:vAlign w:val="center"/>
          </w:tcPr>
          <w:p>
            <w:pPr>
              <w:pStyle w:val="TableContents"/>
              <w:bidi w:val="0"/>
              <w:spacing w:before="0" w:after="283"/>
              <w:jc w:val="right"/>
              <w:rPr>
                <w:sz w:val="22"/>
              </w:rPr>
            </w:pPr>
            <w:r>
              <w:rPr>
                <w:sz w:val="22"/>
              </w:rPr>
              <w:t>68</w:t>
            </w:r>
          </w:p>
        </w:tc>
      </w:tr>
      <w:tr>
        <w:trPr/>
        <w:tc>
          <w:tcPr>
            <w:tcW w:w="9930" w:type="dxa"/>
            <w:tcBorders/>
            <w:vAlign w:val="center"/>
          </w:tcPr>
          <w:p>
            <w:pPr>
              <w:pStyle w:val="TableContents"/>
              <w:bidi w:val="0"/>
              <w:spacing w:before="0" w:after="283"/>
              <w:jc w:val="left"/>
              <w:rPr>
                <w:b/>
                <w:sz w:val="22"/>
              </w:rPr>
            </w:pPr>
            <w:r>
              <w:rPr>
                <w:b/>
                <w:sz w:val="22"/>
              </w:rPr>
              <w:t>12.6.5. BCP Bolivia</w:t>
            </w:r>
          </w:p>
        </w:tc>
        <w:tc>
          <w:tcPr>
            <w:tcW w:w="275" w:type="dxa"/>
            <w:tcBorders/>
            <w:vAlign w:val="center"/>
          </w:tcPr>
          <w:p>
            <w:pPr>
              <w:pStyle w:val="TableContents"/>
              <w:bidi w:val="0"/>
              <w:spacing w:before="0" w:after="283"/>
              <w:jc w:val="right"/>
              <w:rPr>
                <w:sz w:val="22"/>
              </w:rPr>
            </w:pPr>
            <w:r>
              <w:rPr>
                <w:sz w:val="22"/>
              </w:rPr>
              <w:t>70</w:t>
            </w:r>
          </w:p>
        </w:tc>
      </w:tr>
      <w:tr>
        <w:trPr/>
        <w:tc>
          <w:tcPr>
            <w:tcW w:w="9930" w:type="dxa"/>
            <w:tcBorders/>
            <w:vAlign w:val="center"/>
          </w:tcPr>
          <w:p>
            <w:pPr>
              <w:pStyle w:val="TableContents"/>
              <w:bidi w:val="0"/>
              <w:spacing w:before="0" w:after="283"/>
              <w:jc w:val="left"/>
              <w:rPr>
                <w:b/>
                <w:sz w:val="22"/>
              </w:rPr>
            </w:pPr>
            <w:r>
              <w:rPr>
                <w:b/>
                <w:sz w:val="22"/>
              </w:rPr>
              <w:t>12.6.6. Mibanco</w:t>
            </w:r>
          </w:p>
        </w:tc>
        <w:tc>
          <w:tcPr>
            <w:tcW w:w="275" w:type="dxa"/>
            <w:tcBorders/>
            <w:vAlign w:val="center"/>
          </w:tcPr>
          <w:p>
            <w:pPr>
              <w:pStyle w:val="TableContents"/>
              <w:bidi w:val="0"/>
              <w:spacing w:before="0" w:after="283"/>
              <w:jc w:val="right"/>
              <w:rPr>
                <w:sz w:val="22"/>
              </w:rPr>
            </w:pPr>
            <w:r>
              <w:rPr>
                <w:sz w:val="22"/>
              </w:rPr>
              <w:t>71</w:t>
            </w:r>
          </w:p>
        </w:tc>
      </w:tr>
      <w:tr>
        <w:trPr/>
        <w:tc>
          <w:tcPr>
            <w:tcW w:w="9930" w:type="dxa"/>
            <w:tcBorders/>
            <w:vAlign w:val="center"/>
          </w:tcPr>
          <w:p>
            <w:pPr>
              <w:pStyle w:val="TableContents"/>
              <w:bidi w:val="0"/>
              <w:spacing w:before="0" w:after="283"/>
              <w:jc w:val="left"/>
              <w:rPr>
                <w:b/>
                <w:sz w:val="22"/>
              </w:rPr>
            </w:pPr>
            <w:r>
              <w:rPr>
                <w:b/>
                <w:sz w:val="22"/>
              </w:rPr>
              <w:t>12.6.7. Prima AFP</w:t>
            </w:r>
          </w:p>
        </w:tc>
        <w:tc>
          <w:tcPr>
            <w:tcW w:w="275" w:type="dxa"/>
            <w:tcBorders/>
            <w:vAlign w:val="center"/>
          </w:tcPr>
          <w:p>
            <w:pPr>
              <w:pStyle w:val="TableContents"/>
              <w:bidi w:val="0"/>
              <w:spacing w:before="0" w:after="283"/>
              <w:jc w:val="right"/>
              <w:rPr>
                <w:sz w:val="22"/>
              </w:rPr>
            </w:pPr>
            <w:r>
              <w:rPr>
                <w:sz w:val="22"/>
              </w:rPr>
              <w:t>72</w:t>
            </w:r>
          </w:p>
        </w:tc>
      </w:tr>
      <w:tr>
        <w:trPr/>
        <w:tc>
          <w:tcPr>
            <w:tcW w:w="9930" w:type="dxa"/>
            <w:tcBorders/>
            <w:vAlign w:val="center"/>
          </w:tcPr>
          <w:p>
            <w:pPr>
              <w:pStyle w:val="TableContents"/>
              <w:bidi w:val="0"/>
              <w:spacing w:before="0" w:after="283"/>
              <w:jc w:val="left"/>
              <w:rPr>
                <w:b/>
                <w:sz w:val="22"/>
              </w:rPr>
            </w:pPr>
            <w:r>
              <w:rPr>
                <w:b/>
                <w:sz w:val="22"/>
              </w:rPr>
              <w:t>12.6.8. Grupo Pacifico</w:t>
            </w:r>
          </w:p>
        </w:tc>
        <w:tc>
          <w:tcPr>
            <w:tcW w:w="275" w:type="dxa"/>
            <w:tcBorders/>
            <w:vAlign w:val="center"/>
          </w:tcPr>
          <w:p>
            <w:pPr>
              <w:pStyle w:val="TableContents"/>
              <w:bidi w:val="0"/>
              <w:spacing w:before="0" w:after="283"/>
              <w:jc w:val="right"/>
              <w:rPr>
                <w:sz w:val="22"/>
              </w:rPr>
            </w:pPr>
            <w:r>
              <w:rPr>
                <w:sz w:val="22"/>
              </w:rPr>
              <w:t>74</w:t>
            </w:r>
          </w:p>
        </w:tc>
      </w:tr>
      <w:tr>
        <w:trPr/>
        <w:tc>
          <w:tcPr>
            <w:tcW w:w="9930" w:type="dxa"/>
            <w:tcBorders/>
            <w:vAlign w:val="center"/>
          </w:tcPr>
          <w:p>
            <w:pPr>
              <w:pStyle w:val="TableContents"/>
              <w:bidi w:val="0"/>
              <w:spacing w:before="0" w:after="283"/>
              <w:jc w:val="left"/>
              <w:rPr>
                <w:b/>
                <w:sz w:val="22"/>
              </w:rPr>
            </w:pPr>
            <w:r>
              <w:rPr>
                <w:b/>
                <w:sz w:val="22"/>
              </w:rPr>
              <w:t>12.7. Table of calculations</w:t>
            </w:r>
          </w:p>
        </w:tc>
        <w:tc>
          <w:tcPr>
            <w:tcW w:w="275" w:type="dxa"/>
            <w:tcBorders/>
            <w:vAlign w:val="center"/>
          </w:tcPr>
          <w:p>
            <w:pPr>
              <w:pStyle w:val="TableContents"/>
              <w:bidi w:val="0"/>
              <w:spacing w:before="0" w:after="283"/>
              <w:jc w:val="right"/>
              <w:rPr>
                <w:sz w:val="22"/>
              </w:rPr>
            </w:pPr>
            <w:r>
              <w:rPr>
                <w:sz w:val="22"/>
              </w:rPr>
              <w:t>77</w:t>
            </w:r>
          </w:p>
        </w:tc>
      </w:tr>
      <w:tr>
        <w:trPr/>
        <w:tc>
          <w:tcPr>
            <w:tcW w:w="9930" w:type="dxa"/>
            <w:tcBorders/>
            <w:vAlign w:val="center"/>
          </w:tcPr>
          <w:p>
            <w:pPr>
              <w:pStyle w:val="TableContents"/>
              <w:bidi w:val="0"/>
              <w:spacing w:before="0" w:after="283"/>
              <w:jc w:val="left"/>
              <w:rPr>
                <w:b/>
                <w:sz w:val="22"/>
              </w:rPr>
            </w:pPr>
            <w:r>
              <w:rPr>
                <w:b/>
                <w:sz w:val="22"/>
              </w:rPr>
              <w:t>12.8. Glossary of terms</w:t>
            </w:r>
          </w:p>
        </w:tc>
        <w:tc>
          <w:tcPr>
            <w:tcW w:w="275" w:type="dxa"/>
            <w:tcBorders/>
            <w:vAlign w:val="center"/>
          </w:tcPr>
          <w:p>
            <w:pPr>
              <w:pStyle w:val="TableContents"/>
              <w:bidi w:val="0"/>
              <w:spacing w:before="0" w:after="283"/>
              <w:jc w:val="right"/>
              <w:rPr>
                <w:sz w:val="22"/>
              </w:rPr>
            </w:pPr>
            <w:r>
              <w:rPr>
                <w:sz w:val="22"/>
              </w:rPr>
              <w:t>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5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9" descr=""/>
                          <pic:cNvPicPr>
                            <a:picLocks noChangeAspect="1" noChangeArrowheads="1"/>
                          </pic:cNvPicPr>
                        </pic:nvPicPr>
                        <pic:blipFill>
                          <a:blip r:embed="rId11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 Implementation of IFRS 17 – Restatement of figures and ratios for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12.1.1. Introduction to the new standards IFRS 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IFRS 17 was published in May 2017 as a replacement to IFRS 4 “Insurance Contracts.” The aim of this change is to ensure that consistent measurement criteria are applied to improve transparency and the comparability of Financial Statements. The new standard became effective in January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primary objectives of this standard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68" w:type="dxa"/>
            <w:tcBorders/>
            <w:vAlign w:val="center"/>
          </w:tcPr>
          <w:p>
            <w:pPr>
              <w:pStyle w:val="TableContents"/>
              <w:bidi w:val="0"/>
              <w:spacing w:before="0" w:after="283"/>
              <w:jc w:val="both"/>
              <w:rPr/>
            </w:pPr>
            <w:r>
              <w:rPr/>
              <w:t>Improving comparability between insurers at the global level. IFRS 4 allowed entities to use a wide variety of accounting practices with regard to insurance contracts.</w:t>
            </w:r>
          </w:p>
        </w:tc>
      </w:tr>
    </w:tbl>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(ii)</w:t>
            </w:r>
          </w:p>
        </w:tc>
        <w:tc>
          <w:tcPr>
            <w:tcW w:w="9921" w:type="dxa"/>
            <w:tcBorders/>
            <w:vAlign w:val="center"/>
          </w:tcPr>
          <w:p>
            <w:pPr>
              <w:pStyle w:val="TableContents"/>
              <w:bidi w:val="0"/>
              <w:spacing w:before="0" w:after="283"/>
              <w:jc w:val="both"/>
              <w:rPr/>
            </w:pPr>
            <w:r>
              <w:rPr/>
              <w:t>Adequately reflecting the economic value of insurance contracts. Some previous accounting practices allowed under IFRS failed to adequately reflect real underlying financial situations or the financial yields on insurance contracts.</w:t>
            </w:r>
          </w:p>
        </w:tc>
      </w:tr>
    </w:tbl>
    <w:tbl>
      <w:tblPr>
        <w:tblW w:w="5000" w:type="pct"/>
        <w:jc w:val="left"/>
        <w:tblInd w:w="0" w:type="dxa"/>
        <w:tblLayout w:type="fixed"/>
        <w:tblCellMar>
          <w:top w:w="0" w:type="dxa"/>
          <w:left w:w="0" w:type="dxa"/>
          <w:bottom w:w="0" w:type="dxa"/>
          <w:right w:w="0" w:type="dxa"/>
        </w:tblCellMar>
      </w:tblPr>
      <w:tblGrid>
        <w:gridCol w:w="57"/>
        <w:gridCol w:w="535"/>
        <w:gridCol w:w="9613"/>
      </w:tblGrid>
      <w:tr>
        <w:trPr/>
        <w:tc>
          <w:tcPr>
            <w:tcW w:w="5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(iii)</w:t>
            </w:r>
          </w:p>
        </w:tc>
        <w:tc>
          <w:tcPr>
            <w:tcW w:w="9613" w:type="dxa"/>
            <w:tcBorders/>
            <w:vAlign w:val="center"/>
          </w:tcPr>
          <w:p>
            <w:pPr>
              <w:pStyle w:val="TableContents"/>
              <w:bidi w:val="0"/>
              <w:spacing w:before="0" w:after="283"/>
              <w:jc w:val="both"/>
              <w:rPr/>
            </w:pPr>
            <w:r>
              <w:rPr/>
              <w:t>Providing more useful information to users of financial statements.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12.1.2. Conceptual Framework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Insurance contracts combine attributes of risk coverage, provision of services and instruments of investments and by nature, generate cash flows (outflows such as claims payments, redemptions, expirations, pensions, attributable expenses, income such as premiums) during their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difference between expected outflows and inflows (fulfillment cashflows), combined with recognition of cash value over time, constitute the best estimate of the company’s obligations. Due to potential underwriting deviations relative to expected flows, an additional reserve, known as </w:t>
      </w:r>
      <w:r>
        <w:rPr>
          <w:rFonts w:ascii="Arial;Helvetica;Sans-Serif" w:hAnsi="Arial;Helvetica;Sans-Serif"/>
          <w:b/>
          <w:i w:val="false"/>
          <w:caps w:val="false"/>
          <w:smallCaps w:val="false"/>
          <w:sz w:val="20"/>
        </w:rPr>
        <w:t>Risk Adjustment (RA)</w:t>
      </w:r>
      <w:r>
        <w:rPr>
          <w:rFonts w:ascii="Arial;Helvetica;Sans-Serif" w:hAnsi="Arial;Helvetica;Sans-Serif"/>
          <w:b w:val="false"/>
          <w:i w:val="false"/>
          <w:caps w:val="false"/>
          <w:smallCaps w:val="false"/>
          <w:sz w:val="20"/>
        </w:rPr>
        <w:t xml:space="preserve"> must be set aside and the underwriting income that the company expects to obtain from its current product portfolio constitutes the </w:t>
      </w:r>
      <w:r>
        <w:rPr>
          <w:rFonts w:ascii="Arial;Helvetica;Sans-Serif" w:hAnsi="Arial;Helvetica;Sans-Serif"/>
          <w:b/>
          <w:i w:val="false"/>
          <w:caps w:val="false"/>
          <w:smallCaps w:val="false"/>
          <w:sz w:val="20"/>
        </w:rPr>
        <w:t>Contractual Service Margin (CSM).</w:t>
      </w:r>
      <w:r>
        <w:rPr>
          <w:rFonts w:ascii="Arial;Helvetica;Sans-Serif" w:hAnsi="Arial;Helvetica;Sans-Serif"/>
          <w:b w:val="false"/>
          <w:i w:val="false"/>
          <w:caps w:val="false"/>
          <w:smallCaps w:val="false"/>
          <w:sz w:val="20"/>
        </w:rPr>
        <w:t xml:space="preserve"> These 3 concepts, combined with the claims reserves (including reserves for pending claims, IBNR reserves and liquidation expenses) constitute the company’s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12.1.3. Recognition of Profit and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 &amp; L under IFRS shows the difference between a company’s expected cash flows (valued in liabilities) and real flows that occur. Anticipated flows must be based on realistic parameters that reflect the company’s actual experience and current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standard also requires that results be separated into 3 blocks: (i) Insurance service (or direct insurance), (ii) Reinsurance and (iii) Financial Results. This structure allows users to visualize the company’s sources of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Unlike IFRS4, which recognized profit and losses on products during their term, IFRS17 stipulates that expected losses must be recognized at a single moment, meaning upon issuance of policies, while recognition of underwriting income (CSM) must be made gradually over the effective period of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chose the Other Comprehensive Income (OCI) option, which recognizes movements of reserves generated by underwriting issues within the Profit and Loss Statement (changes in mortality, expenses, redemptions, etc.) while within Equity, only variations in liabilities generated by changes in interest rates are recognized. This variation produces an offset to that generated by investments that back reserves and lends stability to the Balance Sheet and the Profit and Loss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12.1.4. Valuation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IFRS 17 introduces different approaches to valuate underwriting provisions based on the product’s characteristics (contract duration, cash flow).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 xml:space="preserve">General Method (GM) or Building Block Approach (BBA): </w:t>
            </w:r>
            <w:r>
              <w:rPr/>
              <w:t>general default model valuation of insurance contracts.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Variable Fee Approach (VFA): </w:t>
            </w:r>
            <w:r>
              <w:rPr/>
              <w:t>model for contract valuation in which cash flows depend on the value of the underlying assets that back said contracts.</w:t>
            </w:r>
          </w:p>
        </w:tc>
      </w:tr>
    </w:tbl>
    <w:tbl>
      <w:tblPr>
        <w:tblW w:w="5000" w:type="pct"/>
        <w:jc w:val="left"/>
        <w:tblInd w:w="0" w:type="dxa"/>
        <w:tblLayout w:type="fixed"/>
        <w:tblCellMar>
          <w:top w:w="0" w:type="dxa"/>
          <w:left w:w="0" w:type="dxa"/>
          <w:bottom w:w="0" w:type="dxa"/>
          <w:right w:w="0" w:type="dxa"/>
        </w:tblCellMar>
      </w:tblPr>
      <w:tblGrid>
        <w:gridCol w:w="51"/>
        <w:gridCol w:w="229"/>
        <w:gridCol w:w="9925"/>
      </w:tblGrid>
      <w:tr>
        <w:trPr/>
        <w:tc>
          <w:tcPr>
            <w:tcW w:w="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both"/>
              <w:rPr/>
            </w:pPr>
            <w:r>
              <w:rPr>
                <w:b/>
              </w:rPr>
              <w:t xml:space="preserve">Premium Allocation Approach (PAA): </w:t>
            </w:r>
            <w:r>
              <w:rPr/>
              <w:t>simplification of the general model.</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5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0" descr=""/>
                          <pic:cNvPicPr>
                            <a:picLocks noChangeAspect="1" noChangeArrowheads="1"/>
                          </pic:cNvPicPr>
                        </pic:nvPicPr>
                        <pic:blipFill>
                          <a:blip r:embed="rId119"/>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12.1.5. Impact on Equity Under IFRS 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the implementation of the IFRS 17 standard on the net equity balance of Pacifico Seguros is not material, registering at the end of December 2022 a net equity under IFRS 17 which is S/ 10 million greater than the net equity calculated under IFRS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 should be mentioned that as of the end of December 2021 (date of the “first application” of the standard), the net equity of Pacifico Seguros under IFRS 17 was S/ 211 million less than the net equity registered under IFRS 4. This initial gap narrowed during 2022 as a result of a contraction in the value of liabilities under IFRS 17, associated with the interest rates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12.1.6. Reformulation of Profit and Loss Statement at Pacifico Grupo Asegurador for year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7620000" cy="3638550"/>
            <wp:effectExtent l="0" t="0" r="0" b="0"/>
            <wp:docPr id="15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01" descr=""/>
                    <pic:cNvPicPr>
                      <a:picLocks noChangeAspect="1" noChangeArrowheads="1"/>
                    </pic:cNvPicPr>
                  </pic:nvPicPr>
                  <pic:blipFill>
                    <a:blip r:embed="rId120"/>
                    <a:stretch>
                      <a:fillRect/>
                    </a:stretch>
                  </pic:blipFill>
                  <pic:spPr bwMode="auto">
                    <a:xfrm>
                      <a:off x="0" y="0"/>
                      <a:ext cx="7620000" cy="36385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2"/>
              </w:rPr>
            </w:pPr>
            <w:r>
              <w:rPr>
                <w:b/>
                <w:sz w:val="22"/>
              </w:rPr>
              <w:t>I.</w:t>
            </w:r>
          </w:p>
        </w:tc>
        <w:tc>
          <w:tcPr>
            <w:tcW w:w="9998" w:type="dxa"/>
            <w:tcBorders/>
            <w:vAlign w:val="center"/>
          </w:tcPr>
          <w:p>
            <w:pPr>
              <w:pStyle w:val="TableContents"/>
              <w:bidi w:val="0"/>
              <w:spacing w:before="0" w:after="283"/>
              <w:jc w:val="both"/>
              <w:rPr>
                <w:sz w:val="20"/>
              </w:rPr>
            </w:pPr>
            <w:r>
              <w:rPr>
                <w:sz w:val="20"/>
              </w:rPr>
              <w:t xml:space="preserve">A new sub-account, “Financial Expenses associated with insurance and reinsurance activities, net” is included in the account for Interest Expenses at Pacifico Seguros. This concept corresponds to interest accredited to reserves. This interest is attributable to an update of the present value of said reserves to the date of the close of the period. This concept was previously presented as part of reserves adjustment included in the underwriting result under IFRS4. IFRS17 separates the financial component from the underwriting component.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sz w:val="22"/>
              </w:rPr>
            </w:pPr>
            <w:r>
              <w:rPr>
                <w:b/>
                <w:sz w:val="22"/>
              </w:rPr>
              <w:t>II.</w:t>
            </w:r>
          </w:p>
        </w:tc>
        <w:tc>
          <w:tcPr>
            <w:tcW w:w="9908" w:type="dxa"/>
            <w:tcBorders/>
            <w:vAlign w:val="center"/>
          </w:tcPr>
          <w:p>
            <w:pPr>
              <w:pStyle w:val="TableContents"/>
              <w:bidi w:val="0"/>
              <w:spacing w:before="0" w:after="283"/>
              <w:jc w:val="both"/>
              <w:rPr>
                <w:sz w:val="20"/>
              </w:rPr>
            </w:pPr>
            <w:r>
              <w:rPr>
                <w:sz w:val="20"/>
              </w:rPr>
              <w:t xml:space="preserve">An impact is registered in the “Gain on exchange rate difference” line because the structure of the assets and liabilities related to insurance activities has been modified. The monetary position of these assets and liabilities changes due to the way that assets and liabilities are recognized under IFRS17.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sz w:val="22"/>
              </w:rPr>
            </w:pPr>
            <w:r>
              <w:rPr>
                <w:b/>
                <w:sz w:val="22"/>
              </w:rPr>
              <w:t>III.</w:t>
            </w:r>
          </w:p>
        </w:tc>
        <w:tc>
          <w:tcPr>
            <w:tcW w:w="9818" w:type="dxa"/>
            <w:tcBorders/>
            <w:vAlign w:val="center"/>
          </w:tcPr>
          <w:p>
            <w:pPr>
              <w:pStyle w:val="TableContents"/>
              <w:bidi w:val="0"/>
              <w:spacing w:before="0" w:after="283"/>
              <w:jc w:val="both"/>
              <w:rPr>
                <w:sz w:val="20"/>
              </w:rPr>
            </w:pPr>
            <w:r>
              <w:rPr>
                <w:sz w:val="20"/>
              </w:rPr>
              <w:t xml:space="preserve">Some concepts of income that were previously registered (under IFRS 4) as “Non-Operating Income” are now (under IFRS 17) reclassified and included in the cash flows associated with insurance contracts. As such, these concepts are now part of the Insurance Underwriting Result.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5"/>
        <w:gridCol w:w="9833"/>
      </w:tblGrid>
      <w:tr>
        <w:trPr/>
        <w:tc>
          <w:tcPr>
            <w:tcW w:w="3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b/>
                <w:sz w:val="22"/>
              </w:rPr>
            </w:pPr>
            <w:r>
              <w:rPr>
                <w:b/>
                <w:sz w:val="22"/>
              </w:rPr>
              <w:t>IV.</w:t>
            </w:r>
          </w:p>
        </w:tc>
        <w:tc>
          <w:tcPr>
            <w:tcW w:w="9833" w:type="dxa"/>
            <w:tcBorders/>
            <w:vAlign w:val="center"/>
          </w:tcPr>
          <w:p>
            <w:pPr>
              <w:pStyle w:val="TableContents"/>
              <w:bidi w:val="0"/>
              <w:spacing w:before="0" w:after="283"/>
              <w:jc w:val="both"/>
              <w:rPr>
                <w:sz w:val="20"/>
              </w:rPr>
            </w:pPr>
            <w:r>
              <w:rPr>
                <w:sz w:val="20"/>
              </w:rPr>
              <w:t>Recognition of insurance underwriting income is completely different under IFRS 17. IFRS 17 recognizes that insurance contracts combine financial and service characteristics, and in many cases generate variable cash flows in the long-term. To adequately reflect these characteristics, IFRS combines measurements of future cash flows with recognition of the results of the insurance contract throughout the period in which the service is provided. IFRS 17 requires present value measurements of insurance obligations where estimates are recalculated in each reporting period. Contracts are measured using the components of: (i) Fulfilment Cash Flows, (ii) An explicit adjustment for risk or uncertainty of flows, or “Risk Adjustment” and (iii) a Contractual Service Margin, which represents unaccrued underwriting income associated with the contract. This Contractual Service Margin is recognized as income during the coverage term. Insurance contracts combine</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olor w:val="FFFFFF"/>
              </w:rPr>
            </w:pPr>
            <w:r>
              <w:rPr>
                <w:color w:val="FFFFFF"/>
              </w:rPr>
              <w:drawing>
                <wp:inline distT="0" distB="0" distL="0" distR="0">
                  <wp:extent cx="1428750" cy="171450"/>
                  <wp:effectExtent l="0" t="0" r="0" b="0"/>
                  <wp:docPr id="16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02" descr=""/>
                          <pic:cNvPicPr>
                            <a:picLocks noChangeAspect="1" noChangeArrowheads="1"/>
                          </pic:cNvPicPr>
                        </pic:nvPicPr>
                        <pic:blipFill>
                          <a:blip r:embed="rId121"/>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0"/>
        <w:gridCol w:w="10108"/>
      </w:tblGrid>
      <w:tr>
        <w:trPr/>
        <w:tc>
          <w:tcPr>
            <w:tcW w:w="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8" w:type="dxa"/>
            <w:tcBorders/>
            <w:vAlign w:val="center"/>
          </w:tcPr>
          <w:p>
            <w:pPr>
              <w:pStyle w:val="TableContents"/>
              <w:bidi w:val="0"/>
              <w:spacing w:before="0" w:after="283"/>
              <w:jc w:val="both"/>
              <w:rPr>
                <w:sz w:val="20"/>
              </w:rPr>
            </w:pPr>
            <w:r>
              <w:rPr>
                <w:sz w:val="20"/>
              </w:rPr>
              <w:t xml:space="preserve">financial and service characteristics, whereas IFRS combines future cash flows with registry of the results of the insurance contract during the service provision period.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sz w:val="22"/>
              </w:rPr>
            </w:pPr>
            <w:r>
              <w:rPr>
                <w:b/>
                <w:sz w:val="22"/>
              </w:rPr>
              <w:t>V.</w:t>
            </w:r>
          </w:p>
        </w:tc>
        <w:tc>
          <w:tcPr>
            <w:tcW w:w="9923" w:type="dxa"/>
            <w:tcBorders/>
            <w:vAlign w:val="center"/>
          </w:tcPr>
          <w:p>
            <w:pPr>
              <w:pStyle w:val="TableContents"/>
              <w:bidi w:val="0"/>
              <w:spacing w:before="0" w:after="283"/>
              <w:jc w:val="both"/>
              <w:rPr>
                <w:sz w:val="20"/>
              </w:rPr>
            </w:pPr>
            <w:r>
              <w:rPr>
                <w:sz w:val="20"/>
              </w:rPr>
              <w:t xml:space="preserve">One of the changes generated by the application of IFRS 17 is that it sets forth a new concept for costs that are directly associated with obtaining and fulfilling insurance contracts. Said costs are denominated “Attributable Costs” and are included in the expected flows for the disbursements associated with these contracts. Under IFRS 4, some of these expenses were included in Total Expenses.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5"/>
        <w:gridCol w:w="9833"/>
      </w:tblGrid>
      <w:tr>
        <w:trPr/>
        <w:tc>
          <w:tcPr>
            <w:tcW w:w="3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b/>
                <w:sz w:val="22"/>
              </w:rPr>
            </w:pPr>
            <w:r>
              <w:rPr>
                <w:b/>
                <w:sz w:val="22"/>
              </w:rPr>
              <w:t>VI.</w:t>
            </w:r>
          </w:p>
        </w:tc>
        <w:tc>
          <w:tcPr>
            <w:tcW w:w="9833" w:type="dxa"/>
            <w:tcBorders/>
            <w:vAlign w:val="center"/>
          </w:tcPr>
          <w:p>
            <w:pPr>
              <w:pStyle w:val="TableContents"/>
              <w:bidi w:val="0"/>
              <w:spacing w:before="0" w:after="283"/>
              <w:jc w:val="both"/>
              <w:rPr>
                <w:sz w:val="20"/>
              </w:rPr>
            </w:pPr>
            <w:r>
              <w:rPr>
                <w:sz w:val="20"/>
              </w:rPr>
              <w:t xml:space="preserve">The aggregate impact of implementing IFRS 17 in the Net Earnings of Pacifico Grupo Asegurador is not material and stands at S/15 million for the year 2022.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12.1.7. Reformulation of Credicorp’s Profit and Loss Statement for year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Below, we reformulate Credicorp’s Profit and Loss Statement. As is evident in the image below, the impact of implementing IFRS at Pacifico Grupo Asegurador translates to Credicorp account by account in identical or highly similar amounts. The aggregate impact of implementing IFRS 17 on the Net Earnings of Credicorp is not material and amounts to S/15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7620000" cy="3248025"/>
            <wp:effectExtent l="0" t="0" r="0" b="0"/>
            <wp:docPr id="16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3" descr=""/>
                    <pic:cNvPicPr>
                      <a:picLocks noChangeAspect="1" noChangeArrowheads="1"/>
                    </pic:cNvPicPr>
                  </pic:nvPicPr>
                  <pic:blipFill>
                    <a:blip r:embed="rId122"/>
                    <a:stretch>
                      <a:fillRect/>
                    </a:stretch>
                  </pic:blipFill>
                  <pic:spPr bwMode="auto">
                    <a:xfrm>
                      <a:off x="0" y="0"/>
                      <a:ext cx="7620000" cy="3248025"/>
                    </a:xfrm>
                    <a:prstGeom prst="rect">
                      <a:avLst/>
                    </a:prstGeom>
                  </pic:spPr>
                </pic:pic>
              </a:graphicData>
            </a:graphic>
          </wp:inline>
        </w:drawing>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12.1.8. Changes in the Methodology to Calculate Financial Indicators and their Reformulation for the year 2022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763"/>
        <w:gridCol w:w="9255"/>
      </w:tblGrid>
      <w:tr>
        <w:trPr/>
        <w:tc>
          <w:tcPr>
            <w:tcW w:w="18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pPr>
            <w:r>
              <w:rPr/>
              <w:t>I.</w:t>
            </w:r>
          </w:p>
        </w:tc>
        <w:tc>
          <w:tcPr>
            <w:tcW w:w="9255" w:type="dxa"/>
            <w:tcBorders/>
            <w:vAlign w:val="center"/>
          </w:tcPr>
          <w:p>
            <w:pPr>
              <w:pStyle w:val="TableContents"/>
              <w:bidi w:val="0"/>
              <w:spacing w:before="0" w:after="283"/>
              <w:jc w:val="left"/>
              <w:rPr/>
            </w:pPr>
            <w:r>
              <w:rPr/>
              <w:t>Net Interest Margin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Net Interest Margin is reformulated in the following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IFRS 4, the numerator of the Net Interest Margin was comprised of the difference between Interest Income and Interest Expenses. Under IFRS 17, we need to adjust the formula because Interest Expenses now include the concept “Financial Expense associated with the insurance and reinsurance activity, net.” We seek to exclude the impact of this concept on the Net Interest Margin given that this particular kind of interest expense is not associated with a source of funding. As such, we adjust the numerator by reincorporating “Financial Expense associated with insurance and reinsurance activity, net” to “Net Interest Income” calculated under IFRS 17. It is important to note that as a result of this adjustment, the numerator of the Net Interest Margin under IRFS4 is identical to that seen under IFRS 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now on, we will exclude from the denominator (average balance of Interest-earning Assets) the following: the balance associated with the account “Financial Assets at Fair Value through P&amp;L” given that this account is primarily comprised of investments associated from Investment Link contracts, which do not accrue interests for Credicorp. This change is not related to IFRS 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Below, we present the aforementioned change in graphic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49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6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4" descr=""/>
                          <pic:cNvPicPr>
                            <a:picLocks noChangeAspect="1" noChangeArrowheads="1"/>
                          </pic:cNvPicPr>
                        </pic:nvPicPr>
                        <pic:blipFill>
                          <a:blip r:embed="rId123"/>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667500" cy="3352800"/>
            <wp:effectExtent l="0" t="0" r="0" b="0"/>
            <wp:docPr id="16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5" descr=""/>
                    <pic:cNvPicPr>
                      <a:picLocks noChangeAspect="1" noChangeArrowheads="1"/>
                    </pic:cNvPicPr>
                  </pic:nvPicPr>
                  <pic:blipFill>
                    <a:blip r:embed="rId124"/>
                    <a:stretch>
                      <a:fillRect/>
                    </a:stretch>
                  </pic:blipFill>
                  <pic:spPr bwMode="auto">
                    <a:xfrm>
                      <a:off x="0" y="0"/>
                      <a:ext cx="6667500" cy="3352800"/>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5000" w:type="pct"/>
        <w:jc w:val="left"/>
        <w:tblInd w:w="0" w:type="dxa"/>
        <w:tblLayout w:type="fixed"/>
        <w:tblCellMar>
          <w:top w:w="0" w:type="dxa"/>
          <w:left w:w="0" w:type="dxa"/>
          <w:bottom w:w="0" w:type="dxa"/>
          <w:right w:w="0" w:type="dxa"/>
        </w:tblCellMar>
      </w:tblPr>
      <w:tblGrid>
        <w:gridCol w:w="243"/>
        <w:gridCol w:w="1473"/>
        <w:gridCol w:w="8489"/>
      </w:tblGrid>
      <w:tr>
        <w:trPr/>
        <w:tc>
          <w:tcPr>
            <w:tcW w:w="24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pPr>
            <w:r>
              <w:rPr/>
              <w:t>II.</w:t>
            </w:r>
          </w:p>
        </w:tc>
        <w:tc>
          <w:tcPr>
            <w:tcW w:w="8489" w:type="dxa"/>
            <w:tcBorders/>
            <w:vAlign w:val="center"/>
          </w:tcPr>
          <w:p>
            <w:pPr>
              <w:pStyle w:val="TableContents"/>
              <w:bidi w:val="0"/>
              <w:spacing w:before="0" w:after="283"/>
              <w:jc w:val="left"/>
              <w:rPr/>
            </w:pPr>
            <w:r>
              <w:rPr/>
              <w:t>Funding Cost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Funding Cost indicator is being reformulated as follows: under IFRS 4, the numerator of the Funding Cost is comprised of the balance of the “Interest Expenses” account while under IFRS 17, we must adjust the formula given that Interest Expenses now include the concept of “Financial expense associated with insurance and reinsurance activity, net.” We seek to exclude the impact of this new concept on the Funding Cost given that this particular type of expense is not associated with a source of funding. As such, we adjust the numerator by deducting the “Financial Expense associated with insurance and reinsurance activity, net” from “Interest Expenses “calculated under IFRS 17. It is important to note that as a result of this adjustment, the figure for the Funding Cost under IFRS is identical to the same figure under IFRS 17. The following figure is a graphic representation of the aforementioned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667500" cy="3648075"/>
            <wp:effectExtent l="0" t="0" r="0" b="0"/>
            <wp:docPr id="16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06" descr=""/>
                    <pic:cNvPicPr>
                      <a:picLocks noChangeAspect="1" noChangeArrowheads="1"/>
                    </pic:cNvPicPr>
                  </pic:nvPicPr>
                  <pic:blipFill>
                    <a:blip r:embed="rId125"/>
                    <a:stretch>
                      <a:fillRect/>
                    </a:stretch>
                  </pic:blipFill>
                  <pic:spPr bwMode="auto">
                    <a:xfrm>
                      <a:off x="0" y="0"/>
                      <a:ext cx="6667500" cy="3648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6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7" descr=""/>
                          <pic:cNvPicPr>
                            <a:picLocks noChangeAspect="1" noChangeArrowheads="1"/>
                          </pic:cNvPicPr>
                        </pic:nvPicPr>
                        <pic:blipFill>
                          <a:blip r:embed="rId126"/>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1619"/>
        <w:gridCol w:w="8385"/>
      </w:tblGrid>
      <w:tr>
        <w:trPr/>
        <w:tc>
          <w:tcPr>
            <w:tcW w:w="20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pPr>
            <w:r>
              <w:rPr/>
              <w:t>III.</w:t>
            </w:r>
          </w:p>
        </w:tc>
        <w:tc>
          <w:tcPr>
            <w:tcW w:w="8385" w:type="dxa"/>
            <w:tcBorders/>
            <w:vAlign w:val="center"/>
          </w:tcPr>
          <w:p>
            <w:pPr>
              <w:pStyle w:val="TableContents"/>
              <w:bidi w:val="0"/>
              <w:spacing w:before="0" w:after="283"/>
              <w:jc w:val="left"/>
              <w:rPr/>
            </w:pPr>
            <w:r>
              <w:rPr/>
              <w:t>Efficiency Ratio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Efficiency Ratio is being reformulated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IFRS 4, the numerator of the Efficiency Ratio is comprised of the total of the “Salaries and Employee Benefits,” “Administrative Expenses,” “Depreciation and Amortization,” “Expenses for Participation in Association,” and the “Acquisition Cost” accounts. Collectively, these accounts constitute “Operating Expenses.” Under IFRS 17, we make an adjustment to the components of this group of “Operating Expenses” given that the “Acquisition Cost” no longer exists in the Profit and Loss Statement under IFRS 17. Consequently, under IFRS 17, the grouping of “Operating Expenses” is comprised solely of “Salaries and Employee Benefits,” “Administrative Expenses,” “Depreciation and Amortization,” and “Expenses for Participation in Association.” It is important to note that balances of these accounts under IFRS17 are not the same as the balances of the accounts with the same name under IFRS17.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IFRS 4, the denominator of the Efficiency Ratio is comprised of the total of the accounts grouped as Core Operating Income (“Interest Income, net”, “Fee income, net,” and “Net gain on FX transactions”); the accounts grouped as Non-Core Operating Income (“Gain on Investments in Associates, “Gain on derivatives,” “Net gain on Exchange Differences); and the “Net Earned Premiums” account. Collectively, all of these accounts constitute “Operating Income.” Under IFRS 17, we are adjusting the components of the grouping for “Operating Income” to replace the component of “Net Earned Premiums” with the “Insurance Underwriting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 is important to note that the result of replacing the “Net Earned Premiums “account with the “Insurance Underwriting Result” in the denominator of the efficiency ratio is in fact very significant (upward). The aforementioned is due to the fact that the balance of Insurance Technical results is usually materially lower than the balance of Net Earned Premiums as Insurance Technical results have embedded the impact of charges for Incurred Claims. Below, we present a graphic depiction of the aforementioned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3638550"/>
            <wp:effectExtent l="0" t="0" r="0" b="0"/>
            <wp:docPr id="16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08" descr=""/>
                    <pic:cNvPicPr>
                      <a:picLocks noChangeAspect="1" noChangeArrowheads="1"/>
                    </pic:cNvPicPr>
                  </pic:nvPicPr>
                  <pic:blipFill>
                    <a:blip r:embed="rId127"/>
                    <a:stretch>
                      <a:fillRect/>
                    </a:stretch>
                  </pic:blipFill>
                  <pic:spPr bwMode="auto">
                    <a:xfrm>
                      <a:off x="0" y="0"/>
                      <a:ext cx="6667500" cy="363855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6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09" descr=""/>
                          <pic:cNvPicPr>
                            <a:picLocks noChangeAspect="1" noChangeArrowheads="1"/>
                          </pic:cNvPicPr>
                        </pic:nvPicPr>
                        <pic:blipFill>
                          <a:blip r:embed="rId12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12.1.9. Glossary of Terms Under IFRS 17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160" w:type="dxa"/>
          <w:right w:w="108" w:type="dxa"/>
        </w:tblCellMar>
      </w:tblPr>
      <w:tblGrid>
        <w:gridCol w:w="2925"/>
        <w:gridCol w:w="7280"/>
      </w:tblGrid>
      <w:tr>
        <w:trPr/>
        <w:tc>
          <w:tcPr>
            <w:tcW w:w="2925" w:type="dxa"/>
            <w:tcBorders>
              <w:top w:val="single" w:sz="8" w:space="0" w:color="000000"/>
              <w:left w:val="single" w:sz="8" w:space="0" w:color="000000"/>
              <w:bottom w:val="single" w:sz="8" w:space="0" w:color="000000"/>
              <w:right w:val="single" w:sz="8" w:space="0" w:color="000000"/>
            </w:tcBorders>
            <w:shd w:fill="808080" w:val="clear"/>
            <w:vAlign w:val="center"/>
          </w:tcPr>
          <w:p>
            <w:pPr>
              <w:pStyle w:val="TableContents"/>
              <w:bidi w:val="0"/>
              <w:spacing w:before="0" w:after="283"/>
              <w:jc w:val="center"/>
              <w:rPr>
                <w:color w:val="FFFFFF"/>
              </w:rPr>
            </w:pPr>
            <w:r>
              <w:rPr>
                <w:color w:val="FFFFFF"/>
              </w:rPr>
              <w:t> </w:t>
            </w:r>
            <w:r>
              <w:rPr>
                <w:rFonts w:ascii="Arial;Helvetica;Sans-Serif" w:hAnsi="Arial;Helvetica;Sans-Serif"/>
                <w:color w:val="FFFFFF"/>
                <w:sz w:val="20"/>
              </w:rPr>
              <w:t>Reserve for BEL (Best Estimate Liability) o Fulfillment Cashflows.</w:t>
            </w:r>
          </w:p>
        </w:tc>
        <w:tc>
          <w:tcPr>
            <w:tcW w:w="7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Represents the best estimate of the difference between payments for obligations (claims, income and expenses) and premiums, flowed and brought to present value at the time of valuation. </w:t>
            </w:r>
          </w:p>
        </w:tc>
      </w:tr>
      <w:tr>
        <w:trPr/>
        <w:tc>
          <w:tcPr>
            <w:tcW w:w="2925" w:type="dxa"/>
            <w:tcBorders>
              <w:left w:val="single" w:sz="8" w:space="0" w:color="000000"/>
              <w:bottom w:val="single" w:sz="8" w:space="0" w:color="000000"/>
              <w:right w:val="single" w:sz="8" w:space="0" w:color="000000"/>
            </w:tcBorders>
            <w:shd w:fill="808080" w:val="clear"/>
            <w:tcMar>
              <w:top w:w="0" w:type="dxa"/>
            </w:tcM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 xml:space="preserve">Reserve for RA (risk Adjustment). </w:t>
            </w:r>
          </w:p>
        </w:tc>
        <w:tc>
          <w:tcPr>
            <w:tcW w:w="7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Represents the margin of prudence that will be used to cover deviations in the underwriting parameters beyond changes in the interest rate. </w:t>
            </w:r>
          </w:p>
        </w:tc>
      </w:tr>
      <w:tr>
        <w:trPr/>
        <w:tc>
          <w:tcPr>
            <w:tcW w:w="2925" w:type="dxa"/>
            <w:tcBorders>
              <w:left w:val="single" w:sz="8" w:space="0" w:color="000000"/>
              <w:bottom w:val="single" w:sz="8" w:space="0" w:color="000000"/>
              <w:right w:val="single" w:sz="8" w:space="0" w:color="000000"/>
            </w:tcBorders>
            <w:shd w:fill="808080" w:val="clear"/>
            <w:tcMar>
              <w:top w:w="0" w:type="dxa"/>
            </w:tcM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Reserve for CSM (Contractual Service Margin).</w:t>
            </w:r>
          </w:p>
        </w:tc>
        <w:tc>
          <w:tcPr>
            <w:tcW w:w="7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Represents the present value of future underwriting income (non-financial). Income accrues over the life of the policy. </w:t>
            </w:r>
          </w:p>
        </w:tc>
      </w:tr>
      <w:tr>
        <w:trPr/>
        <w:tc>
          <w:tcPr>
            <w:tcW w:w="2925" w:type="dxa"/>
            <w:tcBorders>
              <w:left w:val="single" w:sz="8" w:space="0" w:color="000000"/>
              <w:bottom w:val="single" w:sz="8" w:space="0" w:color="000000"/>
              <w:right w:val="single" w:sz="8" w:space="0" w:color="000000"/>
            </w:tcBorders>
            <w:shd w:fill="808080" w:val="clear"/>
            <w:tcMar>
              <w:top w:w="0" w:type="dxa"/>
            </w:tcM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Attributable Expenses</w:t>
            </w:r>
          </w:p>
        </w:tc>
        <w:tc>
          <w:tcPr>
            <w:tcW w:w="7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Corresponds to necessary expenses to place a policy or maintain the same throughout its term. It is part of insurance flows. </w:t>
            </w:r>
          </w:p>
        </w:tc>
      </w:tr>
      <w:tr>
        <w:trPr/>
        <w:tc>
          <w:tcPr>
            <w:tcW w:w="2925" w:type="dxa"/>
            <w:tcBorders>
              <w:left w:val="single" w:sz="8" w:space="0" w:color="000000"/>
              <w:bottom w:val="single" w:sz="8" w:space="0" w:color="000000"/>
              <w:right w:val="single" w:sz="8" w:space="0" w:color="000000"/>
            </w:tcBorders>
            <w:shd w:fill="808080" w:val="clear"/>
            <w:tcMar>
              <w:top w:w="0" w:type="dxa"/>
            </w:tcM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Financial Expense associated with the insurance and reinsurance activity, net</w:t>
            </w:r>
          </w:p>
        </w:tc>
        <w:tc>
          <w:tcPr>
            <w:tcW w:w="7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Represents interest accredited to reserves in the period after updating their present value. This concept was previously included in reserves under IFRS 4. IFRS 17 separates the financial component from the underwriting component. </w:t>
            </w:r>
          </w:p>
        </w:tc>
      </w:tr>
      <w:tr>
        <w:trPr/>
        <w:tc>
          <w:tcPr>
            <w:tcW w:w="2925" w:type="dxa"/>
            <w:tcBorders>
              <w:left w:val="single" w:sz="8" w:space="0" w:color="000000"/>
              <w:bottom w:val="single" w:sz="8" w:space="0" w:color="000000"/>
              <w:right w:val="single" w:sz="8" w:space="0" w:color="000000"/>
            </w:tcBorders>
            <w:shd w:fill="808080" w:val="clear"/>
            <w:tcMar>
              <w:top w:w="0" w:type="dxa"/>
            </w:tcM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Onerous Contracts</w:t>
            </w:r>
          </w:p>
        </w:tc>
        <w:tc>
          <w:tcPr>
            <w:tcW w:w="7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The contracts that the company estimates will generate underwriting losses (not including financial income) during the policy term.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12.2. Physical Point of contact</w:t>
      </w:r>
    </w:p>
    <w:p>
      <w:pPr>
        <w:pStyle w:val="TextBody"/>
        <w:bidi w:val="0"/>
        <w:spacing w:before="0" w:after="0"/>
        <w:ind w:left="0" w:right="0" w:hanging="0"/>
        <w:jc w:val="left"/>
        <w:rPr>
          <w:caps w:val="false"/>
          <w:smallCaps w:val="false"/>
        </w:rPr>
      </w:pPr>
      <w:r>
        <w:rPr>
          <w:caps w:val="false"/>
          <w:smallCaps w:val="false"/>
        </w:rPr>
        <w:t> </w:t>
      </w:r>
    </w:p>
    <w:tbl>
      <w:tblPr>
        <w:tblW w:w="6885" w:type="dxa"/>
        <w:jc w:val="center"/>
        <w:tblInd w:w="0" w:type="dxa"/>
        <w:tblLayout w:type="fixed"/>
        <w:tblCellMar>
          <w:top w:w="28" w:type="dxa"/>
          <w:left w:w="28" w:type="dxa"/>
          <w:bottom w:w="0" w:type="dxa"/>
          <w:right w:w="28" w:type="dxa"/>
        </w:tblCellMar>
      </w:tblPr>
      <w:tblGrid>
        <w:gridCol w:w="2915"/>
        <w:gridCol w:w="710"/>
        <w:gridCol w:w="770"/>
        <w:gridCol w:w="710"/>
        <w:gridCol w:w="500"/>
        <w:gridCol w:w="1280"/>
      </w:tblGrid>
      <w:tr>
        <w:trPr/>
        <w:tc>
          <w:tcPr>
            <w:tcW w:w="2915" w:type="dxa"/>
            <w:tcBorders>
              <w:top w:val="single" w:sz="8" w:space="0" w:color="000000"/>
              <w:left w:val="single" w:sz="8" w:space="0" w:color="000000"/>
              <w:right w:val="single" w:sz="8" w:space="0" w:color="000000"/>
            </w:tcBorders>
            <w:shd w:fill="2AD2C9" w:val="clear"/>
            <w:vAlign w:val="center"/>
          </w:tcPr>
          <w:p>
            <w:pPr>
              <w:pStyle w:val="TableContents"/>
              <w:bidi w:val="0"/>
              <w:spacing w:lineRule="auto" w:line="240" w:before="0" w:after="283"/>
              <w:jc w:val="left"/>
              <w:rPr>
                <w:b/>
                <w:color w:val="FFFFFF"/>
              </w:rPr>
            </w:pPr>
            <w:r>
              <w:rPr>
                <w:b/>
                <w:color w:val="FFFFFF"/>
              </w:rPr>
              <w:t xml:space="preserve">Physical Point of Contact </w:t>
            </w:r>
            <w:r>
              <w:rPr>
                <w:rFonts w:ascii="Arial;Helvetica;Sans-Serif" w:hAnsi="Arial;Helvetica;Sans-Serif"/>
                <w:b/>
                <w:i w:val="false"/>
                <w:caps w:val="false"/>
                <w:smallCaps w:val="false"/>
                <w:color w:val="FFFFFF"/>
                <w:sz w:val="22"/>
              </w:rPr>
              <w:t>(1)</w:t>
            </w:r>
          </w:p>
        </w:tc>
        <w:tc>
          <w:tcPr>
            <w:tcW w:w="2190" w:type="dxa"/>
            <w:gridSpan w:val="3"/>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rPr>
            </w:pPr>
            <w:r>
              <w:rPr>
                <w:b/>
                <w:color w:val="FFFFFF"/>
              </w:rPr>
              <w:t>As of</w:t>
            </w:r>
          </w:p>
        </w:tc>
        <w:tc>
          <w:tcPr>
            <w:tcW w:w="178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rPr>
            </w:pPr>
            <w:r>
              <w:rPr>
                <w:b/>
                <w:color w:val="FFFFFF"/>
              </w:rPr>
              <w:t>change (units) </w:t>
            </w:r>
          </w:p>
        </w:tc>
      </w:tr>
      <w:tr>
        <w:trPr/>
        <w:tc>
          <w:tcPr>
            <w:tcW w:w="2915"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left"/>
              <w:rPr>
                <w:b/>
                <w:color w:val="FFFFFF"/>
              </w:rPr>
            </w:pPr>
            <w:r>
              <w:rPr>
                <w:b/>
                <w:color w:val="FFFFFF"/>
              </w:rPr>
              <w:t>(Units)</w:t>
            </w:r>
          </w:p>
        </w:tc>
        <w:tc>
          <w:tcPr>
            <w:tcW w:w="710"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center"/>
              <w:rPr>
                <w:b/>
                <w:color w:val="FFFFFF"/>
              </w:rPr>
            </w:pPr>
            <w:r>
              <w:rPr>
                <w:b/>
                <w:color w:val="FFFFFF"/>
              </w:rPr>
              <w:t>Jun 22</w:t>
            </w:r>
          </w:p>
        </w:tc>
        <w:tc>
          <w:tcPr>
            <w:tcW w:w="77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rPr>
            </w:pPr>
            <w:r>
              <w:rPr>
                <w:b/>
                <w:color w:val="FFFFFF"/>
              </w:rPr>
              <w:t>Mar 23</w:t>
            </w:r>
          </w:p>
        </w:tc>
        <w:tc>
          <w:tcPr>
            <w:tcW w:w="71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rPr>
            </w:pPr>
            <w:r>
              <w:rPr>
                <w:b/>
                <w:color w:val="FFFFFF"/>
              </w:rPr>
              <w:t>Jun 23</w:t>
            </w:r>
          </w:p>
        </w:tc>
        <w:tc>
          <w:tcPr>
            <w:tcW w:w="500" w:type="dxa"/>
            <w:tcBorders/>
            <w:shd w:fill="2AD2C9" w:val="clear"/>
            <w:tcMar>
              <w:top w:w="0" w:type="dxa"/>
              <w:left w:w="0" w:type="dxa"/>
              <w:right w:w="0" w:type="dxa"/>
            </w:tcMar>
            <w:vAlign w:val="center"/>
          </w:tcPr>
          <w:p>
            <w:pPr>
              <w:pStyle w:val="TableContents"/>
              <w:bidi w:val="0"/>
              <w:spacing w:before="0" w:after="283"/>
              <w:jc w:val="center"/>
              <w:rPr>
                <w:b/>
                <w:color w:val="FFFFFF"/>
              </w:rPr>
            </w:pPr>
            <w:r>
              <w:rPr>
                <w:b/>
                <w:color w:val="FFFFFF"/>
              </w:rPr>
              <w:t>QoQ</w:t>
            </w:r>
          </w:p>
        </w:tc>
        <w:tc>
          <w:tcPr>
            <w:tcW w:w="1280" w:type="dxa"/>
            <w:tcBorders>
              <w:right w:val="single" w:sz="8" w:space="0" w:color="000000"/>
            </w:tcBorders>
            <w:shd w:fill="2AD2C9" w:val="clear"/>
            <w:tcMar>
              <w:top w:w="0" w:type="dxa"/>
              <w:left w:w="0" w:type="dxa"/>
            </w:tcMar>
            <w:vAlign w:val="center"/>
          </w:tcPr>
          <w:p>
            <w:pPr>
              <w:pStyle w:val="TableContents"/>
              <w:bidi w:val="0"/>
              <w:spacing w:before="0" w:after="283"/>
              <w:jc w:val="center"/>
              <w:rPr>
                <w:b/>
                <w:color w:val="FFFFFF"/>
              </w:rPr>
            </w:pPr>
            <w:r>
              <w:rPr>
                <w:b/>
                <w:color w:val="FFFFFF"/>
              </w:rPr>
              <w:t>YoY</w:t>
            </w:r>
          </w:p>
        </w:tc>
      </w:tr>
      <w:tr>
        <w:trPr/>
        <w:tc>
          <w:tcPr>
            <w:tcW w:w="2915" w:type="dxa"/>
            <w:tcBorders>
              <w:left w:val="single" w:sz="8" w:space="0" w:color="000000"/>
            </w:tcBorders>
            <w:shd w:fill="FFFFFF" w:val="clear"/>
            <w:tcMar>
              <w:top w:w="0" w:type="dxa"/>
              <w:right w:w="0" w:type="dxa"/>
            </w:tcMar>
            <w:vAlign w:val="center"/>
          </w:tcPr>
          <w:p>
            <w:pPr>
              <w:pStyle w:val="TableContents"/>
              <w:bidi w:val="0"/>
              <w:spacing w:before="0" w:after="283"/>
              <w:jc w:val="left"/>
              <w:rPr/>
            </w:pPr>
            <w:r>
              <w:rPr/>
              <w:t>Branches</w:t>
            </w:r>
          </w:p>
        </w:tc>
        <w:tc>
          <w:tcPr>
            <w:tcW w:w="710" w:type="dxa"/>
            <w:tcBorders>
              <w:left w:val="single" w:sz="8" w:space="0" w:color="000000"/>
            </w:tcBorders>
            <w:shd w:fill="FFFFFF" w:val="clear"/>
            <w:tcMar>
              <w:top w:w="0" w:type="dxa"/>
              <w:right w:w="0" w:type="dxa"/>
            </w:tcMar>
            <w:vAlign w:val="center"/>
          </w:tcPr>
          <w:p>
            <w:pPr>
              <w:pStyle w:val="TableContents"/>
              <w:bidi w:val="0"/>
              <w:spacing w:before="0" w:after="283"/>
              <w:jc w:val="center"/>
              <w:rPr/>
            </w:pPr>
            <w:r>
              <w:rPr/>
              <w:t>1046</w:t>
            </w:r>
          </w:p>
        </w:tc>
        <w:tc>
          <w:tcPr>
            <w:tcW w:w="770" w:type="dxa"/>
            <w:tcBorders/>
            <w:shd w:fill="FFFFFF" w:val="clear"/>
            <w:tcMar>
              <w:top w:w="0" w:type="dxa"/>
              <w:left w:w="0" w:type="dxa"/>
              <w:right w:w="0" w:type="dxa"/>
            </w:tcMar>
            <w:vAlign w:val="center"/>
          </w:tcPr>
          <w:p>
            <w:pPr>
              <w:pStyle w:val="TableContents"/>
              <w:bidi w:val="0"/>
              <w:spacing w:before="0" w:after="283"/>
              <w:jc w:val="center"/>
              <w:rPr/>
            </w:pPr>
            <w:r>
              <w:rPr/>
              <w:t>675</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pPr>
            <w:r>
              <w:rPr/>
              <w:t>669</w:t>
            </w:r>
          </w:p>
        </w:tc>
        <w:tc>
          <w:tcPr>
            <w:tcW w:w="500" w:type="dxa"/>
            <w:tcBorders>
              <w:top w:val="single" w:sz="8" w:space="0" w:color="000000"/>
            </w:tcBorders>
            <w:tcMar>
              <w:left w:w="0" w:type="dxa"/>
              <w:right w:w="0" w:type="dxa"/>
            </w:tcMar>
            <w:vAlign w:val="center"/>
          </w:tcPr>
          <w:p>
            <w:pPr>
              <w:pStyle w:val="TableContents"/>
              <w:bidi w:val="0"/>
              <w:spacing w:before="0" w:after="283"/>
              <w:jc w:val="right"/>
              <w:rPr/>
            </w:pPr>
            <w:r>
              <w:rPr/>
              <w:t>(6)</w:t>
            </w:r>
          </w:p>
        </w:tc>
        <w:tc>
          <w:tcPr>
            <w:tcW w:w="1280"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            </w:t>
            </w:r>
            <w:r>
              <w:rPr/>
              <w:t>(377)</w:t>
            </w:r>
          </w:p>
        </w:tc>
      </w:tr>
      <w:tr>
        <w:trPr/>
        <w:tc>
          <w:tcPr>
            <w:tcW w:w="2915" w:type="dxa"/>
            <w:tcBorders>
              <w:left w:val="single" w:sz="8" w:space="0" w:color="000000"/>
            </w:tcBorders>
            <w:shd w:fill="FFFFFF" w:val="clear"/>
            <w:tcMar>
              <w:top w:w="0" w:type="dxa"/>
              <w:right w:w="0" w:type="dxa"/>
            </w:tcMar>
            <w:vAlign w:val="center"/>
          </w:tcPr>
          <w:p>
            <w:pPr>
              <w:pStyle w:val="TableContents"/>
              <w:bidi w:val="0"/>
              <w:spacing w:before="0" w:after="283"/>
              <w:jc w:val="left"/>
              <w:rPr/>
            </w:pPr>
            <w:r>
              <w:rPr/>
              <w:t>ATMs</w:t>
            </w:r>
          </w:p>
        </w:tc>
        <w:tc>
          <w:tcPr>
            <w:tcW w:w="710" w:type="dxa"/>
            <w:tcBorders>
              <w:left w:val="single" w:sz="8" w:space="0" w:color="000000"/>
            </w:tcBorders>
            <w:shd w:fill="FFFFFF" w:val="clear"/>
            <w:tcMar>
              <w:top w:w="0" w:type="dxa"/>
              <w:right w:w="0" w:type="dxa"/>
            </w:tcMar>
            <w:vAlign w:val="center"/>
          </w:tcPr>
          <w:p>
            <w:pPr>
              <w:pStyle w:val="TableContents"/>
              <w:bidi w:val="0"/>
              <w:spacing w:before="0" w:after="283"/>
              <w:jc w:val="center"/>
              <w:rPr/>
            </w:pPr>
            <w:r>
              <w:rPr/>
              <w:t>1,852</w:t>
            </w:r>
          </w:p>
        </w:tc>
        <w:tc>
          <w:tcPr>
            <w:tcW w:w="770" w:type="dxa"/>
            <w:tcBorders/>
            <w:shd w:fill="FFFFFF" w:val="clear"/>
            <w:tcMar>
              <w:top w:w="0" w:type="dxa"/>
              <w:left w:w="0" w:type="dxa"/>
              <w:right w:w="0" w:type="dxa"/>
            </w:tcMar>
            <w:vAlign w:val="center"/>
          </w:tcPr>
          <w:p>
            <w:pPr>
              <w:pStyle w:val="TableContents"/>
              <w:bidi w:val="0"/>
              <w:spacing w:before="0" w:after="283"/>
              <w:jc w:val="center"/>
              <w:rPr/>
            </w:pPr>
            <w:r>
              <w:rPr/>
              <w:t>2,626</w:t>
            </w:r>
          </w:p>
        </w:tc>
        <w:tc>
          <w:tcPr>
            <w:tcW w:w="710" w:type="dxa"/>
            <w:tcBorders>
              <w:right w:val="single" w:sz="8" w:space="0" w:color="000000"/>
            </w:tcBorders>
            <w:tcMar>
              <w:top w:w="0" w:type="dxa"/>
              <w:left w:w="0" w:type="dxa"/>
            </w:tcMar>
            <w:vAlign w:val="center"/>
          </w:tcPr>
          <w:p>
            <w:pPr>
              <w:pStyle w:val="TableContents"/>
              <w:bidi w:val="0"/>
              <w:spacing w:before="0" w:after="283"/>
              <w:jc w:val="center"/>
              <w:rPr/>
            </w:pPr>
            <w:r>
              <w:rPr/>
              <w:t>2,663</w:t>
            </w:r>
          </w:p>
        </w:tc>
        <w:tc>
          <w:tcPr>
            <w:tcW w:w="500" w:type="dxa"/>
            <w:tcBorders/>
            <w:tcMar>
              <w:top w:w="0" w:type="dxa"/>
              <w:left w:w="0" w:type="dxa"/>
              <w:right w:w="0" w:type="dxa"/>
            </w:tcMar>
            <w:vAlign w:val="center"/>
          </w:tcPr>
          <w:p>
            <w:pPr>
              <w:pStyle w:val="TableContents"/>
              <w:bidi w:val="0"/>
              <w:spacing w:before="0" w:after="283"/>
              <w:jc w:val="right"/>
              <w:rPr/>
            </w:pPr>
            <w:r>
              <w:rPr/>
              <w:t>37</w:t>
            </w:r>
          </w:p>
        </w:tc>
        <w:tc>
          <w:tcPr>
            <w:tcW w:w="1280" w:type="dxa"/>
            <w:tcBorders>
              <w:right w:val="single" w:sz="8" w:space="0" w:color="000000"/>
            </w:tcBorders>
            <w:tcMar>
              <w:top w:w="0" w:type="dxa"/>
              <w:left w:w="0" w:type="dxa"/>
              <w:right w:w="108" w:type="dxa"/>
            </w:tcMar>
            <w:vAlign w:val="center"/>
          </w:tcPr>
          <w:p>
            <w:pPr>
              <w:pStyle w:val="TableContents"/>
              <w:bidi w:val="0"/>
              <w:spacing w:before="0" w:after="283"/>
              <w:jc w:val="right"/>
              <w:rPr/>
            </w:pPr>
            <w:r>
              <w:rPr/>
              <w:t>               </w:t>
            </w:r>
            <w:r>
              <w:rPr/>
              <w:t>811</w:t>
            </w:r>
          </w:p>
        </w:tc>
      </w:tr>
      <w:tr>
        <w:trPr/>
        <w:tc>
          <w:tcPr>
            <w:tcW w:w="2915"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lineRule="auto" w:line="240" w:before="0" w:after="283"/>
              <w:jc w:val="left"/>
              <w:rPr/>
            </w:pPr>
            <w:r>
              <w:rPr/>
              <w:t xml:space="preserve">Agents </w:t>
            </w:r>
            <w:r>
              <w:rPr>
                <w:rFonts w:ascii="Arial;Helvetica;Sans-Serif" w:hAnsi="Arial;Helvetica;Sans-Serif"/>
                <w:b w:val="false"/>
                <w:i w:val="false"/>
                <w:caps w:val="false"/>
                <w:smallCaps w:val="false"/>
                <w:sz w:val="22"/>
              </w:rPr>
              <w:t>(2)</w:t>
            </w:r>
          </w:p>
        </w:tc>
        <w:tc>
          <w:tcPr>
            <w:tcW w:w="710"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center"/>
              <w:rPr/>
            </w:pPr>
            <w:r>
              <w:rPr/>
              <w:t>8,986</w:t>
            </w:r>
          </w:p>
        </w:tc>
        <w:tc>
          <w:tcPr>
            <w:tcW w:w="77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pPr>
            <w:r>
              <w:rPr/>
              <w:t>11,254</w:t>
            </w:r>
          </w:p>
        </w:tc>
        <w:tc>
          <w:tcPr>
            <w:tcW w:w="7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11,570</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316</w:t>
            </w:r>
          </w:p>
        </w:tc>
        <w:tc>
          <w:tcPr>
            <w:tcW w:w="12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right"/>
              <w:rPr/>
            </w:pPr>
            <w:r>
              <w:rPr/>
              <w:t>           </w:t>
            </w:r>
            <w:r>
              <w:rPr/>
              <w:t>2,584</w:t>
            </w:r>
          </w:p>
        </w:tc>
      </w:tr>
      <w:tr>
        <w:trPr/>
        <w:tc>
          <w:tcPr>
            <w:tcW w:w="2915"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left"/>
              <w:rPr>
                <w:b/>
              </w:rPr>
            </w:pPr>
            <w:r>
              <w:rPr>
                <w:b/>
              </w:rPr>
              <w:t>Total </w:t>
            </w:r>
          </w:p>
        </w:tc>
        <w:tc>
          <w:tcPr>
            <w:tcW w:w="710"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b/>
              </w:rPr>
            </w:pPr>
            <w:r>
              <w:rPr>
                <w:b/>
              </w:rPr>
              <w:t>11,884</w:t>
            </w:r>
          </w:p>
        </w:tc>
        <w:tc>
          <w:tcPr>
            <w:tcW w:w="770"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rPr>
            </w:pPr>
            <w:r>
              <w:rPr>
                <w:b/>
              </w:rPr>
              <w:t>14,555</w:t>
            </w:r>
          </w:p>
        </w:tc>
        <w:tc>
          <w:tcPr>
            <w:tcW w:w="71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rPr>
            </w:pPr>
            <w:r>
              <w:rPr>
                <w:b/>
              </w:rPr>
              <w:t>14,902</w:t>
            </w:r>
          </w:p>
        </w:tc>
        <w:tc>
          <w:tcPr>
            <w:tcW w:w="50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rPr>
            </w:pPr>
            <w:r>
              <w:rPr>
                <w:b/>
              </w:rPr>
              <w:t>347</w:t>
            </w:r>
          </w:p>
        </w:tc>
        <w:tc>
          <w:tcPr>
            <w:tcW w:w="1280"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right"/>
              <w:rPr>
                <w:b/>
              </w:rPr>
            </w:pPr>
            <w:r>
              <w:rPr>
                <w:b/>
              </w:rPr>
              <w:t>3,018</w:t>
            </w:r>
          </w:p>
        </w:tc>
      </w:tr>
    </w:tbl>
    <w:tbl>
      <w:tblPr>
        <w:tblW w:w="5495" w:type="dxa"/>
        <w:jc w:val="center"/>
        <w:tblInd w:w="0" w:type="dxa"/>
        <w:tblLayout w:type="fixed"/>
        <w:tblCellMar>
          <w:top w:w="0" w:type="dxa"/>
          <w:left w:w="0" w:type="dxa"/>
          <w:bottom w:w="0" w:type="dxa"/>
          <w:right w:w="0" w:type="dxa"/>
        </w:tblCellMar>
      </w:tblPr>
      <w:tblGrid>
        <w:gridCol w:w="5495"/>
      </w:tblGrid>
      <w:tr>
        <w:trPr/>
        <w:tc>
          <w:tcPr>
            <w:tcW w:w="549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     Includes Physical Point of Contact of BCP Stand-Alone, Mibanco and BCP Bolivia</w:t>
            </w:r>
          </w:p>
        </w:tc>
      </w:tr>
    </w:tbl>
    <w:tbl>
      <w:tblPr>
        <w:tblW w:w="5180" w:type="dxa"/>
        <w:jc w:val="center"/>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     Figures differ from previously reported due to changes in BCP Bolivia agents</w:t>
            </w:r>
          </w:p>
        </w:tc>
      </w:tr>
    </w:tbl>
    <w:p>
      <w:pPr>
        <w:pStyle w:val="TextBody"/>
        <w:bidi w:val="0"/>
        <w:spacing w:before="0" w:after="0"/>
        <w:ind w:left="1985"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6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0" descr=""/>
                          <pic:cNvPicPr>
                            <a:picLocks noChangeAspect="1" noChangeArrowheads="1"/>
                          </pic:cNvPicPr>
                        </pic:nvPicPr>
                        <pic:blipFill>
                          <a:blip r:embed="rId129"/>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12.3. Loan Portfolio Quality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Loan Portfolio Quality (in Quarter-end Balances)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620000" cy="3971925"/>
            <wp:effectExtent l="0" t="0" r="0" b="0"/>
            <wp:docPr id="16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11" descr=""/>
                    <pic:cNvPicPr>
                      <a:picLocks noChangeAspect="1" noChangeArrowheads="1"/>
                    </pic:cNvPicPr>
                  </pic:nvPicPr>
                  <pic:blipFill>
                    <a:blip r:embed="rId130"/>
                    <a:stretch>
                      <a:fillRect/>
                    </a:stretch>
                  </pic:blipFill>
                  <pic:spPr bwMode="auto">
                    <a:xfrm>
                      <a:off x="0" y="0"/>
                      <a:ext cx="7620000" cy="39719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Government Program (GP) Loan Portfolio Quality (in Quarter-end Balances)</w:t>
      </w:r>
    </w:p>
    <w:p>
      <w:pPr>
        <w:pStyle w:val="TextBody"/>
        <w:bidi w:val="0"/>
        <w:spacing w:before="0" w:after="0"/>
        <w:ind w:left="0" w:right="0" w:hanging="0"/>
        <w:jc w:val="left"/>
        <w:rPr>
          <w:caps w:val="false"/>
          <w:smallCaps w:val="false"/>
        </w:rPr>
      </w:pPr>
      <w:r>
        <w:rPr>
          <w:caps w:val="false"/>
          <w:smallCaps w:val="false"/>
        </w:rPr>
        <w:t> </w:t>
      </w:r>
    </w:p>
    <w:tbl>
      <w:tblPr>
        <w:tblW w:w="7290" w:type="dxa"/>
        <w:jc w:val="left"/>
        <w:tblInd w:w="-10" w:type="dxa"/>
        <w:tblLayout w:type="fixed"/>
        <w:tblCellMar>
          <w:top w:w="28" w:type="dxa"/>
          <w:left w:w="28" w:type="dxa"/>
          <w:bottom w:w="0" w:type="dxa"/>
          <w:right w:w="28" w:type="dxa"/>
        </w:tblCellMar>
      </w:tblPr>
      <w:tblGrid>
        <w:gridCol w:w="3710"/>
        <w:gridCol w:w="830"/>
        <w:gridCol w:w="740"/>
        <w:gridCol w:w="740"/>
        <w:gridCol w:w="605"/>
        <w:gridCol w:w="665"/>
      </w:tblGrid>
      <w:tr>
        <w:trPr/>
        <w:tc>
          <w:tcPr>
            <w:tcW w:w="371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color w:val="FFFFFF"/>
              </w:rPr>
            </w:pPr>
            <w:r>
              <w:rPr>
                <w:color w:val="FFFFFF"/>
              </w:rPr>
              <w:t> </w:t>
            </w:r>
          </w:p>
        </w:tc>
        <w:tc>
          <w:tcPr>
            <w:tcW w:w="2310" w:type="dxa"/>
            <w:gridSpan w:val="3"/>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of</w:t>
            </w:r>
          </w:p>
        </w:tc>
        <w:tc>
          <w:tcPr>
            <w:tcW w:w="1270" w:type="dxa"/>
            <w:gridSpan w:val="2"/>
            <w:vMerge w:val="restart"/>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r>
      <w:tr>
        <w:trPr/>
        <w:tc>
          <w:tcPr>
            <w:tcW w:w="3710" w:type="dxa"/>
            <w:tcBorders>
              <w:left w:val="single" w:sz="8" w:space="0" w:color="000000"/>
              <w:right w:val="single" w:sz="8" w:space="0" w:color="000000"/>
            </w:tcBorders>
            <w:shd w:fill="2AD2C9" w:val="clear"/>
            <w:tcMar>
              <w:top w:w="0" w:type="dxa"/>
            </w:tcMar>
            <w:vAlign w:val="center"/>
          </w:tcPr>
          <w:p>
            <w:pPr>
              <w:pStyle w:val="TableContents"/>
              <w:bidi w:val="0"/>
              <w:spacing w:lineRule="auto" w:line="240" w:before="0" w:after="283"/>
              <w:jc w:val="left"/>
              <w:rPr>
                <w:rFonts w:ascii="Arial;Helvetica;Sans-Serif" w:hAnsi="Arial;Helvetica;Sans-Serif"/>
                <w:b/>
                <w:color w:val="FFFFFF"/>
                <w:sz w:val="16"/>
              </w:rPr>
            </w:pPr>
            <w:r>
              <w:rPr>
                <w:rFonts w:ascii="Arial;Helvetica;Sans-Serif" w:hAnsi="Arial;Helvetica;Sans-Serif"/>
                <w:b/>
                <w:color w:val="FFFFFF"/>
                <w:sz w:val="16"/>
              </w:rPr>
              <w:t>GP Portfolio quality and Delinquency ratios (1)</w:t>
            </w:r>
          </w:p>
        </w:tc>
        <w:tc>
          <w:tcPr>
            <w:tcW w:w="2310" w:type="dxa"/>
            <w:gridSpan w:val="3"/>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c>
          <w:tcPr>
            <w:tcW w:w="1270" w:type="dxa"/>
            <w:gridSpan w:val="2"/>
            <w:vMerge w:val="continue"/>
            <w:tcBorders>
              <w:top w:val="single" w:sz="8" w:space="0" w:color="000000"/>
              <w:right w:val="single" w:sz="8" w:space="0" w:color="000000"/>
            </w:tcBorders>
            <w:shd w:fill="2AD2C9" w:val="clear"/>
            <w:tcMar>
              <w:left w:w="0" w:type="dxa"/>
            </w:tcMar>
            <w:vAlign w:val="center"/>
          </w:tcPr>
          <w:p>
            <w:pPr>
              <w:pStyle w:val="Normal"/>
              <w:bidi w:val="0"/>
              <w:jc w:val="left"/>
              <w:rPr/>
            </w:pPr>
            <w:r>
              <w:rPr/>
            </w:r>
          </w:p>
        </w:tc>
      </w:tr>
      <w:tr>
        <w:trPr/>
        <w:tc>
          <w:tcPr>
            <w:tcW w:w="3710"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b/>
                <w:color w:val="FFFFFF"/>
                <w:sz w:val="16"/>
              </w:rPr>
            </w:pPr>
            <w:r>
              <w:rPr>
                <w:b/>
                <w:color w:val="FFFFFF"/>
                <w:sz w:val="16"/>
              </w:rPr>
              <w:t>S/000</w:t>
            </w:r>
          </w:p>
        </w:tc>
        <w:tc>
          <w:tcPr>
            <w:tcW w:w="83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22</w:t>
            </w:r>
          </w:p>
        </w:tc>
        <w:tc>
          <w:tcPr>
            <w:tcW w:w="74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 23</w:t>
            </w:r>
          </w:p>
        </w:tc>
        <w:tc>
          <w:tcPr>
            <w:tcW w:w="74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23</w:t>
            </w:r>
          </w:p>
        </w:tc>
        <w:tc>
          <w:tcPr>
            <w:tcW w:w="60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QoQ</w:t>
            </w:r>
          </w:p>
        </w:tc>
        <w:tc>
          <w:tcPr>
            <w:tcW w:w="66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YoY</w:t>
            </w:r>
          </w:p>
        </w:tc>
      </w:tr>
      <w:tr>
        <w:trPr/>
        <w:tc>
          <w:tcPr>
            <w:tcW w:w="371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Total loans (Quarter-end balance)</w:t>
            </w:r>
          </w:p>
        </w:tc>
        <w:tc>
          <w:tcPr>
            <w:tcW w:w="83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14,647,803</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6,549,912</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4,940,405</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-24.6%</w:t>
            </w:r>
          </w:p>
        </w:tc>
        <w:tc>
          <w:tcPr>
            <w:tcW w:w="6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-66.3%</w:t>
            </w:r>
          </w:p>
        </w:tc>
      </w:tr>
      <w:tr>
        <w:trPr/>
        <w:tc>
          <w:tcPr>
            <w:tcW w:w="3710"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Allowance for loan losses</w:t>
            </w:r>
          </w:p>
        </w:tc>
        <w:tc>
          <w:tcPr>
            <w:tcW w:w="83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194,144</w:t>
            </w:r>
          </w:p>
        </w:tc>
        <w:tc>
          <w:tcPr>
            <w:tcW w:w="740"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135,849</w:t>
            </w:r>
          </w:p>
        </w:tc>
        <w:tc>
          <w:tcPr>
            <w:tcW w:w="74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131,882</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-2.9%</w:t>
            </w:r>
          </w:p>
        </w:tc>
        <w:tc>
          <w:tcPr>
            <w:tcW w:w="6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-32.1%</w:t>
            </w:r>
          </w:p>
        </w:tc>
      </w:tr>
      <w:tr>
        <w:trPr/>
        <w:tc>
          <w:tcPr>
            <w:tcW w:w="3710"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IOLs</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941,731</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837,389</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796,670</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-4.9%</w:t>
            </w:r>
          </w:p>
        </w:tc>
        <w:tc>
          <w:tcPr>
            <w:tcW w:w="6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t>    </w:t>
            </w:r>
            <w:r>
              <w:rPr>
                <w:rFonts w:ascii="Arial;Helvetica;Sans-Serif" w:hAnsi="Arial;Helvetica;Sans-Serif"/>
                <w:sz w:val="16"/>
              </w:rPr>
              <w:t>-0.15</w:t>
            </w:r>
          </w:p>
        </w:tc>
      </w:tr>
      <w:tr>
        <w:trPr/>
        <w:tc>
          <w:tcPr>
            <w:tcW w:w="3710"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IOL ratio</w:t>
            </w:r>
          </w:p>
        </w:tc>
        <w:tc>
          <w:tcPr>
            <w:tcW w:w="83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6.43%</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12.78%</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16.13%</w:t>
            </w:r>
          </w:p>
        </w:tc>
        <w:tc>
          <w:tcPr>
            <w:tcW w:w="60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335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970 bps</w:t>
            </w:r>
          </w:p>
        </w:tc>
      </w:tr>
      <w:tr>
        <w:trPr/>
        <w:tc>
          <w:tcPr>
            <w:tcW w:w="3710"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Allowance for loan losses over Total loans</w:t>
            </w:r>
          </w:p>
        </w:tc>
        <w:tc>
          <w:tcPr>
            <w:tcW w:w="83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1.3%</w:t>
            </w:r>
          </w:p>
        </w:tc>
        <w:tc>
          <w:tcPr>
            <w:tcW w:w="74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2.1%</w:t>
            </w:r>
          </w:p>
        </w:tc>
        <w:tc>
          <w:tcPr>
            <w:tcW w:w="740" w:type="dxa"/>
            <w:tcBorders>
              <w:right w:val="single" w:sz="8" w:space="0" w:color="000000"/>
            </w:tcBorders>
            <w:tcMar>
              <w:top w:w="0"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2.7%</w:t>
            </w:r>
          </w:p>
        </w:tc>
        <w:tc>
          <w:tcPr>
            <w:tcW w:w="605"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 bps</w:t>
            </w:r>
          </w:p>
        </w:tc>
        <w:tc>
          <w:tcPr>
            <w:tcW w:w="665" w:type="dxa"/>
            <w:tcBorders>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134 bps</w:t>
            </w:r>
          </w:p>
        </w:tc>
      </w:tr>
      <w:tr>
        <w:trPr/>
        <w:tc>
          <w:tcPr>
            <w:tcW w:w="3710"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Coverage ratio of NPLs </w:t>
            </w:r>
          </w:p>
        </w:tc>
        <w:tc>
          <w:tcPr>
            <w:tcW w:w="83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20.6%</w:t>
            </w:r>
          </w:p>
        </w:tc>
        <w:tc>
          <w:tcPr>
            <w:tcW w:w="74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16.2%</w:t>
            </w:r>
          </w:p>
        </w:tc>
        <w:tc>
          <w:tcPr>
            <w:tcW w:w="74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16.6%</w:t>
            </w:r>
          </w:p>
        </w:tc>
        <w:tc>
          <w:tcPr>
            <w:tcW w:w="605"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33 bps</w:t>
            </w:r>
          </w:p>
        </w:tc>
        <w:tc>
          <w:tcPr>
            <w:tcW w:w="66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-407 bps</w:t>
            </w:r>
          </w:p>
        </w:tc>
      </w:tr>
    </w:tbl>
    <w:p>
      <w:pPr>
        <w:pStyle w:val="TextBody"/>
        <w:bidi w:val="0"/>
        <w:spacing w:before="0" w:after="0"/>
        <w:ind w:left="0" w:right="0" w:hanging="0"/>
        <w:jc w:val="left"/>
        <w:rPr>
          <w:caps w:val="false"/>
          <w:smallCaps w:val="false"/>
        </w:rPr>
      </w:pPr>
      <w:r>
        <w:rPr>
          <w:caps w:val="false"/>
          <w:smallCaps w:val="false"/>
        </w:rPr>
        <w:t> </w:t>
      </w:r>
      <w:r>
        <w:rPr>
          <w:rFonts w:ascii="Arial;Helvetica;Sans-Serif" w:hAnsi="Arial;Helvetica;Sans-Serif"/>
          <w:b w:val="false"/>
          <w:i w:val="false"/>
          <w:caps w:val="false"/>
          <w:smallCaps w:val="false"/>
          <w:sz w:val="14"/>
        </w:rPr>
        <w:t>(1) Government Programs (GP) include Reactiva Peru and FAE-Mype.</w:t>
      </w:r>
    </w:p>
    <w:p>
      <w:pPr>
        <w:pStyle w:val="TextBody"/>
        <w:bidi w:val="0"/>
        <w:spacing w:before="0" w:after="0"/>
        <w:ind w:left="0" w:right="0" w:firstLine="4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36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sz w:val="4"/>
                <w:szCs w:val="4"/>
              </w:rPr>
            </w:pPr>
            <w:r>
              <w:rPr>
                <w:sz w:val="4"/>
                <w:szCs w:val="4"/>
              </w:rPr>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7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12" descr=""/>
                          <pic:cNvPicPr>
                            <a:picLocks noChangeAspect="1" noChangeArrowheads="1"/>
                          </pic:cNvPicPr>
                        </pic:nvPicPr>
                        <pic:blipFill>
                          <a:blip r:embed="rId131"/>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Portfolio Quality Ratios by Segment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Wholesale Banking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143750" cy="2609850"/>
            <wp:effectExtent l="0" t="0" r="0" b="0"/>
            <wp:docPr id="17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3" descr=""/>
                    <pic:cNvPicPr>
                      <a:picLocks noChangeAspect="1" noChangeArrowheads="1"/>
                    </pic:cNvPicPr>
                  </pic:nvPicPr>
                  <pic:blipFill>
                    <a:blip r:embed="rId132"/>
                    <a:stretch>
                      <a:fillRect/>
                    </a:stretch>
                  </pic:blipFill>
                  <pic:spPr bwMode="auto">
                    <a:xfrm>
                      <a:off x="0" y="0"/>
                      <a:ext cx="7143750" cy="26098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SME-Business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143750" cy="2781300"/>
            <wp:effectExtent l="0" t="0" r="0" b="0"/>
            <wp:docPr id="17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4" descr=""/>
                    <pic:cNvPicPr>
                      <a:picLocks noChangeAspect="1" noChangeArrowheads="1"/>
                    </pic:cNvPicPr>
                  </pic:nvPicPr>
                  <pic:blipFill>
                    <a:blip r:embed="rId133"/>
                    <a:stretch>
                      <a:fillRect/>
                    </a:stretch>
                  </pic:blipFill>
                  <pic:spPr bwMode="auto">
                    <a:xfrm>
                      <a:off x="0" y="0"/>
                      <a:ext cx="7143750" cy="2781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sz w:val="4"/>
                <w:szCs w:val="4"/>
              </w:rPr>
            </w:pPr>
            <w:r>
              <w:rPr>
                <w:sz w:val="4"/>
                <w:szCs w:val="4"/>
              </w:rPr>
            </w:r>
          </w:p>
        </w:tc>
        <w:tc>
          <w:tcPr>
            <w:tcW w:w="65" w:type="dxa"/>
            <w:tcBorders/>
            <w:shd w:fill="000000" w:val="clear"/>
            <w:vAlign w:val="center"/>
          </w:tcPr>
          <w:p>
            <w:pPr>
              <w:pStyle w:val="TableContents"/>
              <w:bidi w:val="0"/>
              <w:spacing w:before="0" w:after="283"/>
              <w:jc w:val="left"/>
              <w:rPr/>
            </w:pPr>
            <w:r>
              <w:rPr/>
              <w:t> </w:t>
            </w:r>
          </w:p>
        </w:tc>
        <w:tc>
          <w:tcPr>
            <w:tcW w:w="2555" w:type="dxa"/>
            <w:tcBorders/>
            <w:shd w:fill="000000" w:val="clear"/>
          </w:tcPr>
          <w:p>
            <w:pPr>
              <w:pStyle w:val="TableContents"/>
              <w:bidi w:val="0"/>
              <w:spacing w:before="0" w:after="283"/>
              <w:jc w:val="left"/>
              <w:rPr>
                <w:sz w:val="4"/>
                <w:szCs w:val="4"/>
              </w:rPr>
            </w:pPr>
            <w:r>
              <w:rPr>
                <w:sz w:val="4"/>
                <w:szCs w:val="4"/>
              </w:rPr>
            </w:r>
          </w:p>
        </w:tc>
        <w:tc>
          <w:tcPr>
            <w:tcW w:w="3815" w:type="dxa"/>
            <w:tcBorders/>
            <w:shd w:fill="000000" w:val="clear"/>
          </w:tcPr>
          <w:p>
            <w:pPr>
              <w:pStyle w:val="TableContents"/>
              <w:bidi w:val="0"/>
              <w:spacing w:before="0" w:after="283"/>
              <w:jc w:val="left"/>
              <w:rPr>
                <w:sz w:val="4"/>
                <w:szCs w:val="4"/>
              </w:rPr>
            </w:pPr>
            <w:r>
              <w:rPr>
                <w:sz w:val="4"/>
                <w:szCs w:val="4"/>
              </w:rPr>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7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15" descr=""/>
                          <pic:cNvPicPr>
                            <a:picLocks noChangeAspect="1" noChangeArrowheads="1"/>
                          </pic:cNvPicPr>
                        </pic:nvPicPr>
                        <pic:blipFill>
                          <a:blip r:embed="rId134"/>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SME-Pyme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7143750" cy="2752725"/>
            <wp:effectExtent l="0" t="0" r="0" b="0"/>
            <wp:docPr id="17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6" descr=""/>
                    <pic:cNvPicPr>
                      <a:picLocks noChangeAspect="1" noChangeArrowheads="1"/>
                    </pic:cNvPicPr>
                  </pic:nvPicPr>
                  <pic:blipFill>
                    <a:blip r:embed="rId135"/>
                    <a:stretch>
                      <a:fillRect/>
                    </a:stretch>
                  </pic:blipFill>
                  <pic:spPr bwMode="auto">
                    <a:xfrm>
                      <a:off x="0" y="0"/>
                      <a:ext cx="7143750" cy="2752725"/>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Mortgage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7143750" cy="2867025"/>
            <wp:effectExtent l="0" t="0" r="0" b="0"/>
            <wp:docPr id="17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17" descr=""/>
                    <pic:cNvPicPr>
                      <a:picLocks noChangeAspect="1" noChangeArrowheads="1"/>
                    </pic:cNvPicPr>
                  </pic:nvPicPr>
                  <pic:blipFill>
                    <a:blip r:embed="rId136"/>
                    <a:stretch>
                      <a:fillRect/>
                    </a:stretch>
                  </pic:blipFill>
                  <pic:spPr bwMode="auto">
                    <a:xfrm>
                      <a:off x="0" y="0"/>
                      <a:ext cx="7143750" cy="2867025"/>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sz w:val="4"/>
                <w:szCs w:val="4"/>
              </w:rPr>
            </w:pPr>
            <w:r>
              <w:rPr>
                <w:sz w:val="4"/>
                <w:szCs w:val="4"/>
              </w:rPr>
            </w:r>
          </w:p>
        </w:tc>
        <w:tc>
          <w:tcPr>
            <w:tcW w:w="65" w:type="dxa"/>
            <w:tcBorders/>
            <w:shd w:fill="000000" w:val="clear"/>
            <w:vAlign w:val="center"/>
          </w:tcPr>
          <w:p>
            <w:pPr>
              <w:pStyle w:val="TableContents"/>
              <w:bidi w:val="0"/>
              <w:spacing w:before="0" w:after="283"/>
              <w:jc w:val="left"/>
              <w:rPr/>
            </w:pPr>
            <w:r>
              <w:rPr/>
              <w:t> </w:t>
            </w:r>
          </w:p>
        </w:tc>
        <w:tc>
          <w:tcPr>
            <w:tcW w:w="2555" w:type="dxa"/>
            <w:tcBorders/>
            <w:shd w:fill="000000" w:val="clear"/>
          </w:tcPr>
          <w:p>
            <w:pPr>
              <w:pStyle w:val="TableContents"/>
              <w:bidi w:val="0"/>
              <w:spacing w:before="0" w:after="283"/>
              <w:jc w:val="left"/>
              <w:rPr>
                <w:sz w:val="4"/>
                <w:szCs w:val="4"/>
              </w:rPr>
            </w:pPr>
            <w:r>
              <w:rPr>
                <w:sz w:val="4"/>
                <w:szCs w:val="4"/>
              </w:rPr>
            </w:r>
          </w:p>
        </w:tc>
        <w:tc>
          <w:tcPr>
            <w:tcW w:w="3815" w:type="dxa"/>
            <w:tcBorders/>
            <w:shd w:fill="000000" w:val="clear"/>
          </w:tcPr>
          <w:p>
            <w:pPr>
              <w:pStyle w:val="TableContents"/>
              <w:bidi w:val="0"/>
              <w:spacing w:before="0" w:after="283"/>
              <w:jc w:val="left"/>
              <w:rPr>
                <w:sz w:val="4"/>
                <w:szCs w:val="4"/>
              </w:rPr>
            </w:pPr>
            <w:r>
              <w:rPr>
                <w:sz w:val="4"/>
                <w:szCs w:val="4"/>
              </w:rPr>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7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8" descr=""/>
                          <pic:cNvPicPr>
                            <a:picLocks noChangeAspect="1" noChangeArrowheads="1"/>
                          </pic:cNvPicPr>
                        </pic:nvPicPr>
                        <pic:blipFill>
                          <a:blip r:embed="rId137"/>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Consumer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7143750" cy="2886075"/>
            <wp:effectExtent l="0" t="0" r="0" b="0"/>
            <wp:docPr id="17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19" descr=""/>
                    <pic:cNvPicPr>
                      <a:picLocks noChangeAspect="1" noChangeArrowheads="1"/>
                    </pic:cNvPicPr>
                  </pic:nvPicPr>
                  <pic:blipFill>
                    <a:blip r:embed="rId138"/>
                    <a:stretch>
                      <a:fillRect/>
                    </a:stretch>
                  </pic:blipFill>
                  <pic:spPr bwMode="auto">
                    <a:xfrm>
                      <a:off x="0" y="0"/>
                      <a:ext cx="7143750" cy="2886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Credit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7143750" cy="2819400"/>
            <wp:effectExtent l="0" t="0" r="0" b="0"/>
            <wp:docPr id="17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0" descr=""/>
                    <pic:cNvPicPr>
                      <a:picLocks noChangeAspect="1" noChangeArrowheads="1"/>
                    </pic:cNvPicPr>
                  </pic:nvPicPr>
                  <pic:blipFill>
                    <a:blip r:embed="rId139"/>
                    <a:stretch>
                      <a:fillRect/>
                    </a:stretch>
                  </pic:blipFill>
                  <pic:spPr bwMode="auto">
                    <a:xfrm>
                      <a:off x="0" y="0"/>
                      <a:ext cx="7143750" cy="28194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sz w:val="4"/>
                <w:szCs w:val="4"/>
              </w:rPr>
            </w:pPr>
            <w:r>
              <w:rPr>
                <w:sz w:val="4"/>
                <w:szCs w:val="4"/>
              </w:rPr>
            </w:r>
          </w:p>
        </w:tc>
        <w:tc>
          <w:tcPr>
            <w:tcW w:w="65" w:type="dxa"/>
            <w:tcBorders/>
            <w:shd w:fill="000000" w:val="clear"/>
            <w:vAlign w:val="center"/>
          </w:tcPr>
          <w:p>
            <w:pPr>
              <w:pStyle w:val="TableContents"/>
              <w:bidi w:val="0"/>
              <w:spacing w:before="0" w:after="283"/>
              <w:jc w:val="left"/>
              <w:rPr/>
            </w:pPr>
            <w:r>
              <w:rPr/>
              <w:t> </w:t>
            </w:r>
          </w:p>
        </w:tc>
        <w:tc>
          <w:tcPr>
            <w:tcW w:w="2555" w:type="dxa"/>
            <w:tcBorders/>
            <w:shd w:fill="000000" w:val="clear"/>
          </w:tcPr>
          <w:p>
            <w:pPr>
              <w:pStyle w:val="TableContents"/>
              <w:bidi w:val="0"/>
              <w:spacing w:before="0" w:after="283"/>
              <w:jc w:val="left"/>
              <w:rPr>
                <w:sz w:val="4"/>
                <w:szCs w:val="4"/>
              </w:rPr>
            </w:pPr>
            <w:r>
              <w:rPr>
                <w:sz w:val="4"/>
                <w:szCs w:val="4"/>
              </w:rPr>
            </w:r>
          </w:p>
        </w:tc>
        <w:tc>
          <w:tcPr>
            <w:tcW w:w="3815" w:type="dxa"/>
            <w:tcBorders/>
            <w:shd w:fill="000000" w:val="clear"/>
          </w:tcPr>
          <w:p>
            <w:pPr>
              <w:pStyle w:val="TableContents"/>
              <w:bidi w:val="0"/>
              <w:spacing w:before="0" w:after="283"/>
              <w:jc w:val="left"/>
              <w:rPr>
                <w:sz w:val="4"/>
                <w:szCs w:val="4"/>
              </w:rPr>
            </w:pPr>
            <w:r>
              <w:rPr>
                <w:sz w:val="4"/>
                <w:szCs w:val="4"/>
              </w:rPr>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7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21" descr=""/>
                          <pic:cNvPicPr>
                            <a:picLocks noChangeAspect="1" noChangeArrowheads="1"/>
                          </pic:cNvPicPr>
                        </pic:nvPicPr>
                        <pic:blipFill>
                          <a:blip r:embed="rId140"/>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Mibanco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7143750" cy="2695575"/>
            <wp:effectExtent l="0" t="0" r="0" b="0"/>
            <wp:docPr id="18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2" descr=""/>
                    <pic:cNvPicPr>
                      <a:picLocks noChangeAspect="1" noChangeArrowheads="1"/>
                    </pic:cNvPicPr>
                  </pic:nvPicPr>
                  <pic:blipFill>
                    <a:blip r:embed="rId141"/>
                    <a:stretch>
                      <a:fillRect/>
                    </a:stretch>
                  </pic:blipFill>
                  <pic:spPr bwMode="auto">
                    <a:xfrm>
                      <a:off x="0" y="0"/>
                      <a:ext cx="7143750" cy="2695575"/>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BCP Bolivia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143750" cy="3095625"/>
            <wp:effectExtent l="0" t="0" r="0" b="0"/>
            <wp:docPr id="18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23" descr=""/>
                    <pic:cNvPicPr>
                      <a:picLocks noChangeAspect="1" noChangeArrowheads="1"/>
                    </pic:cNvPicPr>
                  </pic:nvPicPr>
                  <pic:blipFill>
                    <a:blip r:embed="rId142"/>
                    <a:stretch>
                      <a:fillRect/>
                    </a:stretch>
                  </pic:blipFill>
                  <pic:spPr bwMode="auto">
                    <a:xfrm>
                      <a:off x="0" y="0"/>
                      <a:ext cx="7143750" cy="3095625"/>
                    </a:xfrm>
                    <a:prstGeom prst="rect">
                      <a:avLst/>
                    </a:prstGeom>
                  </pic:spPr>
                </pic:pic>
              </a:graphicData>
            </a:graphic>
          </wp:inline>
        </w:drawing>
      </w: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8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4" descr=""/>
                          <pic:cNvPicPr>
                            <a:picLocks noChangeAspect="1" noChangeArrowheads="1"/>
                          </pic:cNvPicPr>
                        </pic:nvPicPr>
                        <pic:blipFill>
                          <a:blip r:embed="rId143"/>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2F5496"/>
          <w:sz w:val="20"/>
        </w:rPr>
      </w:pPr>
      <w:r>
        <w:rPr>
          <w:rFonts w:ascii="Arial;Helvetica;Sans-Serif" w:hAnsi="Arial;Helvetica;Sans-Serif"/>
          <w:b/>
          <w:i w:val="false"/>
          <w:caps w:val="false"/>
          <w:smallCaps w:val="false"/>
          <w:color w:val="2F5496"/>
          <w:sz w:val="20"/>
        </w:rPr>
        <w:t>12.4 Net Interest Income (NII)</w:t>
      </w:r>
    </w:p>
    <w:p>
      <w:pPr>
        <w:pStyle w:val="TextBody"/>
        <w:bidi w:val="0"/>
        <w:spacing w:before="0" w:after="0"/>
        <w:ind w:left="0" w:right="0" w:hanging="0"/>
        <w:jc w:val="left"/>
        <w:rPr>
          <w:caps w:val="false"/>
          <w:smallCaps w:val="false"/>
          <w:color w:val="2F5496"/>
        </w:rPr>
      </w:pPr>
      <w:r>
        <w:rPr>
          <w:caps w:val="false"/>
          <w:smallCaps w:val="false"/>
          <w:color w:val="2F5496"/>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NII Summary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60" w:type="dxa"/>
          <w:bottom w:w="0" w:type="dxa"/>
          <w:right w:w="60" w:type="dxa"/>
        </w:tblCellMar>
      </w:tblPr>
      <w:tblGrid>
        <w:gridCol w:w="2352"/>
        <w:gridCol w:w="1235"/>
        <w:gridCol w:w="1250"/>
        <w:gridCol w:w="1235"/>
        <w:gridCol w:w="419"/>
        <w:gridCol w:w="455"/>
        <w:gridCol w:w="1235"/>
        <w:gridCol w:w="1235"/>
        <w:gridCol w:w="789"/>
      </w:tblGrid>
      <w:tr>
        <w:trPr/>
        <w:tc>
          <w:tcPr>
            <w:tcW w:w="2352"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b/>
                <w:color w:val="FFFFFF"/>
                <w:sz w:val="14"/>
              </w:rPr>
            </w:pPr>
            <w:r>
              <w:rPr>
                <w:b/>
                <w:color w:val="FFFFFF"/>
                <w:sz w:val="14"/>
              </w:rPr>
              <w:t>Net interest income </w:t>
            </w:r>
          </w:p>
        </w:tc>
        <w:tc>
          <w:tcPr>
            <w:tcW w:w="3720" w:type="dxa"/>
            <w:gridSpan w:val="3"/>
            <w:tcBorders>
              <w:top w:val="single" w:sz="8" w:space="0" w:color="000000"/>
            </w:tcBorders>
            <w:shd w:fill="2AD2C9" w:val="clear"/>
            <w:tcMar>
              <w:left w:w="0" w:type="dxa"/>
              <w:right w:w="0" w:type="dxa"/>
            </w:tcMar>
            <w:vAlign w:val="center"/>
          </w:tcPr>
          <w:p>
            <w:pPr>
              <w:pStyle w:val="TableContents"/>
              <w:bidi w:val="0"/>
              <w:spacing w:before="0" w:after="283"/>
              <w:jc w:val="center"/>
              <w:rPr>
                <w:b/>
                <w:color w:val="FFFFFF"/>
                <w:sz w:val="14"/>
              </w:rPr>
            </w:pPr>
            <w:r>
              <w:rPr>
                <w:b/>
                <w:color w:val="FFFFFF"/>
                <w:sz w:val="14"/>
              </w:rPr>
              <w:t>Quarter</w:t>
            </w:r>
          </w:p>
        </w:tc>
        <w:tc>
          <w:tcPr>
            <w:tcW w:w="874" w:type="dxa"/>
            <w:gridSpan w:val="2"/>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center"/>
              <w:rPr>
                <w:b/>
                <w:color w:val="FFFFFF"/>
                <w:sz w:val="14"/>
              </w:rPr>
            </w:pPr>
            <w:r>
              <w:rPr>
                <w:b/>
                <w:color w:val="FFFFFF"/>
                <w:sz w:val="14"/>
              </w:rPr>
              <w:t>% change</w:t>
            </w:r>
          </w:p>
        </w:tc>
        <w:tc>
          <w:tcPr>
            <w:tcW w:w="247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4"/>
              </w:rPr>
            </w:pPr>
            <w:r>
              <w:rPr>
                <w:b/>
                <w:color w:val="FFFFFF"/>
                <w:sz w:val="14"/>
              </w:rPr>
              <w:t>As of</w:t>
            </w:r>
          </w:p>
        </w:tc>
        <w:tc>
          <w:tcPr>
            <w:tcW w:w="789"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4"/>
              </w:rPr>
            </w:pPr>
            <w:r>
              <w:rPr>
                <w:b/>
                <w:color w:val="FFFFFF"/>
                <w:sz w:val="14"/>
              </w:rPr>
              <w:t>change %</w:t>
            </w:r>
          </w:p>
        </w:tc>
      </w:tr>
      <w:tr>
        <w:trPr/>
        <w:tc>
          <w:tcPr>
            <w:tcW w:w="2352"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b/>
                <w:color w:val="FFFFFF"/>
                <w:sz w:val="14"/>
              </w:rPr>
            </w:pPr>
            <w:r>
              <w:rPr>
                <w:b/>
                <w:color w:val="FFFFFF"/>
                <w:sz w:val="14"/>
              </w:rPr>
              <w:t>S/ 000</w:t>
            </w:r>
          </w:p>
        </w:tc>
        <w:tc>
          <w:tcPr>
            <w:tcW w:w="1235" w:type="dxa"/>
            <w:tcBorders/>
            <w:shd w:fill="2AD2C9" w:val="clear"/>
            <w:tcMar>
              <w:top w:w="0" w:type="dxa"/>
              <w:left w:w="0" w:type="dxa"/>
              <w:right w:w="0" w:type="dxa"/>
            </w:tcMar>
            <w:vAlign w:val="center"/>
          </w:tcPr>
          <w:p>
            <w:pPr>
              <w:pStyle w:val="TableContents"/>
              <w:bidi w:val="0"/>
              <w:spacing w:before="0" w:after="283"/>
              <w:jc w:val="center"/>
              <w:rPr>
                <w:b/>
                <w:color w:val="FFFFFF"/>
                <w:sz w:val="14"/>
              </w:rPr>
            </w:pPr>
            <w:r>
              <w:rPr>
                <w:b/>
                <w:color w:val="FFFFFF"/>
                <w:sz w:val="14"/>
              </w:rPr>
              <w:t>2Q22</w:t>
            </w:r>
          </w:p>
        </w:tc>
        <w:tc>
          <w:tcPr>
            <w:tcW w:w="1250" w:type="dxa"/>
            <w:tcBorders/>
            <w:shd w:fill="2AD2C9" w:val="clear"/>
            <w:tcMar>
              <w:top w:w="0" w:type="dxa"/>
              <w:left w:w="0" w:type="dxa"/>
              <w:right w:w="0" w:type="dxa"/>
            </w:tcMar>
            <w:vAlign w:val="center"/>
          </w:tcPr>
          <w:p>
            <w:pPr>
              <w:pStyle w:val="TableContents"/>
              <w:bidi w:val="0"/>
              <w:spacing w:before="0" w:after="283"/>
              <w:jc w:val="center"/>
              <w:rPr>
                <w:b/>
                <w:color w:val="FFFFFF"/>
                <w:sz w:val="14"/>
              </w:rPr>
            </w:pPr>
            <w:r>
              <w:rPr>
                <w:b/>
                <w:color w:val="FFFFFF"/>
                <w:sz w:val="14"/>
              </w:rPr>
              <w:t>1Q23</w:t>
            </w:r>
          </w:p>
        </w:tc>
        <w:tc>
          <w:tcPr>
            <w:tcW w:w="1235" w:type="dxa"/>
            <w:tcBorders/>
            <w:shd w:fill="2AD2C9" w:val="clear"/>
            <w:tcMar>
              <w:top w:w="0" w:type="dxa"/>
              <w:left w:w="0" w:type="dxa"/>
              <w:right w:w="0" w:type="dxa"/>
            </w:tcMar>
            <w:vAlign w:val="center"/>
          </w:tcPr>
          <w:p>
            <w:pPr>
              <w:pStyle w:val="TableContents"/>
              <w:bidi w:val="0"/>
              <w:spacing w:before="0" w:after="283"/>
              <w:jc w:val="center"/>
              <w:rPr>
                <w:b/>
                <w:color w:val="FFFFFF"/>
                <w:sz w:val="14"/>
              </w:rPr>
            </w:pPr>
            <w:r>
              <w:rPr>
                <w:b/>
                <w:color w:val="FFFFFF"/>
                <w:sz w:val="14"/>
              </w:rPr>
              <w:t>2Q23</w:t>
            </w:r>
          </w:p>
        </w:tc>
        <w:tc>
          <w:tcPr>
            <w:tcW w:w="419" w:type="dxa"/>
            <w:tcBorders>
              <w:left w:val="single" w:sz="8" w:space="0" w:color="000000"/>
            </w:tcBorders>
            <w:shd w:fill="2AD2C9" w:val="clear"/>
            <w:tcMar>
              <w:top w:w="0" w:type="dxa"/>
              <w:right w:w="0" w:type="dxa"/>
            </w:tcMar>
            <w:vAlign w:val="center"/>
          </w:tcPr>
          <w:p>
            <w:pPr>
              <w:pStyle w:val="TableContents"/>
              <w:bidi w:val="0"/>
              <w:spacing w:before="0" w:after="283"/>
              <w:jc w:val="center"/>
              <w:rPr>
                <w:b/>
                <w:color w:val="FFFFFF"/>
                <w:sz w:val="14"/>
              </w:rPr>
            </w:pPr>
            <w:r>
              <w:rPr>
                <w:b/>
                <w:color w:val="FFFFFF"/>
                <w:sz w:val="14"/>
              </w:rPr>
              <w:t>QoQ</w:t>
            </w:r>
          </w:p>
        </w:tc>
        <w:tc>
          <w:tcPr>
            <w:tcW w:w="455" w:type="dxa"/>
            <w:tcBorders>
              <w:right w:val="single" w:sz="8" w:space="0" w:color="000000"/>
            </w:tcBorders>
            <w:shd w:fill="2AD2C9" w:val="clear"/>
            <w:tcMar>
              <w:top w:w="0" w:type="dxa"/>
              <w:left w:w="0" w:type="dxa"/>
            </w:tcMar>
            <w:vAlign w:val="center"/>
          </w:tcPr>
          <w:p>
            <w:pPr>
              <w:pStyle w:val="TableContents"/>
              <w:bidi w:val="0"/>
              <w:spacing w:before="0" w:after="283"/>
              <w:jc w:val="center"/>
              <w:rPr>
                <w:b/>
                <w:color w:val="FFFFFF"/>
                <w:sz w:val="14"/>
              </w:rPr>
            </w:pPr>
            <w:r>
              <w:rPr>
                <w:b/>
                <w:color w:val="FFFFFF"/>
                <w:sz w:val="14"/>
              </w:rPr>
              <w:t>YoY</w:t>
            </w:r>
          </w:p>
        </w:tc>
        <w:tc>
          <w:tcPr>
            <w:tcW w:w="1235" w:type="dxa"/>
            <w:tcBorders/>
            <w:shd w:fill="2AD2C9" w:val="clear"/>
            <w:tcMar>
              <w:top w:w="0" w:type="dxa"/>
              <w:left w:w="0" w:type="dxa"/>
              <w:right w:w="0" w:type="dxa"/>
            </w:tcMar>
            <w:vAlign w:val="center"/>
          </w:tcPr>
          <w:p>
            <w:pPr>
              <w:pStyle w:val="TableContents"/>
              <w:bidi w:val="0"/>
              <w:spacing w:before="0" w:after="283"/>
              <w:jc w:val="center"/>
              <w:rPr>
                <w:b/>
                <w:color w:val="FFFFFF"/>
                <w:sz w:val="14"/>
              </w:rPr>
            </w:pPr>
            <w:r>
              <w:rPr>
                <w:b/>
                <w:color w:val="FFFFFF"/>
                <w:sz w:val="14"/>
              </w:rPr>
              <w:t>1H22</w:t>
            </w:r>
          </w:p>
        </w:tc>
        <w:tc>
          <w:tcPr>
            <w:tcW w:w="1235" w:type="dxa"/>
            <w:tcBorders>
              <w:right w:val="single" w:sz="8" w:space="0" w:color="000000"/>
            </w:tcBorders>
            <w:shd w:fill="2AD2C9" w:val="clear"/>
            <w:tcMar>
              <w:top w:w="0" w:type="dxa"/>
              <w:left w:w="0" w:type="dxa"/>
            </w:tcMar>
            <w:vAlign w:val="center"/>
          </w:tcPr>
          <w:p>
            <w:pPr>
              <w:pStyle w:val="TableContents"/>
              <w:bidi w:val="0"/>
              <w:spacing w:before="0" w:after="283"/>
              <w:jc w:val="center"/>
              <w:rPr>
                <w:b/>
                <w:color w:val="FFFFFF"/>
                <w:sz w:val="14"/>
              </w:rPr>
            </w:pPr>
            <w:r>
              <w:rPr>
                <w:b/>
                <w:color w:val="FFFFFF"/>
                <w:sz w:val="14"/>
              </w:rPr>
              <w:t>1H23</w:t>
            </w:r>
          </w:p>
        </w:tc>
        <w:tc>
          <w:tcPr>
            <w:tcW w:w="789"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4"/>
              </w:rPr>
            </w:pPr>
            <w:r>
              <w:rPr>
                <w:b/>
                <w:color w:val="FFFFFF"/>
                <w:sz w:val="14"/>
              </w:rPr>
              <w:t>1H23 / 1H22</w:t>
            </w:r>
          </w:p>
        </w:tc>
      </w:tr>
      <w:tr>
        <w:trPr/>
        <w:tc>
          <w:tcPr>
            <w:tcW w:w="2352" w:type="dxa"/>
            <w:tcBorders>
              <w:left w:val="single" w:sz="8" w:space="0" w:color="000000"/>
              <w:right w:val="single" w:sz="8" w:space="0" w:color="000000"/>
            </w:tcBorders>
            <w:tcMar>
              <w:top w:w="0" w:type="dxa"/>
            </w:tcMar>
            <w:vAlign w:val="center"/>
          </w:tcPr>
          <w:p>
            <w:pPr>
              <w:pStyle w:val="TableContents"/>
              <w:bidi w:val="0"/>
              <w:spacing w:before="0" w:after="283"/>
              <w:jc w:val="left"/>
              <w:rPr>
                <w:b/>
                <w:sz w:val="14"/>
              </w:rPr>
            </w:pPr>
            <w:r>
              <w:rPr>
                <w:b/>
                <w:sz w:val="14"/>
              </w:rPr>
              <w:t>Interest income </w:t>
            </w:r>
          </w:p>
        </w:tc>
        <w:tc>
          <w:tcPr>
            <w:tcW w:w="1235" w:type="dxa"/>
            <w:tcBorders>
              <w:top w:val="single" w:sz="8" w:space="0" w:color="000000"/>
            </w:tcBorders>
            <w:tcMar>
              <w:left w:w="0" w:type="dxa"/>
              <w:right w:w="0" w:type="dxa"/>
            </w:tcMar>
            <w:vAlign w:val="center"/>
          </w:tcPr>
          <w:p>
            <w:pPr>
              <w:pStyle w:val="TableContents"/>
              <w:bidi w:val="0"/>
              <w:spacing w:before="0" w:after="283"/>
              <w:jc w:val="right"/>
              <w:rPr/>
            </w:pPr>
            <w:r>
              <w:rPr/>
              <w:t>         </w:t>
            </w:r>
            <w:r>
              <w:rPr>
                <w:b/>
                <w:sz w:val="14"/>
              </w:rPr>
              <w:t>3,488,113</w:t>
            </w:r>
          </w:p>
        </w:tc>
        <w:tc>
          <w:tcPr>
            <w:tcW w:w="1250" w:type="dxa"/>
            <w:tcBorders>
              <w:top w:val="single" w:sz="8" w:space="0" w:color="000000"/>
            </w:tcBorders>
            <w:tcMar>
              <w:left w:w="0" w:type="dxa"/>
              <w:right w:w="0" w:type="dxa"/>
            </w:tcMar>
            <w:vAlign w:val="center"/>
          </w:tcPr>
          <w:p>
            <w:pPr>
              <w:pStyle w:val="TableContents"/>
              <w:bidi w:val="0"/>
              <w:spacing w:before="0" w:after="283"/>
              <w:jc w:val="right"/>
              <w:rPr/>
            </w:pPr>
            <w:r>
              <w:rPr/>
              <w:t>         </w:t>
            </w:r>
            <w:r>
              <w:rPr>
                <w:b/>
                <w:sz w:val="14"/>
              </w:rPr>
              <w:t>4,456,106</w:t>
            </w:r>
          </w:p>
        </w:tc>
        <w:tc>
          <w:tcPr>
            <w:tcW w:w="1235" w:type="dxa"/>
            <w:tcBorders>
              <w:top w:val="single" w:sz="8" w:space="0" w:color="000000"/>
            </w:tcBorders>
            <w:tcMar>
              <w:left w:w="0" w:type="dxa"/>
              <w:right w:w="0" w:type="dxa"/>
            </w:tcMar>
            <w:vAlign w:val="center"/>
          </w:tcPr>
          <w:p>
            <w:pPr>
              <w:pStyle w:val="TableContents"/>
              <w:bidi w:val="0"/>
              <w:spacing w:before="0" w:after="283"/>
              <w:jc w:val="right"/>
              <w:rPr/>
            </w:pPr>
            <w:r>
              <w:rPr/>
              <w:t>         </w:t>
            </w:r>
            <w:r>
              <w:rPr>
                <w:b/>
                <w:sz w:val="14"/>
              </w:rPr>
              <w:t>4,653,246</w:t>
            </w:r>
          </w:p>
        </w:tc>
        <w:tc>
          <w:tcPr>
            <w:tcW w:w="419" w:type="dxa"/>
            <w:tcBorders>
              <w:top w:val="single" w:sz="8" w:space="0" w:color="000000"/>
              <w:left w:val="single" w:sz="8" w:space="0" w:color="000000"/>
            </w:tcBorders>
            <w:shd w:fill="FFFFFF" w:val="clear"/>
            <w:tcMar>
              <w:right w:w="0" w:type="dxa"/>
            </w:tcMar>
            <w:vAlign w:val="center"/>
          </w:tcPr>
          <w:p>
            <w:pPr>
              <w:pStyle w:val="TableContents"/>
              <w:bidi w:val="0"/>
              <w:spacing w:before="0" w:after="283"/>
              <w:jc w:val="center"/>
              <w:rPr>
                <w:b/>
                <w:sz w:val="14"/>
              </w:rPr>
            </w:pPr>
            <w:r>
              <w:rPr>
                <w:b/>
                <w:sz w:val="14"/>
              </w:rPr>
              <w:t>4.4%</w:t>
            </w:r>
          </w:p>
        </w:tc>
        <w:tc>
          <w:tcPr>
            <w:tcW w:w="455" w:type="dxa"/>
            <w:tcBorders>
              <w:top w:val="single" w:sz="8" w:space="0" w:color="000000"/>
              <w:right w:val="single" w:sz="8" w:space="0" w:color="000000"/>
            </w:tcBorders>
            <w:shd w:fill="FFFFFF" w:val="clear"/>
            <w:tcMar>
              <w:left w:w="0" w:type="dxa"/>
            </w:tcMar>
            <w:vAlign w:val="center"/>
          </w:tcPr>
          <w:p>
            <w:pPr>
              <w:pStyle w:val="TableContents"/>
              <w:bidi w:val="0"/>
              <w:spacing w:before="0" w:after="283"/>
              <w:jc w:val="center"/>
              <w:rPr>
                <w:b/>
                <w:sz w:val="14"/>
              </w:rPr>
            </w:pPr>
            <w:r>
              <w:rPr>
                <w:b/>
                <w:sz w:val="14"/>
              </w:rPr>
              <w:t>33.4%</w:t>
            </w:r>
          </w:p>
        </w:tc>
        <w:tc>
          <w:tcPr>
            <w:tcW w:w="1235" w:type="dxa"/>
            <w:tcBorders>
              <w:top w:val="single" w:sz="8" w:space="0" w:color="000000"/>
            </w:tcBorders>
            <w:tcMar>
              <w:left w:w="0" w:type="dxa"/>
              <w:right w:w="0" w:type="dxa"/>
            </w:tcMar>
            <w:vAlign w:val="center"/>
          </w:tcPr>
          <w:p>
            <w:pPr>
              <w:pStyle w:val="TableContents"/>
              <w:bidi w:val="0"/>
              <w:spacing w:before="0" w:after="283"/>
              <w:jc w:val="right"/>
              <w:rPr/>
            </w:pPr>
            <w:r>
              <w:rPr/>
              <w:t>         </w:t>
            </w:r>
            <w:r>
              <w:rPr>
                <w:b/>
                <w:sz w:val="14"/>
              </w:rPr>
              <w:t>6,660,459</w:t>
            </w:r>
          </w:p>
        </w:tc>
        <w:tc>
          <w:tcPr>
            <w:tcW w:w="1235" w:type="dxa"/>
            <w:tcBorders>
              <w:top w:val="single" w:sz="8" w:space="0" w:color="000000"/>
              <w:right w:val="single" w:sz="8" w:space="0" w:color="000000"/>
            </w:tcBorders>
            <w:tcMar>
              <w:left w:w="0" w:type="dxa"/>
            </w:tcMar>
            <w:vAlign w:val="center"/>
          </w:tcPr>
          <w:p>
            <w:pPr>
              <w:pStyle w:val="TableContents"/>
              <w:bidi w:val="0"/>
              <w:spacing w:before="0" w:after="283"/>
              <w:jc w:val="right"/>
              <w:rPr/>
            </w:pPr>
            <w:r>
              <w:rPr/>
              <w:t>         </w:t>
            </w:r>
            <w:r>
              <w:rPr>
                <w:b/>
                <w:sz w:val="14"/>
              </w:rPr>
              <w:t>9,109,352</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4"/>
              </w:rPr>
            </w:pPr>
            <w:r>
              <w:rPr>
                <w:b/>
                <w:sz w:val="14"/>
              </w:rPr>
              <w:t>36.8%</w:t>
            </w:r>
          </w:p>
        </w:tc>
      </w:tr>
      <w:tr>
        <w:trPr/>
        <w:tc>
          <w:tcPr>
            <w:tcW w:w="2352"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sz w:val="14"/>
              </w:rPr>
            </w:pPr>
            <w:r>
              <w:rPr>
                <w:sz w:val="14"/>
              </w:rPr>
              <w:t>Interest on loans</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2,929,782</w:t>
            </w:r>
          </w:p>
        </w:tc>
        <w:tc>
          <w:tcPr>
            <w:tcW w:w="1250" w:type="dxa"/>
            <w:tcBorders/>
            <w:tcMar>
              <w:top w:w="0" w:type="dxa"/>
              <w:left w:w="0" w:type="dxa"/>
              <w:right w:w="0" w:type="dxa"/>
            </w:tcMar>
            <w:vAlign w:val="center"/>
          </w:tcPr>
          <w:p>
            <w:pPr>
              <w:pStyle w:val="TableContents"/>
              <w:bidi w:val="0"/>
              <w:spacing w:before="0" w:after="283"/>
              <w:jc w:val="right"/>
              <w:rPr/>
            </w:pPr>
            <w:r>
              <w:rPr/>
              <w:t>         </w:t>
            </w:r>
            <w:r>
              <w:rPr>
                <w:sz w:val="14"/>
              </w:rPr>
              <w:t>3,570,952</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3,712,845</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4"/>
              </w:rPr>
            </w:pPr>
            <w:r>
              <w:rPr>
                <w:sz w:val="14"/>
              </w:rPr>
              <w:t>4.0%</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26.7%</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5,615,334</w:t>
            </w:r>
          </w:p>
        </w:tc>
        <w:tc>
          <w:tcPr>
            <w:tcW w:w="123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4"/>
              </w:rPr>
              <w:t>7,283,797</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29.7%</w:t>
            </w:r>
          </w:p>
        </w:tc>
      </w:tr>
      <w:tr>
        <w:trPr/>
        <w:tc>
          <w:tcPr>
            <w:tcW w:w="2352"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sz w:val="14"/>
              </w:rPr>
            </w:pPr>
            <w:r>
              <w:rPr>
                <w:sz w:val="14"/>
              </w:rPr>
              <w:t>Dividends on investments</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13,682</w:t>
            </w:r>
          </w:p>
        </w:tc>
        <w:tc>
          <w:tcPr>
            <w:tcW w:w="1250" w:type="dxa"/>
            <w:tcBorders/>
            <w:tcMar>
              <w:top w:w="0" w:type="dxa"/>
              <w:left w:w="0" w:type="dxa"/>
              <w:right w:w="0" w:type="dxa"/>
            </w:tcMar>
            <w:vAlign w:val="center"/>
          </w:tcPr>
          <w:p>
            <w:pPr>
              <w:pStyle w:val="TableContents"/>
              <w:bidi w:val="0"/>
              <w:spacing w:before="0" w:after="283"/>
              <w:jc w:val="right"/>
              <w:rPr/>
            </w:pPr>
            <w:r>
              <w:rPr/>
              <w:t>               </w:t>
            </w:r>
            <w:r>
              <w:rPr>
                <w:sz w:val="14"/>
              </w:rPr>
              <w:t>6,477</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17,492</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4"/>
              </w:rPr>
            </w:pPr>
            <w:r>
              <w:rPr>
                <w:sz w:val="14"/>
              </w:rPr>
              <w:t>170.1%</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27.8%</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18,002</w:t>
            </w:r>
          </w:p>
        </w:tc>
        <w:tc>
          <w:tcPr>
            <w:tcW w:w="123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4"/>
              </w:rPr>
              <w:t>23,969</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33.1%</w:t>
            </w:r>
          </w:p>
        </w:tc>
      </w:tr>
      <w:tr>
        <w:trPr/>
        <w:tc>
          <w:tcPr>
            <w:tcW w:w="2352"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sz w:val="14"/>
              </w:rPr>
            </w:pPr>
            <w:r>
              <w:rPr>
                <w:sz w:val="14"/>
              </w:rPr>
              <w:t>Interest on deposits with banks</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50,526</w:t>
            </w:r>
          </w:p>
        </w:tc>
        <w:tc>
          <w:tcPr>
            <w:tcW w:w="1250" w:type="dxa"/>
            <w:tcBorders/>
            <w:tcMar>
              <w:top w:w="0" w:type="dxa"/>
              <w:left w:w="0" w:type="dxa"/>
              <w:right w:w="0" w:type="dxa"/>
            </w:tcMar>
            <w:vAlign w:val="center"/>
          </w:tcPr>
          <w:p>
            <w:pPr>
              <w:pStyle w:val="TableContents"/>
              <w:bidi w:val="0"/>
              <w:spacing w:before="0" w:after="283"/>
              <w:jc w:val="right"/>
              <w:rPr/>
            </w:pPr>
            <w:r>
              <w:rPr/>
              <w:t>            </w:t>
            </w:r>
            <w:r>
              <w:rPr>
                <w:sz w:val="14"/>
              </w:rPr>
              <w:t>277,371</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286,459</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4"/>
              </w:rPr>
            </w:pPr>
            <w:r>
              <w:rPr>
                <w:sz w:val="14"/>
              </w:rPr>
              <w:t>3.3%</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467.0%</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87,360</w:t>
            </w:r>
          </w:p>
        </w:tc>
        <w:tc>
          <w:tcPr>
            <w:tcW w:w="123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4"/>
              </w:rPr>
              <w:t>563,830</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545.4%</w:t>
            </w:r>
          </w:p>
        </w:tc>
      </w:tr>
      <w:tr>
        <w:trPr/>
        <w:tc>
          <w:tcPr>
            <w:tcW w:w="2352"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sz w:val="14"/>
              </w:rPr>
            </w:pPr>
            <w:r>
              <w:rPr>
                <w:sz w:val="14"/>
              </w:rPr>
              <w:t>Interest on securities </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483,936</w:t>
            </w:r>
          </w:p>
        </w:tc>
        <w:tc>
          <w:tcPr>
            <w:tcW w:w="1250" w:type="dxa"/>
            <w:tcBorders/>
            <w:tcMar>
              <w:top w:w="0" w:type="dxa"/>
              <w:left w:w="0" w:type="dxa"/>
              <w:right w:w="0" w:type="dxa"/>
            </w:tcMar>
            <w:vAlign w:val="center"/>
          </w:tcPr>
          <w:p>
            <w:pPr>
              <w:pStyle w:val="TableContents"/>
              <w:bidi w:val="0"/>
              <w:spacing w:before="0" w:after="283"/>
              <w:jc w:val="right"/>
              <w:rPr/>
            </w:pPr>
            <w:r>
              <w:rPr/>
              <w:t>            </w:t>
            </w:r>
            <w:r>
              <w:rPr>
                <w:sz w:val="14"/>
              </w:rPr>
              <w:t>585,268</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618,952</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4"/>
              </w:rPr>
            </w:pPr>
            <w:r>
              <w:rPr>
                <w:sz w:val="14"/>
              </w:rPr>
              <w:t>5.8%</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27.9%</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921,959</w:t>
            </w:r>
          </w:p>
        </w:tc>
        <w:tc>
          <w:tcPr>
            <w:tcW w:w="123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4"/>
              </w:rPr>
              <w:t>1,204,220</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30.6%</w:t>
            </w:r>
          </w:p>
        </w:tc>
      </w:tr>
      <w:tr>
        <w:trPr/>
        <w:tc>
          <w:tcPr>
            <w:tcW w:w="2352"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sz w:val="14"/>
              </w:rPr>
            </w:pPr>
            <w:r>
              <w:rPr>
                <w:sz w:val="14"/>
              </w:rPr>
              <w:t>Other interest income</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10,187</w:t>
            </w:r>
          </w:p>
        </w:tc>
        <w:tc>
          <w:tcPr>
            <w:tcW w:w="1250" w:type="dxa"/>
            <w:tcBorders/>
            <w:tcMar>
              <w:top w:w="0" w:type="dxa"/>
              <w:left w:w="0" w:type="dxa"/>
              <w:right w:w="0" w:type="dxa"/>
            </w:tcMar>
            <w:vAlign w:val="center"/>
          </w:tcPr>
          <w:p>
            <w:pPr>
              <w:pStyle w:val="TableContents"/>
              <w:bidi w:val="0"/>
              <w:spacing w:before="0" w:after="283"/>
              <w:jc w:val="right"/>
              <w:rPr/>
            </w:pPr>
            <w:r>
              <w:rPr/>
              <w:t>             </w:t>
            </w:r>
            <w:r>
              <w:rPr>
                <w:sz w:val="14"/>
              </w:rPr>
              <w:t>16,038</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17,498</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4"/>
              </w:rPr>
            </w:pPr>
            <w:r>
              <w:rPr>
                <w:sz w:val="14"/>
              </w:rPr>
              <w:t>9.1%</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71.8%</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17,804</w:t>
            </w:r>
          </w:p>
        </w:tc>
        <w:tc>
          <w:tcPr>
            <w:tcW w:w="123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4"/>
              </w:rPr>
              <w:t>33,536</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88.4%</w:t>
            </w:r>
          </w:p>
        </w:tc>
      </w:tr>
      <w:tr>
        <w:trPr/>
        <w:tc>
          <w:tcPr>
            <w:tcW w:w="2352" w:type="dxa"/>
            <w:tcBorders>
              <w:left w:val="single" w:sz="8" w:space="0" w:color="000000"/>
              <w:right w:val="single" w:sz="8" w:space="0" w:color="000000"/>
            </w:tcBorders>
            <w:tcMar>
              <w:top w:w="0" w:type="dxa"/>
            </w:tcMar>
            <w:vAlign w:val="center"/>
          </w:tcPr>
          <w:p>
            <w:pPr>
              <w:pStyle w:val="TableContents"/>
              <w:bidi w:val="0"/>
              <w:spacing w:before="0" w:after="283"/>
              <w:jc w:val="left"/>
              <w:rPr>
                <w:b/>
                <w:sz w:val="14"/>
              </w:rPr>
            </w:pPr>
            <w:r>
              <w:rPr>
                <w:b/>
                <w:sz w:val="14"/>
              </w:rPr>
              <w:t>Interest expense</w:t>
            </w:r>
          </w:p>
        </w:tc>
        <w:tc>
          <w:tcPr>
            <w:tcW w:w="1235" w:type="dxa"/>
            <w:tcBorders/>
            <w:tcMar>
              <w:top w:w="0" w:type="dxa"/>
              <w:left w:w="0" w:type="dxa"/>
              <w:right w:w="0" w:type="dxa"/>
            </w:tcMar>
            <w:vAlign w:val="center"/>
          </w:tcPr>
          <w:p>
            <w:pPr>
              <w:pStyle w:val="TableContents"/>
              <w:bidi w:val="0"/>
              <w:spacing w:before="0" w:after="283"/>
              <w:jc w:val="right"/>
              <w:rPr/>
            </w:pPr>
            <w:r>
              <w:rPr/>
              <w:t>           </w:t>
            </w:r>
            <w:r>
              <w:rPr>
                <w:b/>
                <w:sz w:val="14"/>
              </w:rPr>
              <w:t>(851,007)</w:t>
            </w:r>
          </w:p>
        </w:tc>
        <w:tc>
          <w:tcPr>
            <w:tcW w:w="1250" w:type="dxa"/>
            <w:tcBorders/>
            <w:tcMar>
              <w:top w:w="0" w:type="dxa"/>
              <w:left w:w="0" w:type="dxa"/>
              <w:right w:w="0" w:type="dxa"/>
            </w:tcMar>
            <w:vAlign w:val="center"/>
          </w:tcPr>
          <w:p>
            <w:pPr>
              <w:pStyle w:val="TableContents"/>
              <w:bidi w:val="0"/>
              <w:spacing w:before="0" w:after="283"/>
              <w:jc w:val="right"/>
              <w:rPr/>
            </w:pPr>
            <w:r>
              <w:rPr/>
              <w:t>        </w:t>
            </w:r>
            <w:r>
              <w:rPr>
                <w:b/>
                <w:sz w:val="14"/>
              </w:rPr>
              <w:t>(1,324,017)</w:t>
            </w:r>
          </w:p>
        </w:tc>
        <w:tc>
          <w:tcPr>
            <w:tcW w:w="1235" w:type="dxa"/>
            <w:tcBorders/>
            <w:tcMar>
              <w:top w:w="0" w:type="dxa"/>
              <w:left w:w="0" w:type="dxa"/>
              <w:right w:w="0" w:type="dxa"/>
            </w:tcMar>
            <w:vAlign w:val="center"/>
          </w:tcPr>
          <w:p>
            <w:pPr>
              <w:pStyle w:val="TableContents"/>
              <w:bidi w:val="0"/>
              <w:spacing w:before="0" w:after="283"/>
              <w:jc w:val="right"/>
              <w:rPr/>
            </w:pPr>
            <w:r>
              <w:rPr/>
              <w:t>        </w:t>
            </w:r>
            <w:r>
              <w:rPr>
                <w:b/>
                <w:sz w:val="14"/>
              </w:rPr>
              <w:t>(1,449,090)</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b/>
                <w:sz w:val="14"/>
              </w:rPr>
            </w:pPr>
            <w:r>
              <w:rPr>
                <w:b/>
                <w:sz w:val="14"/>
              </w:rPr>
              <w:t>9.4%</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4"/>
              </w:rPr>
            </w:pPr>
            <w:r>
              <w:rPr>
                <w:b/>
                <w:sz w:val="14"/>
              </w:rPr>
              <w:t>70.3%</w:t>
            </w:r>
          </w:p>
        </w:tc>
        <w:tc>
          <w:tcPr>
            <w:tcW w:w="1235" w:type="dxa"/>
            <w:tcBorders/>
            <w:tcMar>
              <w:top w:w="0" w:type="dxa"/>
              <w:left w:w="0" w:type="dxa"/>
              <w:right w:w="0" w:type="dxa"/>
            </w:tcMar>
            <w:vAlign w:val="center"/>
          </w:tcPr>
          <w:p>
            <w:pPr>
              <w:pStyle w:val="TableContents"/>
              <w:bidi w:val="0"/>
              <w:spacing w:before="0" w:after="283"/>
              <w:jc w:val="right"/>
              <w:rPr/>
            </w:pPr>
            <w:r>
              <w:rPr/>
              <w:t>        </w:t>
            </w:r>
            <w:r>
              <w:rPr>
                <w:b/>
                <w:sz w:val="14"/>
              </w:rPr>
              <w:t>(1,591,646)</w:t>
            </w:r>
          </w:p>
        </w:tc>
        <w:tc>
          <w:tcPr>
            <w:tcW w:w="1235"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b/>
                <w:sz w:val="14"/>
              </w:rPr>
              <w:t>(2,773,107)</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4"/>
              </w:rPr>
            </w:pPr>
            <w:r>
              <w:rPr>
                <w:b/>
                <w:sz w:val="14"/>
              </w:rPr>
              <w:t>74.2%</w:t>
            </w:r>
          </w:p>
        </w:tc>
      </w:tr>
      <w:tr>
        <w:trPr/>
        <w:tc>
          <w:tcPr>
            <w:tcW w:w="2352" w:type="dxa"/>
            <w:tcBorders>
              <w:left w:val="single" w:sz="8" w:space="0" w:color="000000"/>
              <w:right w:val="single" w:sz="8" w:space="0" w:color="000000"/>
            </w:tcBorders>
            <w:tcMar>
              <w:top w:w="0" w:type="dxa"/>
              <w:left w:w="180" w:type="dxa"/>
            </w:tcMar>
            <w:vAlign w:val="center"/>
          </w:tcPr>
          <w:p>
            <w:pPr>
              <w:pStyle w:val="TableContents"/>
              <w:bidi w:val="0"/>
              <w:spacing w:before="0" w:after="283"/>
              <w:jc w:val="left"/>
              <w:rPr>
                <w:b/>
                <w:sz w:val="14"/>
              </w:rPr>
            </w:pPr>
            <w:r>
              <w:rPr>
                <w:b/>
                <w:sz w:val="14"/>
              </w:rPr>
              <w:t>Interest expense (excluding Net Insurance Financial Expenses)</w:t>
            </w:r>
          </w:p>
        </w:tc>
        <w:tc>
          <w:tcPr>
            <w:tcW w:w="1235" w:type="dxa"/>
            <w:tcBorders/>
            <w:tcMar>
              <w:top w:w="0" w:type="dxa"/>
              <w:left w:w="0" w:type="dxa"/>
              <w:right w:w="0" w:type="dxa"/>
            </w:tcMar>
            <w:vAlign w:val="center"/>
          </w:tcPr>
          <w:p>
            <w:pPr>
              <w:pStyle w:val="TableContents"/>
              <w:bidi w:val="0"/>
              <w:spacing w:before="0" w:after="283"/>
              <w:jc w:val="right"/>
              <w:rPr/>
            </w:pPr>
            <w:r>
              <w:rPr/>
              <w:t>           </w:t>
            </w:r>
            <w:r>
              <w:rPr>
                <w:b/>
                <w:sz w:val="14"/>
              </w:rPr>
              <w:t>(747,047)</w:t>
            </w:r>
          </w:p>
        </w:tc>
        <w:tc>
          <w:tcPr>
            <w:tcW w:w="1250" w:type="dxa"/>
            <w:tcBorders/>
            <w:tcMar>
              <w:top w:w="0" w:type="dxa"/>
              <w:left w:w="0" w:type="dxa"/>
              <w:right w:w="0" w:type="dxa"/>
            </w:tcMar>
            <w:vAlign w:val="center"/>
          </w:tcPr>
          <w:p>
            <w:pPr>
              <w:pStyle w:val="TableContents"/>
              <w:bidi w:val="0"/>
              <w:spacing w:before="0" w:after="283"/>
              <w:jc w:val="right"/>
              <w:rPr/>
            </w:pPr>
            <w:r>
              <w:rPr/>
              <w:t>        </w:t>
            </w:r>
            <w:r>
              <w:rPr>
                <w:b/>
                <w:sz w:val="14"/>
              </w:rPr>
              <w:t>(1,208,267)</w:t>
            </w:r>
          </w:p>
        </w:tc>
        <w:tc>
          <w:tcPr>
            <w:tcW w:w="1235" w:type="dxa"/>
            <w:tcBorders/>
            <w:tcMar>
              <w:top w:w="0" w:type="dxa"/>
              <w:left w:w="0" w:type="dxa"/>
              <w:right w:w="0" w:type="dxa"/>
            </w:tcMar>
            <w:vAlign w:val="center"/>
          </w:tcPr>
          <w:p>
            <w:pPr>
              <w:pStyle w:val="TableContents"/>
              <w:bidi w:val="0"/>
              <w:spacing w:before="0" w:after="283"/>
              <w:jc w:val="right"/>
              <w:rPr/>
            </w:pPr>
            <w:r>
              <w:rPr/>
              <w:t>        </w:t>
            </w:r>
            <w:r>
              <w:rPr>
                <w:b/>
                <w:sz w:val="14"/>
              </w:rPr>
              <w:t>(1,333,924)</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4"/>
              </w:rPr>
            </w:pPr>
            <w:r>
              <w:rPr>
                <w:sz w:val="14"/>
              </w:rPr>
              <w:t>10.4%</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78.6%</w:t>
            </w:r>
          </w:p>
        </w:tc>
        <w:tc>
          <w:tcPr>
            <w:tcW w:w="1235" w:type="dxa"/>
            <w:tcBorders/>
            <w:tcMar>
              <w:top w:w="0" w:type="dxa"/>
              <w:left w:w="0" w:type="dxa"/>
              <w:right w:w="0" w:type="dxa"/>
            </w:tcMar>
            <w:vAlign w:val="center"/>
          </w:tcPr>
          <w:p>
            <w:pPr>
              <w:pStyle w:val="TableContents"/>
              <w:bidi w:val="0"/>
              <w:spacing w:before="0" w:after="283"/>
              <w:jc w:val="right"/>
              <w:rPr/>
            </w:pPr>
            <w:r>
              <w:rPr/>
              <w:t>        </w:t>
            </w:r>
            <w:r>
              <w:rPr>
                <w:b/>
                <w:sz w:val="14"/>
              </w:rPr>
              <w:t>(1,385,928)</w:t>
            </w:r>
          </w:p>
        </w:tc>
        <w:tc>
          <w:tcPr>
            <w:tcW w:w="1235"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b/>
                <w:sz w:val="14"/>
              </w:rPr>
              <w:t>(2,542,191)</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4"/>
              </w:rPr>
            </w:pPr>
            <w:r>
              <w:rPr>
                <w:b/>
                <w:sz w:val="14"/>
              </w:rPr>
              <w:t>83.4%</w:t>
            </w:r>
          </w:p>
        </w:tc>
      </w:tr>
      <w:tr>
        <w:trPr/>
        <w:tc>
          <w:tcPr>
            <w:tcW w:w="2352"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sz w:val="14"/>
              </w:rPr>
            </w:pPr>
            <w:r>
              <w:rPr>
                <w:sz w:val="14"/>
              </w:rPr>
              <w:t>Interest on deposits </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336,953</w:t>
            </w:r>
          </w:p>
        </w:tc>
        <w:tc>
          <w:tcPr>
            <w:tcW w:w="1250" w:type="dxa"/>
            <w:tcBorders/>
            <w:tcMar>
              <w:top w:w="0" w:type="dxa"/>
              <w:left w:w="0" w:type="dxa"/>
              <w:right w:w="0" w:type="dxa"/>
            </w:tcMar>
            <w:vAlign w:val="center"/>
          </w:tcPr>
          <w:p>
            <w:pPr>
              <w:pStyle w:val="TableContents"/>
              <w:bidi w:val="0"/>
              <w:spacing w:before="0" w:after="283"/>
              <w:jc w:val="right"/>
              <w:rPr/>
            </w:pPr>
            <w:r>
              <w:rPr/>
              <w:t>            </w:t>
            </w:r>
            <w:r>
              <w:rPr>
                <w:sz w:val="14"/>
              </w:rPr>
              <w:t>677,088</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777,436</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4"/>
              </w:rPr>
            </w:pPr>
            <w:r>
              <w:rPr>
                <w:sz w:val="14"/>
              </w:rPr>
              <w:t>14.8%</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130.7%</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595,892</w:t>
            </w:r>
          </w:p>
        </w:tc>
        <w:tc>
          <w:tcPr>
            <w:tcW w:w="123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4"/>
              </w:rPr>
              <w:t>1,454,524</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144.1%</w:t>
            </w:r>
          </w:p>
        </w:tc>
      </w:tr>
      <w:tr>
        <w:trPr/>
        <w:tc>
          <w:tcPr>
            <w:tcW w:w="2352"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sz w:val="14"/>
              </w:rPr>
            </w:pPr>
            <w:r>
              <w:rPr>
                <w:sz w:val="14"/>
              </w:rPr>
              <w:t>Interest on borrowed funds</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141,531</w:t>
            </w:r>
          </w:p>
        </w:tc>
        <w:tc>
          <w:tcPr>
            <w:tcW w:w="1250" w:type="dxa"/>
            <w:tcBorders/>
            <w:tcMar>
              <w:top w:w="0" w:type="dxa"/>
              <w:left w:w="0" w:type="dxa"/>
              <w:right w:w="0" w:type="dxa"/>
            </w:tcMar>
            <w:vAlign w:val="center"/>
          </w:tcPr>
          <w:p>
            <w:pPr>
              <w:pStyle w:val="TableContents"/>
              <w:bidi w:val="0"/>
              <w:spacing w:before="0" w:after="283"/>
              <w:jc w:val="right"/>
              <w:rPr/>
            </w:pPr>
            <w:r>
              <w:rPr/>
              <w:t>            </w:t>
            </w:r>
            <w:r>
              <w:rPr>
                <w:sz w:val="14"/>
              </w:rPr>
              <w:t>238,933</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296,854</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4"/>
              </w:rPr>
            </w:pPr>
            <w:r>
              <w:rPr>
                <w:sz w:val="14"/>
              </w:rPr>
              <w:t>24.2%</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109.7%</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257,762</w:t>
            </w:r>
          </w:p>
        </w:tc>
        <w:tc>
          <w:tcPr>
            <w:tcW w:w="123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4"/>
              </w:rPr>
              <w:t>535,787</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107.9%</w:t>
            </w:r>
          </w:p>
        </w:tc>
      </w:tr>
      <w:tr>
        <w:trPr/>
        <w:tc>
          <w:tcPr>
            <w:tcW w:w="2352"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sz w:val="14"/>
              </w:rPr>
            </w:pPr>
            <w:r>
              <w:rPr>
                <w:sz w:val="14"/>
              </w:rPr>
              <w:t>Interest on bonds and subordinated notes</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166,118</w:t>
            </w:r>
          </w:p>
        </w:tc>
        <w:tc>
          <w:tcPr>
            <w:tcW w:w="1250" w:type="dxa"/>
            <w:tcBorders/>
            <w:tcMar>
              <w:top w:w="0" w:type="dxa"/>
              <w:left w:w="0" w:type="dxa"/>
              <w:right w:w="0" w:type="dxa"/>
            </w:tcMar>
            <w:vAlign w:val="center"/>
          </w:tcPr>
          <w:p>
            <w:pPr>
              <w:pStyle w:val="TableContents"/>
              <w:bidi w:val="0"/>
              <w:spacing w:before="0" w:after="283"/>
              <w:jc w:val="right"/>
              <w:rPr/>
            </w:pPr>
            <w:r>
              <w:rPr/>
              <w:t>            </w:t>
            </w:r>
            <w:r>
              <w:rPr>
                <w:sz w:val="14"/>
              </w:rPr>
              <w:t>182,898</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148,992</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sz w:val="14"/>
              </w:rPr>
            </w:pPr>
            <w:r>
              <w:rPr>
                <w:sz w:val="14"/>
              </w:rPr>
              <w:t>-18.5%</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-10.3%</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345,727</w:t>
            </w:r>
          </w:p>
        </w:tc>
        <w:tc>
          <w:tcPr>
            <w:tcW w:w="123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4"/>
              </w:rPr>
              <w:t>331,890</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-4.0%</w:t>
            </w:r>
          </w:p>
        </w:tc>
      </w:tr>
      <w:tr>
        <w:trPr/>
        <w:tc>
          <w:tcPr>
            <w:tcW w:w="2352" w:type="dxa"/>
            <w:tcBorders>
              <w:left w:val="single" w:sz="8" w:space="0" w:color="000000"/>
              <w:right w:val="single" w:sz="8" w:space="0" w:color="000000"/>
            </w:tcBorders>
            <w:tcMar>
              <w:top w:w="0" w:type="dxa"/>
              <w:left w:w="360" w:type="dxa"/>
            </w:tcMar>
            <w:vAlign w:val="center"/>
          </w:tcPr>
          <w:p>
            <w:pPr>
              <w:pStyle w:val="TableContents"/>
              <w:bidi w:val="0"/>
              <w:spacing w:before="0" w:after="283"/>
              <w:jc w:val="left"/>
              <w:rPr>
                <w:sz w:val="14"/>
              </w:rPr>
            </w:pPr>
            <w:r>
              <w:rPr>
                <w:sz w:val="14"/>
              </w:rPr>
              <w:t>Other interest expense</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102,445</w:t>
            </w:r>
          </w:p>
        </w:tc>
        <w:tc>
          <w:tcPr>
            <w:tcW w:w="1250" w:type="dxa"/>
            <w:tcBorders/>
            <w:tcMar>
              <w:top w:w="0" w:type="dxa"/>
              <w:left w:w="0" w:type="dxa"/>
              <w:right w:w="0" w:type="dxa"/>
            </w:tcMar>
            <w:vAlign w:val="center"/>
          </w:tcPr>
          <w:p>
            <w:pPr>
              <w:pStyle w:val="TableContents"/>
              <w:bidi w:val="0"/>
              <w:spacing w:before="0" w:after="283"/>
              <w:jc w:val="right"/>
              <w:rPr/>
            </w:pPr>
            <w:r>
              <w:rPr/>
              <w:t>            </w:t>
            </w:r>
            <w:r>
              <w:rPr>
                <w:sz w:val="14"/>
              </w:rPr>
              <w:t>109,348</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110,642</w:t>
            </w:r>
          </w:p>
        </w:tc>
        <w:tc>
          <w:tcPr>
            <w:tcW w:w="419" w:type="dxa"/>
            <w:tcBorders>
              <w:left w:val="single" w:sz="8" w:space="0" w:color="000000"/>
            </w:tcBorders>
            <w:shd w:fill="FFFFFF" w:val="clear"/>
            <w:tcMar>
              <w:top w:w="0" w:type="dxa"/>
              <w:right w:w="0" w:type="dxa"/>
            </w:tcMar>
            <w:vAlign w:val="center"/>
          </w:tcPr>
          <w:p>
            <w:pPr>
              <w:pStyle w:val="TableContents"/>
              <w:bidi w:val="0"/>
              <w:spacing w:before="0" w:after="283"/>
              <w:jc w:val="center"/>
              <w:rPr>
                <w:b/>
                <w:sz w:val="14"/>
              </w:rPr>
            </w:pPr>
            <w:r>
              <w:rPr>
                <w:b/>
                <w:sz w:val="14"/>
              </w:rPr>
              <w:t>1.2%</w:t>
            </w:r>
          </w:p>
        </w:tc>
        <w:tc>
          <w:tcPr>
            <w:tcW w:w="45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4"/>
              </w:rPr>
            </w:pPr>
            <w:r>
              <w:rPr>
                <w:b/>
                <w:sz w:val="14"/>
              </w:rPr>
              <w:t>8.0%</w:t>
            </w:r>
          </w:p>
        </w:tc>
        <w:tc>
          <w:tcPr>
            <w:tcW w:w="1235" w:type="dxa"/>
            <w:tcBorders/>
            <w:tcMar>
              <w:top w:w="0" w:type="dxa"/>
              <w:left w:w="0" w:type="dxa"/>
              <w:right w:w="0" w:type="dxa"/>
            </w:tcMar>
            <w:vAlign w:val="center"/>
          </w:tcPr>
          <w:p>
            <w:pPr>
              <w:pStyle w:val="TableContents"/>
              <w:bidi w:val="0"/>
              <w:spacing w:before="0" w:after="283"/>
              <w:jc w:val="right"/>
              <w:rPr/>
            </w:pPr>
            <w:r>
              <w:rPr/>
              <w:t>            </w:t>
            </w:r>
            <w:r>
              <w:rPr>
                <w:sz w:val="14"/>
              </w:rPr>
              <w:t>186,547</w:t>
            </w:r>
          </w:p>
        </w:tc>
        <w:tc>
          <w:tcPr>
            <w:tcW w:w="123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4"/>
              </w:rPr>
              <w:t>219,990</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4"/>
              </w:rPr>
            </w:pPr>
            <w:r>
              <w:rPr>
                <w:sz w:val="14"/>
              </w:rPr>
              <w:t>17.9%</w:t>
            </w:r>
          </w:p>
        </w:tc>
      </w:tr>
      <w:tr>
        <w:trPr/>
        <w:tc>
          <w:tcPr>
            <w:tcW w:w="2352" w:type="dxa"/>
            <w:tcBorders>
              <w:left w:val="single" w:sz="8" w:space="0" w:color="000000"/>
              <w:bottom w:val="single" w:sz="8" w:space="0" w:color="000000"/>
              <w:right w:val="single" w:sz="8" w:space="0" w:color="000000"/>
            </w:tcBorders>
            <w:tcMar>
              <w:top w:w="0" w:type="dxa"/>
              <w:left w:w="200" w:type="dxa"/>
              <w:bottom w:w="28" w:type="dxa"/>
            </w:tcMar>
            <w:vAlign w:val="center"/>
          </w:tcPr>
          <w:p>
            <w:pPr>
              <w:pStyle w:val="TableContents"/>
              <w:bidi w:val="0"/>
              <w:spacing w:before="0" w:after="283"/>
              <w:jc w:val="left"/>
              <w:rPr>
                <w:b/>
                <w:sz w:val="14"/>
              </w:rPr>
            </w:pPr>
            <w:r>
              <w:rPr>
                <w:b/>
                <w:sz w:val="14"/>
              </w:rPr>
              <w:t>Net Insurance Financial Expenses</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(103,960)</w:t>
            </w:r>
          </w:p>
        </w:tc>
        <w:tc>
          <w:tcPr>
            <w:tcW w:w="125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(115,750)</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(115,166)</w:t>
            </w:r>
          </w:p>
        </w:tc>
        <w:tc>
          <w:tcPr>
            <w:tcW w:w="419"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center"/>
              <w:rPr>
                <w:b/>
                <w:sz w:val="14"/>
              </w:rPr>
            </w:pPr>
            <w:r>
              <w:rPr>
                <w:b/>
                <w:sz w:val="14"/>
              </w:rPr>
              <w:t>-0.5%</w:t>
            </w:r>
          </w:p>
        </w:tc>
        <w:tc>
          <w:tcPr>
            <w:tcW w:w="45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14"/>
              </w:rPr>
            </w:pPr>
            <w:r>
              <w:rPr>
                <w:b/>
                <w:sz w:val="14"/>
              </w:rPr>
              <w:t>10.8%</w:t>
            </w:r>
          </w:p>
        </w:tc>
        <w:tc>
          <w:tcPr>
            <w:tcW w:w="1235" w:type="dxa"/>
            <w:tcBorders/>
            <w:tcMar>
              <w:top w:w="0" w:type="dxa"/>
              <w:left w:w="0" w:type="dxa"/>
              <w:right w:w="0" w:type="dxa"/>
            </w:tcMar>
            <w:vAlign w:val="center"/>
          </w:tcPr>
          <w:p>
            <w:pPr>
              <w:pStyle w:val="TableContents"/>
              <w:bidi w:val="0"/>
              <w:spacing w:before="0" w:after="283"/>
              <w:jc w:val="right"/>
              <w:rPr/>
            </w:pPr>
            <w:r>
              <w:rPr/>
              <w:t>           </w:t>
            </w:r>
            <w:r>
              <w:rPr>
                <w:b/>
                <w:sz w:val="14"/>
              </w:rPr>
              <w:t>(205,718)</w:t>
            </w:r>
          </w:p>
        </w:tc>
        <w:tc>
          <w:tcPr>
            <w:tcW w:w="1235"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b/>
                <w:sz w:val="14"/>
              </w:rPr>
              <w:t>(230,916)</w:t>
            </w:r>
          </w:p>
        </w:tc>
        <w:tc>
          <w:tcPr>
            <w:tcW w:w="789"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4"/>
              </w:rPr>
            </w:pPr>
            <w:r>
              <w:rPr>
                <w:b/>
                <w:sz w:val="14"/>
              </w:rPr>
              <w:t>12.2%</w:t>
            </w:r>
          </w:p>
        </w:tc>
      </w:tr>
      <w:tr>
        <w:trPr/>
        <w:tc>
          <w:tcPr>
            <w:tcW w:w="2352"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b/>
                <w:sz w:val="14"/>
              </w:rPr>
            </w:pPr>
            <w:r>
              <w:rPr>
                <w:b/>
                <w:sz w:val="14"/>
              </w:rPr>
              <w:t>Net interest income</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2,637,106</w:t>
            </w:r>
          </w:p>
        </w:tc>
        <w:tc>
          <w:tcPr>
            <w:tcW w:w="125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3,132,089</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3,204,156</w:t>
            </w:r>
          </w:p>
        </w:tc>
        <w:tc>
          <w:tcPr>
            <w:tcW w:w="419"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center"/>
              <w:rPr>
                <w:b/>
                <w:sz w:val="14"/>
              </w:rPr>
            </w:pPr>
            <w:r>
              <w:rPr>
                <w:b/>
                <w:sz w:val="14"/>
              </w:rPr>
              <w:t>2.3%</w:t>
            </w:r>
          </w:p>
        </w:tc>
        <w:tc>
          <w:tcPr>
            <w:tcW w:w="45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14"/>
              </w:rPr>
            </w:pPr>
            <w:r>
              <w:rPr>
                <w:b/>
                <w:sz w:val="14"/>
              </w:rPr>
              <w:t>21.5%</w:t>
            </w:r>
          </w:p>
        </w:tc>
        <w:tc>
          <w:tcPr>
            <w:tcW w:w="1235" w:type="dxa"/>
            <w:tcBorders>
              <w:top w:val="single" w:sz="8" w:space="0" w:color="000000"/>
              <w:bottom w:val="single" w:sz="8" w:space="0" w:color="000000"/>
            </w:tcBorders>
            <w:tcMar>
              <w:left w:w="0" w:type="dxa"/>
              <w:bottom w:w="28" w:type="dxa"/>
              <w:right w:w="0" w:type="dxa"/>
            </w:tcMar>
            <w:vAlign w:val="center"/>
          </w:tcPr>
          <w:p>
            <w:pPr>
              <w:pStyle w:val="TableContents"/>
              <w:bidi w:val="0"/>
              <w:spacing w:before="0" w:after="283"/>
              <w:jc w:val="right"/>
              <w:rPr/>
            </w:pPr>
            <w:r>
              <w:rPr/>
              <w:t>         </w:t>
            </w:r>
            <w:r>
              <w:rPr>
                <w:b/>
                <w:sz w:val="14"/>
              </w:rPr>
              <w:t>5,068,813</w:t>
            </w:r>
          </w:p>
        </w:tc>
        <w:tc>
          <w:tcPr>
            <w:tcW w:w="123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right"/>
              <w:rPr/>
            </w:pPr>
            <w:r>
              <w:rPr/>
              <w:t>         </w:t>
            </w:r>
            <w:r>
              <w:rPr>
                <w:b/>
                <w:sz w:val="14"/>
              </w:rPr>
              <w:t>6,336,245</w:t>
            </w:r>
          </w:p>
        </w:tc>
        <w:tc>
          <w:tcPr>
            <w:tcW w:w="789"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b/>
                <w:sz w:val="14"/>
              </w:rPr>
            </w:pPr>
            <w:r>
              <w:rPr>
                <w:b/>
                <w:sz w:val="14"/>
              </w:rPr>
              <w:t>25.0%</w:t>
            </w:r>
          </w:p>
        </w:tc>
      </w:tr>
      <w:tr>
        <w:trPr/>
        <w:tc>
          <w:tcPr>
            <w:tcW w:w="2352"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b/>
                <w:sz w:val="14"/>
              </w:rPr>
            </w:pPr>
            <w:r>
              <w:rPr>
                <w:b/>
                <w:sz w:val="14"/>
              </w:rPr>
              <w:t>Risk-adjusted Net interest income</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2,273,815</w:t>
            </w:r>
          </w:p>
        </w:tc>
        <w:tc>
          <w:tcPr>
            <w:tcW w:w="125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2,405,091</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2,399,905</w:t>
            </w:r>
          </w:p>
        </w:tc>
        <w:tc>
          <w:tcPr>
            <w:tcW w:w="419"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center"/>
              <w:rPr>
                <w:sz w:val="14"/>
              </w:rPr>
            </w:pPr>
            <w:r>
              <w:rPr>
                <w:sz w:val="14"/>
              </w:rPr>
              <w:t>-0.2%</w:t>
            </w:r>
          </w:p>
        </w:tc>
        <w:tc>
          <w:tcPr>
            <w:tcW w:w="45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sz w:val="14"/>
              </w:rPr>
            </w:pPr>
            <w:r>
              <w:rPr>
                <w:sz w:val="14"/>
              </w:rPr>
              <w:t>5.5%</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4"/>
              </w:rPr>
              <w:t>4,447,932</w:t>
            </w:r>
          </w:p>
        </w:tc>
        <w:tc>
          <w:tcPr>
            <w:tcW w:w="123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b/>
                <w:sz w:val="14"/>
              </w:rPr>
              <w:t>4,804,996</w:t>
            </w:r>
          </w:p>
        </w:tc>
        <w:tc>
          <w:tcPr>
            <w:tcW w:w="78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4"/>
              </w:rPr>
            </w:pPr>
            <w:r>
              <w:rPr>
                <w:b/>
                <w:sz w:val="14"/>
              </w:rPr>
              <w:t>8.0%</w:t>
            </w:r>
          </w:p>
        </w:tc>
      </w:tr>
      <w:tr>
        <w:trPr/>
        <w:tc>
          <w:tcPr>
            <w:tcW w:w="2352" w:type="dxa"/>
            <w:tcBorders>
              <w:left w:val="single" w:sz="8" w:space="0" w:color="000000"/>
              <w:right w:val="single" w:sz="8" w:space="0" w:color="000000"/>
            </w:tcBorders>
            <w:tcMar>
              <w:top w:w="0" w:type="dxa"/>
            </w:tcMar>
            <w:vAlign w:val="center"/>
          </w:tcPr>
          <w:p>
            <w:pPr>
              <w:pStyle w:val="TableContents"/>
              <w:bidi w:val="0"/>
              <w:spacing w:before="0" w:after="283"/>
              <w:jc w:val="left"/>
              <w:rPr>
                <w:sz w:val="14"/>
              </w:rPr>
            </w:pPr>
            <w:r>
              <w:rPr>
                <w:sz w:val="14"/>
              </w:rPr>
              <w:t>Average interest earning assets</w:t>
            </w:r>
          </w:p>
        </w:tc>
        <w:tc>
          <w:tcPr>
            <w:tcW w:w="1235" w:type="dxa"/>
            <w:tcBorders/>
            <w:tcMar>
              <w:top w:w="0" w:type="dxa"/>
              <w:left w:w="0" w:type="dxa"/>
              <w:right w:w="0" w:type="dxa"/>
            </w:tcMar>
            <w:vAlign w:val="center"/>
          </w:tcPr>
          <w:p>
            <w:pPr>
              <w:pStyle w:val="TableContents"/>
              <w:bidi w:val="0"/>
              <w:spacing w:before="0" w:after="283"/>
              <w:jc w:val="right"/>
              <w:rPr/>
            </w:pPr>
            <w:r>
              <w:rPr/>
              <w:t>     </w:t>
            </w:r>
            <w:r>
              <w:rPr>
                <w:b/>
                <w:sz w:val="14"/>
              </w:rPr>
              <w:t>222,718,971</w:t>
            </w:r>
          </w:p>
        </w:tc>
        <w:tc>
          <w:tcPr>
            <w:tcW w:w="1250" w:type="dxa"/>
            <w:tcBorders/>
            <w:tcMar>
              <w:top w:w="0" w:type="dxa"/>
              <w:left w:w="0" w:type="dxa"/>
              <w:right w:w="0" w:type="dxa"/>
            </w:tcMar>
            <w:vAlign w:val="center"/>
          </w:tcPr>
          <w:p>
            <w:pPr>
              <w:pStyle w:val="TableContents"/>
              <w:bidi w:val="0"/>
              <w:spacing w:before="0" w:after="283"/>
              <w:jc w:val="right"/>
              <w:rPr/>
            </w:pPr>
            <w:r>
              <w:rPr/>
              <w:t>     </w:t>
            </w:r>
            <w:r>
              <w:rPr>
                <w:b/>
                <w:sz w:val="14"/>
              </w:rPr>
              <w:t>222,289,504</w:t>
            </w:r>
          </w:p>
        </w:tc>
        <w:tc>
          <w:tcPr>
            <w:tcW w:w="1235" w:type="dxa"/>
            <w:tcBorders/>
            <w:tcMar>
              <w:top w:w="0" w:type="dxa"/>
              <w:left w:w="0" w:type="dxa"/>
              <w:right w:w="0" w:type="dxa"/>
            </w:tcMar>
            <w:vAlign w:val="center"/>
          </w:tcPr>
          <w:p>
            <w:pPr>
              <w:pStyle w:val="TableContents"/>
              <w:bidi w:val="0"/>
              <w:spacing w:before="0" w:after="283"/>
              <w:jc w:val="right"/>
              <w:rPr/>
            </w:pPr>
            <w:r>
              <w:rPr/>
              <w:t>     </w:t>
            </w:r>
            <w:r>
              <w:rPr>
                <w:b/>
                <w:sz w:val="14"/>
              </w:rPr>
              <w:t>220,651,688</w:t>
            </w:r>
          </w:p>
        </w:tc>
        <w:tc>
          <w:tcPr>
            <w:tcW w:w="419"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b/>
                <w:sz w:val="14"/>
              </w:rPr>
            </w:pPr>
            <w:r>
              <w:rPr>
                <w:b/>
                <w:sz w:val="14"/>
              </w:rPr>
              <w:t>-0.7%</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4"/>
              </w:rPr>
            </w:pPr>
            <w:r>
              <w:rPr>
                <w:b/>
                <w:sz w:val="14"/>
              </w:rPr>
              <w:t>-0.9%</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sz w:val="14"/>
              </w:rPr>
              <w:t>226,151,471</w:t>
            </w:r>
          </w:p>
        </w:tc>
        <w:tc>
          <w:tcPr>
            <w:tcW w:w="123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pPr>
            <w:r>
              <w:rPr/>
              <w:t>     </w:t>
            </w:r>
            <w:r>
              <w:rPr>
                <w:sz w:val="14"/>
              </w:rPr>
              <w:t>220,418,854</w:t>
            </w:r>
          </w:p>
        </w:tc>
        <w:tc>
          <w:tcPr>
            <w:tcW w:w="78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4"/>
              </w:rPr>
            </w:pPr>
            <w:r>
              <w:rPr>
                <w:sz w:val="14"/>
              </w:rPr>
              <w:t>-2.5%</w:t>
            </w:r>
          </w:p>
        </w:tc>
      </w:tr>
      <w:tr>
        <w:trPr/>
        <w:tc>
          <w:tcPr>
            <w:tcW w:w="2352" w:type="dxa"/>
            <w:tcBorders>
              <w:top w:val="single" w:sz="8" w:space="0" w:color="000000"/>
              <w:left w:val="single" w:sz="8" w:space="0" w:color="000000"/>
              <w:right w:val="single" w:sz="8" w:space="0" w:color="000000"/>
            </w:tcBorders>
            <w:vAlign w:val="center"/>
          </w:tcPr>
          <w:p>
            <w:pPr>
              <w:pStyle w:val="TableContents"/>
              <w:bidi w:val="0"/>
              <w:spacing w:lineRule="auto" w:line="240" w:before="0" w:after="283"/>
              <w:jc w:val="left"/>
              <w:rPr>
                <w:b/>
                <w:sz w:val="14"/>
              </w:rPr>
            </w:pPr>
            <w:r>
              <w:rPr>
                <w:b/>
                <w:sz w:val="14"/>
              </w:rPr>
              <w:t xml:space="preserve">Net interest margin </w:t>
            </w:r>
            <w:r>
              <w:rPr>
                <w:rFonts w:ascii="Arial;Helvetica;Sans-Serif" w:hAnsi="Arial;Helvetica;Sans-Serif"/>
                <w:b w:val="false"/>
                <w:i w:val="false"/>
                <w:caps w:val="false"/>
                <w:smallCaps w:val="false"/>
                <w:sz w:val="14"/>
              </w:rPr>
              <w:t>(1)</w:t>
            </w:r>
          </w:p>
        </w:tc>
        <w:tc>
          <w:tcPr>
            <w:tcW w:w="1235" w:type="dxa"/>
            <w:tcBorders>
              <w:top w:val="single" w:sz="8" w:space="0" w:color="000000"/>
            </w:tcBorders>
            <w:tcMar>
              <w:left w:w="0" w:type="dxa"/>
              <w:right w:w="0" w:type="dxa"/>
            </w:tcMar>
            <w:vAlign w:val="center"/>
          </w:tcPr>
          <w:p>
            <w:pPr>
              <w:pStyle w:val="TableContents"/>
              <w:bidi w:val="0"/>
              <w:spacing w:before="0" w:after="283"/>
              <w:jc w:val="right"/>
              <w:rPr>
                <w:b/>
                <w:sz w:val="14"/>
              </w:rPr>
            </w:pPr>
            <w:r>
              <w:rPr>
                <w:b/>
                <w:sz w:val="14"/>
              </w:rPr>
              <w:t>4.92%</w:t>
            </w:r>
          </w:p>
        </w:tc>
        <w:tc>
          <w:tcPr>
            <w:tcW w:w="1250" w:type="dxa"/>
            <w:tcBorders>
              <w:top w:val="single" w:sz="8" w:space="0" w:color="000000"/>
            </w:tcBorders>
            <w:tcMar>
              <w:left w:w="0" w:type="dxa"/>
              <w:right w:w="0" w:type="dxa"/>
            </w:tcMar>
            <w:vAlign w:val="center"/>
          </w:tcPr>
          <w:p>
            <w:pPr>
              <w:pStyle w:val="TableContents"/>
              <w:bidi w:val="0"/>
              <w:spacing w:before="0" w:after="283"/>
              <w:jc w:val="right"/>
              <w:rPr>
                <w:b/>
                <w:sz w:val="14"/>
              </w:rPr>
            </w:pPr>
            <w:r>
              <w:rPr>
                <w:b/>
                <w:sz w:val="14"/>
              </w:rPr>
              <w:t>5.84%</w:t>
            </w:r>
          </w:p>
        </w:tc>
        <w:tc>
          <w:tcPr>
            <w:tcW w:w="1235" w:type="dxa"/>
            <w:tcBorders>
              <w:top w:val="single" w:sz="8" w:space="0" w:color="000000"/>
            </w:tcBorders>
            <w:tcMar>
              <w:left w:w="0" w:type="dxa"/>
              <w:right w:w="0" w:type="dxa"/>
            </w:tcMar>
            <w:vAlign w:val="center"/>
          </w:tcPr>
          <w:p>
            <w:pPr>
              <w:pStyle w:val="TableContents"/>
              <w:bidi w:val="0"/>
              <w:spacing w:before="0" w:after="283"/>
              <w:jc w:val="right"/>
              <w:rPr>
                <w:b/>
                <w:sz w:val="14"/>
              </w:rPr>
            </w:pPr>
            <w:r>
              <w:rPr>
                <w:b/>
                <w:sz w:val="14"/>
              </w:rPr>
              <w:t>6.02%</w:t>
            </w:r>
          </w:p>
        </w:tc>
        <w:tc>
          <w:tcPr>
            <w:tcW w:w="419" w:type="dxa"/>
            <w:tcBorders>
              <w:left w:val="single" w:sz="8" w:space="0" w:color="000000"/>
            </w:tcBorders>
            <w:tcMar>
              <w:top w:w="0" w:type="dxa"/>
              <w:right w:w="0" w:type="dxa"/>
            </w:tcMar>
            <w:vAlign w:val="center"/>
          </w:tcPr>
          <w:p>
            <w:pPr>
              <w:pStyle w:val="TableContents"/>
              <w:bidi w:val="0"/>
              <w:spacing w:before="0" w:after="283"/>
              <w:jc w:val="center"/>
              <w:rPr>
                <w:b/>
                <w:sz w:val="14"/>
              </w:rPr>
            </w:pPr>
            <w:r>
              <w:rPr>
                <w:b/>
                <w:sz w:val="14"/>
              </w:rPr>
              <w:t>18pbs</w:t>
            </w:r>
          </w:p>
        </w:tc>
        <w:tc>
          <w:tcPr>
            <w:tcW w:w="455" w:type="dxa"/>
            <w:tcBorders>
              <w:right w:val="single" w:sz="8" w:space="0" w:color="000000"/>
            </w:tcBorders>
            <w:tcMar>
              <w:top w:w="0" w:type="dxa"/>
              <w:left w:w="0" w:type="dxa"/>
            </w:tcMar>
            <w:vAlign w:val="center"/>
          </w:tcPr>
          <w:p>
            <w:pPr>
              <w:pStyle w:val="TableContents"/>
              <w:bidi w:val="0"/>
              <w:spacing w:before="0" w:after="283"/>
              <w:jc w:val="center"/>
              <w:rPr>
                <w:b/>
                <w:sz w:val="14"/>
              </w:rPr>
            </w:pPr>
            <w:r>
              <w:rPr>
                <w:b/>
                <w:sz w:val="14"/>
              </w:rPr>
              <w:t>110pbs</w:t>
            </w:r>
          </w:p>
        </w:tc>
        <w:tc>
          <w:tcPr>
            <w:tcW w:w="1235" w:type="dxa"/>
            <w:tcBorders/>
            <w:tcMar>
              <w:top w:w="0" w:type="dxa"/>
              <w:left w:w="0" w:type="dxa"/>
              <w:right w:w="0" w:type="dxa"/>
            </w:tcMar>
            <w:vAlign w:val="center"/>
          </w:tcPr>
          <w:p>
            <w:pPr>
              <w:pStyle w:val="TableContents"/>
              <w:bidi w:val="0"/>
              <w:spacing w:before="0" w:after="283"/>
              <w:jc w:val="right"/>
              <w:rPr>
                <w:b/>
                <w:sz w:val="14"/>
              </w:rPr>
            </w:pPr>
            <w:r>
              <w:rPr>
                <w:b/>
                <w:sz w:val="14"/>
              </w:rPr>
              <w:t>4.66%</w:t>
            </w:r>
          </w:p>
        </w:tc>
        <w:tc>
          <w:tcPr>
            <w:tcW w:w="1235" w:type="dxa"/>
            <w:tcBorders>
              <w:right w:val="single" w:sz="8" w:space="0" w:color="000000"/>
            </w:tcBorders>
            <w:tcMar>
              <w:top w:w="0" w:type="dxa"/>
              <w:left w:w="0" w:type="dxa"/>
              <w:right w:w="28" w:type="dxa"/>
            </w:tcMar>
            <w:vAlign w:val="center"/>
          </w:tcPr>
          <w:p>
            <w:pPr>
              <w:pStyle w:val="TableContents"/>
              <w:bidi w:val="0"/>
              <w:spacing w:before="0" w:after="283"/>
              <w:jc w:val="right"/>
              <w:rPr>
                <w:b/>
                <w:sz w:val="14"/>
              </w:rPr>
            </w:pPr>
            <w:r>
              <w:rPr>
                <w:b/>
                <w:sz w:val="14"/>
              </w:rPr>
              <w:t>5.96%</w:t>
            </w:r>
          </w:p>
        </w:tc>
        <w:tc>
          <w:tcPr>
            <w:tcW w:w="789" w:type="dxa"/>
            <w:tcBorders>
              <w:right w:val="single" w:sz="8" w:space="0" w:color="000000"/>
            </w:tcBorders>
            <w:tcMar>
              <w:top w:w="0" w:type="dxa"/>
              <w:left w:w="0" w:type="dxa"/>
            </w:tcMar>
            <w:vAlign w:val="center"/>
          </w:tcPr>
          <w:p>
            <w:pPr>
              <w:pStyle w:val="TableContents"/>
              <w:bidi w:val="0"/>
              <w:spacing w:before="0" w:after="283"/>
              <w:jc w:val="center"/>
              <w:rPr>
                <w:b/>
                <w:sz w:val="14"/>
              </w:rPr>
            </w:pPr>
            <w:r>
              <w:rPr>
                <w:b/>
                <w:sz w:val="14"/>
              </w:rPr>
              <w:t>130pbs</w:t>
            </w:r>
          </w:p>
        </w:tc>
      </w:tr>
      <w:tr>
        <w:trPr/>
        <w:tc>
          <w:tcPr>
            <w:tcW w:w="2352" w:type="dxa"/>
            <w:tcBorders>
              <w:left w:val="single" w:sz="8" w:space="0" w:color="000000"/>
              <w:right w:val="single" w:sz="8" w:space="0" w:color="000000"/>
            </w:tcBorders>
            <w:tcMar>
              <w:top w:w="0" w:type="dxa"/>
            </w:tcMar>
            <w:vAlign w:val="center"/>
          </w:tcPr>
          <w:p>
            <w:pPr>
              <w:pStyle w:val="TableContents"/>
              <w:bidi w:val="0"/>
              <w:spacing w:lineRule="auto" w:line="240" w:before="0" w:after="283"/>
              <w:jc w:val="left"/>
              <w:rPr>
                <w:b/>
                <w:sz w:val="14"/>
              </w:rPr>
            </w:pPr>
            <w:r>
              <w:rPr>
                <w:b/>
                <w:sz w:val="14"/>
              </w:rPr>
              <w:t xml:space="preserve">Risk-adjusted Net interest margin </w:t>
            </w:r>
            <w:r>
              <w:rPr>
                <w:rFonts w:ascii="Arial;Helvetica;Sans-Serif" w:hAnsi="Arial;Helvetica;Sans-Serif"/>
                <w:b w:val="false"/>
                <w:i w:val="false"/>
                <w:caps w:val="false"/>
                <w:smallCaps w:val="false"/>
                <w:sz w:val="14"/>
              </w:rPr>
              <w:t>(1)</w:t>
            </w:r>
          </w:p>
        </w:tc>
        <w:tc>
          <w:tcPr>
            <w:tcW w:w="1235" w:type="dxa"/>
            <w:tcBorders/>
            <w:shd w:fill="FFFFFF" w:val="clear"/>
            <w:tcMar>
              <w:top w:w="0" w:type="dxa"/>
              <w:left w:w="0" w:type="dxa"/>
              <w:right w:w="0" w:type="dxa"/>
            </w:tcMar>
            <w:vAlign w:val="center"/>
          </w:tcPr>
          <w:p>
            <w:pPr>
              <w:pStyle w:val="TableContents"/>
              <w:bidi w:val="0"/>
              <w:spacing w:before="0" w:after="283"/>
              <w:jc w:val="right"/>
              <w:rPr>
                <w:b/>
                <w:sz w:val="14"/>
              </w:rPr>
            </w:pPr>
            <w:r>
              <w:rPr>
                <w:b/>
                <w:sz w:val="14"/>
              </w:rPr>
              <w:t>4.27%</w:t>
            </w:r>
          </w:p>
        </w:tc>
        <w:tc>
          <w:tcPr>
            <w:tcW w:w="1250" w:type="dxa"/>
            <w:tcBorders/>
            <w:tcMar>
              <w:top w:w="0" w:type="dxa"/>
              <w:left w:w="0" w:type="dxa"/>
              <w:right w:w="0" w:type="dxa"/>
            </w:tcMar>
            <w:vAlign w:val="center"/>
          </w:tcPr>
          <w:p>
            <w:pPr>
              <w:pStyle w:val="TableContents"/>
              <w:bidi w:val="0"/>
              <w:spacing w:before="0" w:after="283"/>
              <w:jc w:val="right"/>
              <w:rPr>
                <w:b/>
                <w:sz w:val="14"/>
              </w:rPr>
            </w:pPr>
            <w:r>
              <w:rPr>
                <w:b/>
                <w:sz w:val="14"/>
              </w:rPr>
              <w:t>4.54%</w:t>
            </w:r>
          </w:p>
        </w:tc>
        <w:tc>
          <w:tcPr>
            <w:tcW w:w="1235" w:type="dxa"/>
            <w:tcBorders/>
            <w:tcMar>
              <w:top w:w="0" w:type="dxa"/>
              <w:left w:w="0" w:type="dxa"/>
              <w:right w:w="0" w:type="dxa"/>
            </w:tcMar>
            <w:vAlign w:val="center"/>
          </w:tcPr>
          <w:p>
            <w:pPr>
              <w:pStyle w:val="TableContents"/>
              <w:bidi w:val="0"/>
              <w:spacing w:before="0" w:after="283"/>
              <w:jc w:val="right"/>
              <w:rPr>
                <w:b/>
                <w:sz w:val="14"/>
              </w:rPr>
            </w:pPr>
            <w:r>
              <w:rPr>
                <w:b/>
                <w:sz w:val="14"/>
              </w:rPr>
              <w:t>4.56%</w:t>
            </w:r>
          </w:p>
        </w:tc>
        <w:tc>
          <w:tcPr>
            <w:tcW w:w="419" w:type="dxa"/>
            <w:tcBorders>
              <w:left w:val="single" w:sz="8" w:space="0" w:color="000000"/>
            </w:tcBorders>
            <w:tcMar>
              <w:top w:w="0" w:type="dxa"/>
              <w:right w:w="0" w:type="dxa"/>
            </w:tcMar>
            <w:vAlign w:val="center"/>
          </w:tcPr>
          <w:p>
            <w:pPr>
              <w:pStyle w:val="TableContents"/>
              <w:bidi w:val="0"/>
              <w:spacing w:before="0" w:after="283"/>
              <w:jc w:val="center"/>
              <w:rPr>
                <w:b/>
                <w:sz w:val="14"/>
              </w:rPr>
            </w:pPr>
            <w:r>
              <w:rPr>
                <w:b/>
                <w:sz w:val="14"/>
              </w:rPr>
              <w:t>2pbs</w:t>
            </w:r>
          </w:p>
        </w:tc>
        <w:tc>
          <w:tcPr>
            <w:tcW w:w="455" w:type="dxa"/>
            <w:tcBorders>
              <w:right w:val="single" w:sz="8" w:space="0" w:color="000000"/>
            </w:tcBorders>
            <w:tcMar>
              <w:top w:w="0" w:type="dxa"/>
              <w:left w:w="0" w:type="dxa"/>
            </w:tcMar>
            <w:vAlign w:val="center"/>
          </w:tcPr>
          <w:p>
            <w:pPr>
              <w:pStyle w:val="TableContents"/>
              <w:bidi w:val="0"/>
              <w:spacing w:before="0" w:after="283"/>
              <w:jc w:val="center"/>
              <w:rPr>
                <w:b/>
                <w:sz w:val="14"/>
              </w:rPr>
            </w:pPr>
            <w:r>
              <w:rPr>
                <w:b/>
                <w:sz w:val="14"/>
              </w:rPr>
              <w:t>29pbs</w:t>
            </w:r>
          </w:p>
        </w:tc>
        <w:tc>
          <w:tcPr>
            <w:tcW w:w="1235" w:type="dxa"/>
            <w:tcBorders/>
            <w:tcMar>
              <w:top w:w="0" w:type="dxa"/>
              <w:left w:w="0" w:type="dxa"/>
              <w:right w:w="0" w:type="dxa"/>
            </w:tcMar>
            <w:vAlign w:val="center"/>
          </w:tcPr>
          <w:p>
            <w:pPr>
              <w:pStyle w:val="TableContents"/>
              <w:bidi w:val="0"/>
              <w:spacing w:before="0" w:after="283"/>
              <w:jc w:val="right"/>
              <w:rPr>
                <w:b/>
                <w:sz w:val="14"/>
              </w:rPr>
            </w:pPr>
            <w:r>
              <w:rPr>
                <w:b/>
                <w:sz w:val="14"/>
              </w:rPr>
              <w:t>4.12%</w:t>
            </w:r>
          </w:p>
        </w:tc>
        <w:tc>
          <w:tcPr>
            <w:tcW w:w="1235" w:type="dxa"/>
            <w:tcBorders>
              <w:right w:val="single" w:sz="8" w:space="0" w:color="000000"/>
            </w:tcBorders>
            <w:tcMar>
              <w:top w:w="0" w:type="dxa"/>
              <w:left w:w="0" w:type="dxa"/>
              <w:right w:w="28" w:type="dxa"/>
            </w:tcMar>
            <w:vAlign w:val="center"/>
          </w:tcPr>
          <w:p>
            <w:pPr>
              <w:pStyle w:val="TableContents"/>
              <w:bidi w:val="0"/>
              <w:spacing w:before="0" w:after="283"/>
              <w:jc w:val="right"/>
              <w:rPr>
                <w:b/>
                <w:sz w:val="14"/>
              </w:rPr>
            </w:pPr>
            <w:r>
              <w:rPr>
                <w:b/>
                <w:sz w:val="14"/>
              </w:rPr>
              <w:t>4.57%</w:t>
            </w:r>
          </w:p>
        </w:tc>
        <w:tc>
          <w:tcPr>
            <w:tcW w:w="789" w:type="dxa"/>
            <w:tcBorders>
              <w:right w:val="single" w:sz="8" w:space="0" w:color="000000"/>
            </w:tcBorders>
            <w:tcMar>
              <w:top w:w="0" w:type="dxa"/>
              <w:left w:w="0" w:type="dxa"/>
            </w:tcMar>
            <w:vAlign w:val="center"/>
          </w:tcPr>
          <w:p>
            <w:pPr>
              <w:pStyle w:val="TableContents"/>
              <w:bidi w:val="0"/>
              <w:spacing w:before="0" w:after="283"/>
              <w:jc w:val="center"/>
              <w:rPr>
                <w:b/>
                <w:sz w:val="14"/>
              </w:rPr>
            </w:pPr>
            <w:r>
              <w:rPr>
                <w:b/>
                <w:sz w:val="14"/>
              </w:rPr>
              <w:t>45pbs</w:t>
            </w:r>
          </w:p>
        </w:tc>
      </w:tr>
      <w:tr>
        <w:trPr/>
        <w:tc>
          <w:tcPr>
            <w:tcW w:w="2352"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b/>
                <w:sz w:val="14"/>
              </w:rPr>
            </w:pPr>
            <w:r>
              <w:rPr>
                <w:b/>
                <w:sz w:val="14"/>
              </w:rPr>
              <w:t>Net provisions for loan losses / Net interest income</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4"/>
              </w:rPr>
            </w:pPr>
            <w:r>
              <w:rPr>
                <w:b/>
                <w:sz w:val="14"/>
              </w:rPr>
              <w:t>13.78%</w:t>
            </w:r>
          </w:p>
        </w:tc>
        <w:tc>
          <w:tcPr>
            <w:tcW w:w="125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4"/>
              </w:rPr>
            </w:pPr>
            <w:r>
              <w:rPr>
                <w:b/>
                <w:sz w:val="14"/>
              </w:rPr>
              <w:t>23.21%</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4"/>
              </w:rPr>
            </w:pPr>
            <w:r>
              <w:rPr>
                <w:b/>
                <w:sz w:val="14"/>
              </w:rPr>
              <w:t>25.10%</w:t>
            </w:r>
          </w:p>
        </w:tc>
        <w:tc>
          <w:tcPr>
            <w:tcW w:w="419"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center"/>
              <w:rPr>
                <w:b/>
                <w:sz w:val="14"/>
              </w:rPr>
            </w:pPr>
            <w:r>
              <w:rPr>
                <w:b/>
                <w:sz w:val="14"/>
              </w:rPr>
              <w:t>1.9%</w:t>
            </w:r>
          </w:p>
        </w:tc>
        <w:tc>
          <w:tcPr>
            <w:tcW w:w="45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4"/>
              </w:rPr>
            </w:pPr>
            <w:r>
              <w:rPr>
                <w:b/>
                <w:sz w:val="14"/>
              </w:rPr>
              <w:t>11.3%</w:t>
            </w:r>
          </w:p>
        </w:tc>
        <w:tc>
          <w:tcPr>
            <w:tcW w:w="123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4"/>
              </w:rPr>
            </w:pPr>
            <w:r>
              <w:rPr>
                <w:b/>
                <w:sz w:val="14"/>
              </w:rPr>
              <w:t>12.25%</w:t>
            </w:r>
          </w:p>
        </w:tc>
        <w:tc>
          <w:tcPr>
            <w:tcW w:w="1235"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right"/>
              <w:rPr>
                <w:b/>
                <w:sz w:val="14"/>
              </w:rPr>
            </w:pPr>
            <w:r>
              <w:rPr>
                <w:b/>
                <w:sz w:val="14"/>
              </w:rPr>
              <w:t>24.17%</w:t>
            </w:r>
          </w:p>
        </w:tc>
        <w:tc>
          <w:tcPr>
            <w:tcW w:w="78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b/>
                <w:sz w:val="14"/>
              </w:rPr>
            </w:pPr>
            <w:r>
              <w:rPr>
                <w:b/>
                <w:sz w:val="14"/>
              </w:rPr>
              <w:t>1192pbs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Annualized. For further detail on the new NIM calculation due to IFRS17, please refer to Annex 12.1.8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Net Interest Margin (NIM) and Risk Adjusted NIM by subsidiary</w:t>
      </w:r>
    </w:p>
    <w:p>
      <w:pPr>
        <w:pStyle w:val="TextBody"/>
        <w:bidi w:val="0"/>
        <w:spacing w:before="0" w:after="0"/>
        <w:ind w:left="0" w:right="0" w:hanging="0"/>
        <w:jc w:val="center"/>
        <w:rPr>
          <w:caps w:val="false"/>
          <w:smallCaps w:val="false"/>
        </w:rPr>
      </w:pPr>
      <w:r>
        <w:rPr>
          <w:caps w:val="false"/>
          <w:smallCaps w:val="false"/>
        </w:rPr>
        <w:t> </w:t>
      </w:r>
    </w:p>
    <w:tbl>
      <w:tblPr>
        <w:tblW w:w="6865" w:type="dxa"/>
        <w:jc w:val="center"/>
        <w:tblInd w:w="0" w:type="dxa"/>
        <w:tblLayout w:type="fixed"/>
        <w:tblCellMar>
          <w:top w:w="100" w:type="dxa"/>
          <w:left w:w="28" w:type="dxa"/>
          <w:bottom w:w="100" w:type="dxa"/>
          <w:right w:w="28" w:type="dxa"/>
        </w:tblCellMar>
      </w:tblPr>
      <w:tblGrid>
        <w:gridCol w:w="1790"/>
        <w:gridCol w:w="1790"/>
        <w:gridCol w:w="920"/>
        <w:gridCol w:w="1280"/>
        <w:gridCol w:w="1085"/>
      </w:tblGrid>
      <w:tr>
        <w:trPr/>
        <w:tc>
          <w:tcPr>
            <w:tcW w:w="1790" w:type="dxa"/>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center"/>
              <w:rPr>
                <w:b/>
                <w:color w:val="FFFFFF"/>
              </w:rPr>
            </w:pPr>
            <w:r>
              <w:rPr>
                <w:b/>
                <w:color w:val="FFFFFF"/>
              </w:rPr>
              <w:t>NIM Breakdown</w:t>
            </w:r>
          </w:p>
        </w:tc>
        <w:tc>
          <w:tcPr>
            <w:tcW w:w="1790"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rPr>
            </w:pPr>
            <w:r>
              <w:rPr>
                <w:b/>
                <w:color w:val="FFFFFF"/>
              </w:rPr>
              <w:t>BCP Stand-alone</w:t>
            </w:r>
          </w:p>
        </w:tc>
        <w:tc>
          <w:tcPr>
            <w:tcW w:w="920"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rPr>
            </w:pPr>
            <w:r>
              <w:rPr>
                <w:b/>
                <w:color w:val="FFFFFF"/>
              </w:rPr>
              <w:t>Mibanco</w:t>
            </w:r>
          </w:p>
        </w:tc>
        <w:tc>
          <w:tcPr>
            <w:tcW w:w="1280"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rPr>
            </w:pPr>
            <w:r>
              <w:rPr>
                <w:b/>
                <w:color w:val="FFFFFF"/>
              </w:rPr>
              <w:t>BCP Bolivia</w:t>
            </w:r>
          </w:p>
        </w:tc>
        <w:tc>
          <w:tcPr>
            <w:tcW w:w="1085" w:type="dxa"/>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center"/>
              <w:rPr>
                <w:b/>
                <w:color w:val="FFFFFF"/>
              </w:rPr>
            </w:pPr>
            <w:r>
              <w:rPr>
                <w:b/>
                <w:color w:val="FFFFFF"/>
              </w:rPr>
              <w:t>Credicorp</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rPr>
            </w:pPr>
            <w:r>
              <w:rPr>
                <w:b/>
              </w:rPr>
              <w:t>2Q22</w:t>
            </w:r>
          </w:p>
        </w:tc>
        <w:tc>
          <w:tcPr>
            <w:tcW w:w="1790" w:type="dxa"/>
            <w:tcBorders/>
            <w:tcMar>
              <w:top w:w="0" w:type="dxa"/>
              <w:left w:w="0" w:type="dxa"/>
              <w:bottom w:w="0" w:type="dxa"/>
              <w:right w:w="0" w:type="dxa"/>
            </w:tcMar>
            <w:vAlign w:val="center"/>
          </w:tcPr>
          <w:p>
            <w:pPr>
              <w:pStyle w:val="TableContents"/>
              <w:bidi w:val="0"/>
              <w:spacing w:before="0" w:after="283"/>
              <w:jc w:val="center"/>
              <w:rPr/>
            </w:pPr>
            <w:r>
              <w:rPr/>
              <w:t>4.29%</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12.95%</w:t>
            </w:r>
          </w:p>
        </w:tc>
        <w:tc>
          <w:tcPr>
            <w:tcW w:w="1280" w:type="dxa"/>
            <w:tcBorders/>
            <w:tcMar>
              <w:top w:w="0" w:type="dxa"/>
              <w:left w:w="0" w:type="dxa"/>
              <w:bottom w:w="0" w:type="dxa"/>
              <w:right w:w="0" w:type="dxa"/>
            </w:tcMar>
            <w:vAlign w:val="center"/>
          </w:tcPr>
          <w:p>
            <w:pPr>
              <w:pStyle w:val="TableContents"/>
              <w:bidi w:val="0"/>
              <w:spacing w:before="0" w:after="283"/>
              <w:jc w:val="center"/>
              <w:rPr/>
            </w:pPr>
            <w:r>
              <w:rPr/>
              <w:t>2.88%</w:t>
            </w:r>
          </w:p>
        </w:tc>
        <w:tc>
          <w:tcPr>
            <w:tcW w:w="10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rPr>
            </w:pPr>
            <w:r>
              <w:rPr>
                <w:b/>
              </w:rPr>
              <w:t>4.91%</w:t>
            </w:r>
          </w:p>
        </w:tc>
      </w:tr>
      <w:tr>
        <w:trPr/>
        <w:tc>
          <w:tcPr>
            <w:tcW w:w="179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rPr>
            </w:pPr>
            <w:r>
              <w:rPr>
                <w:b/>
              </w:rPr>
              <w:t>1Q23</w:t>
            </w:r>
          </w:p>
        </w:tc>
        <w:tc>
          <w:tcPr>
            <w:tcW w:w="1790" w:type="dxa"/>
            <w:tcBorders/>
            <w:tcMar>
              <w:top w:w="0" w:type="dxa"/>
              <w:left w:w="0" w:type="dxa"/>
              <w:bottom w:w="0" w:type="dxa"/>
              <w:right w:w="0" w:type="dxa"/>
            </w:tcMar>
            <w:vAlign w:val="center"/>
          </w:tcPr>
          <w:p>
            <w:pPr>
              <w:pStyle w:val="TableContents"/>
              <w:bidi w:val="0"/>
              <w:spacing w:before="0" w:after="283"/>
              <w:jc w:val="center"/>
              <w:rPr/>
            </w:pPr>
            <w:r>
              <w:rPr/>
              <w:t>5.55%</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12.52%</w:t>
            </w:r>
          </w:p>
        </w:tc>
        <w:tc>
          <w:tcPr>
            <w:tcW w:w="1280" w:type="dxa"/>
            <w:tcBorders/>
            <w:tcMar>
              <w:top w:w="0" w:type="dxa"/>
              <w:left w:w="0" w:type="dxa"/>
              <w:bottom w:w="0" w:type="dxa"/>
              <w:right w:w="0" w:type="dxa"/>
            </w:tcMar>
            <w:vAlign w:val="center"/>
          </w:tcPr>
          <w:p>
            <w:pPr>
              <w:pStyle w:val="TableContents"/>
              <w:bidi w:val="0"/>
              <w:spacing w:before="0" w:after="283"/>
              <w:jc w:val="center"/>
              <w:rPr/>
            </w:pPr>
            <w:r>
              <w:rPr/>
              <w:t>2.86%</w:t>
            </w:r>
          </w:p>
        </w:tc>
        <w:tc>
          <w:tcPr>
            <w:tcW w:w="10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rPr>
            </w:pPr>
            <w:r>
              <w:rPr>
                <w:b/>
              </w:rPr>
              <w:t>5.84%</w:t>
            </w:r>
          </w:p>
        </w:tc>
      </w:tr>
      <w:tr>
        <w:trPr/>
        <w:tc>
          <w:tcPr>
            <w:tcW w:w="179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b/>
              </w:rPr>
            </w:pPr>
            <w:r>
              <w:rPr>
                <w:b/>
              </w:rPr>
              <w:t>2Q23</w:t>
            </w:r>
          </w:p>
        </w:tc>
        <w:tc>
          <w:tcPr>
            <w:tcW w:w="1790" w:type="dxa"/>
            <w:tcBorders>
              <w:bottom w:val="single" w:sz="8" w:space="0" w:color="000000"/>
            </w:tcBorders>
            <w:tcMar>
              <w:top w:w="0" w:type="dxa"/>
              <w:left w:w="0" w:type="dxa"/>
              <w:bottom w:w="40" w:type="dxa"/>
              <w:right w:w="0" w:type="dxa"/>
            </w:tcMar>
            <w:vAlign w:val="center"/>
          </w:tcPr>
          <w:p>
            <w:pPr>
              <w:pStyle w:val="TableContents"/>
              <w:bidi w:val="0"/>
              <w:spacing w:before="0" w:after="283"/>
              <w:jc w:val="center"/>
              <w:rPr/>
            </w:pPr>
            <w:r>
              <w:rPr/>
              <w:t>5.67%</w:t>
            </w:r>
          </w:p>
        </w:tc>
        <w:tc>
          <w:tcPr>
            <w:tcW w:w="920" w:type="dxa"/>
            <w:tcBorders>
              <w:bottom w:val="single" w:sz="8" w:space="0" w:color="000000"/>
            </w:tcBorders>
            <w:tcMar>
              <w:top w:w="0" w:type="dxa"/>
              <w:left w:w="0" w:type="dxa"/>
              <w:bottom w:w="40" w:type="dxa"/>
              <w:right w:w="0" w:type="dxa"/>
            </w:tcMar>
            <w:vAlign w:val="center"/>
          </w:tcPr>
          <w:p>
            <w:pPr>
              <w:pStyle w:val="TableContents"/>
              <w:bidi w:val="0"/>
              <w:spacing w:before="0" w:after="283"/>
              <w:jc w:val="center"/>
              <w:rPr/>
            </w:pPr>
            <w:r>
              <w:rPr/>
              <w:t>13.09%</w:t>
            </w:r>
          </w:p>
        </w:tc>
        <w:tc>
          <w:tcPr>
            <w:tcW w:w="1280" w:type="dxa"/>
            <w:tcBorders>
              <w:bottom w:val="single" w:sz="8" w:space="0" w:color="000000"/>
            </w:tcBorders>
            <w:tcMar>
              <w:top w:w="0" w:type="dxa"/>
              <w:left w:w="0" w:type="dxa"/>
              <w:bottom w:w="40" w:type="dxa"/>
              <w:right w:w="0" w:type="dxa"/>
            </w:tcMar>
            <w:vAlign w:val="center"/>
          </w:tcPr>
          <w:p>
            <w:pPr>
              <w:pStyle w:val="TableContents"/>
              <w:bidi w:val="0"/>
              <w:spacing w:before="0" w:after="283"/>
              <w:jc w:val="center"/>
              <w:rPr/>
            </w:pPr>
            <w:r>
              <w:rPr/>
              <w:t>2.85%</w:t>
            </w:r>
          </w:p>
        </w:tc>
        <w:tc>
          <w:tcPr>
            <w:tcW w:w="1085"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b/>
              </w:rPr>
            </w:pPr>
            <w:r>
              <w:rPr>
                <w:b/>
              </w:rPr>
              <w:t>6.02%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NIM: Annualized Net interest income (excluding Net Insurance Financial Expenses) / Average period end and period beginning interest earning assets.</w:t>
      </w:r>
    </w:p>
    <w:p>
      <w:pPr>
        <w:pStyle w:val="TextBody"/>
        <w:bidi w:val="0"/>
        <w:spacing w:before="0" w:after="0"/>
        <w:ind w:left="0" w:right="0" w:firstLine="2880"/>
        <w:jc w:val="left"/>
        <w:rPr>
          <w:caps w:val="false"/>
          <w:smallCaps w:val="false"/>
        </w:rPr>
      </w:pPr>
      <w:r>
        <w:rPr>
          <w:caps w:val="false"/>
          <w:smallCaps w:val="false"/>
        </w:rPr>
        <w:t> </w:t>
      </w:r>
    </w:p>
    <w:tbl>
      <w:tblPr>
        <w:tblW w:w="8380" w:type="dxa"/>
        <w:jc w:val="center"/>
        <w:tblInd w:w="0" w:type="dxa"/>
        <w:tblLayout w:type="fixed"/>
        <w:tblCellMar>
          <w:top w:w="100" w:type="dxa"/>
          <w:left w:w="28" w:type="dxa"/>
          <w:bottom w:w="100" w:type="dxa"/>
          <w:right w:w="28" w:type="dxa"/>
        </w:tblCellMar>
      </w:tblPr>
      <w:tblGrid>
        <w:gridCol w:w="3305"/>
        <w:gridCol w:w="1790"/>
        <w:gridCol w:w="920"/>
        <w:gridCol w:w="1280"/>
        <w:gridCol w:w="1085"/>
      </w:tblGrid>
      <w:tr>
        <w:trPr/>
        <w:tc>
          <w:tcPr>
            <w:tcW w:w="3305" w:type="dxa"/>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center"/>
              <w:rPr>
                <w:b/>
                <w:color w:val="FFFFFF"/>
              </w:rPr>
            </w:pPr>
            <w:r>
              <w:rPr>
                <w:b/>
                <w:color w:val="FFFFFF"/>
              </w:rPr>
              <w:t>Risk Adjusted NIM Breakdown</w:t>
            </w:r>
          </w:p>
        </w:tc>
        <w:tc>
          <w:tcPr>
            <w:tcW w:w="1790"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rPr>
            </w:pPr>
            <w:r>
              <w:rPr>
                <w:b/>
                <w:color w:val="FFFFFF"/>
              </w:rPr>
              <w:t>BCP Stand-alone</w:t>
            </w:r>
          </w:p>
        </w:tc>
        <w:tc>
          <w:tcPr>
            <w:tcW w:w="920"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rPr>
            </w:pPr>
            <w:r>
              <w:rPr>
                <w:b/>
                <w:color w:val="FFFFFF"/>
              </w:rPr>
              <w:t>Mibanco</w:t>
            </w:r>
          </w:p>
        </w:tc>
        <w:tc>
          <w:tcPr>
            <w:tcW w:w="1280"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rPr>
            </w:pPr>
            <w:r>
              <w:rPr>
                <w:b/>
                <w:color w:val="FFFFFF"/>
              </w:rPr>
              <w:t>BCP Bolivia</w:t>
            </w:r>
          </w:p>
        </w:tc>
        <w:tc>
          <w:tcPr>
            <w:tcW w:w="1085" w:type="dxa"/>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center"/>
              <w:rPr>
                <w:b/>
                <w:color w:val="FFFFFF"/>
              </w:rPr>
            </w:pPr>
            <w:r>
              <w:rPr>
                <w:b/>
                <w:color w:val="FFFFFF"/>
              </w:rPr>
              <w:t>Credicorp</w:t>
            </w:r>
          </w:p>
        </w:tc>
      </w:tr>
      <w:tr>
        <w:trPr/>
        <w:tc>
          <w:tcPr>
            <w:tcW w:w="330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rPr>
            </w:pPr>
            <w:r>
              <w:rPr>
                <w:b/>
              </w:rPr>
              <w:t>2Q22</w:t>
            </w:r>
          </w:p>
        </w:tc>
        <w:tc>
          <w:tcPr>
            <w:tcW w:w="1790" w:type="dxa"/>
            <w:tcBorders/>
            <w:tcMar>
              <w:top w:w="0" w:type="dxa"/>
              <w:left w:w="0" w:type="dxa"/>
              <w:bottom w:w="0" w:type="dxa"/>
              <w:right w:w="0" w:type="dxa"/>
            </w:tcMar>
            <w:vAlign w:val="center"/>
          </w:tcPr>
          <w:p>
            <w:pPr>
              <w:pStyle w:val="TableContents"/>
              <w:bidi w:val="0"/>
              <w:spacing w:before="0" w:after="283"/>
              <w:jc w:val="center"/>
              <w:rPr/>
            </w:pPr>
            <w:r>
              <w:rPr/>
              <w:t>3.79%</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10.41%</w:t>
            </w:r>
          </w:p>
        </w:tc>
        <w:tc>
          <w:tcPr>
            <w:tcW w:w="1280" w:type="dxa"/>
            <w:tcBorders/>
            <w:tcMar>
              <w:top w:w="0" w:type="dxa"/>
              <w:left w:w="0" w:type="dxa"/>
              <w:bottom w:w="0" w:type="dxa"/>
              <w:right w:w="0" w:type="dxa"/>
            </w:tcMar>
            <w:vAlign w:val="center"/>
          </w:tcPr>
          <w:p>
            <w:pPr>
              <w:pStyle w:val="TableContents"/>
              <w:bidi w:val="0"/>
              <w:spacing w:before="0" w:after="283"/>
              <w:jc w:val="center"/>
              <w:rPr/>
            </w:pPr>
            <w:r>
              <w:rPr/>
              <w:t>1.77%</w:t>
            </w:r>
          </w:p>
        </w:tc>
        <w:tc>
          <w:tcPr>
            <w:tcW w:w="10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rPr>
            </w:pPr>
            <w:r>
              <w:rPr>
                <w:b/>
              </w:rPr>
              <w:t>4.26%</w:t>
            </w:r>
          </w:p>
        </w:tc>
      </w:tr>
      <w:tr>
        <w:trPr/>
        <w:tc>
          <w:tcPr>
            <w:tcW w:w="330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rPr>
            </w:pPr>
            <w:r>
              <w:rPr>
                <w:b/>
              </w:rPr>
              <w:t>1Q23</w:t>
            </w:r>
          </w:p>
        </w:tc>
        <w:tc>
          <w:tcPr>
            <w:tcW w:w="1790" w:type="dxa"/>
            <w:tcBorders/>
            <w:tcMar>
              <w:top w:w="0" w:type="dxa"/>
              <w:left w:w="0" w:type="dxa"/>
              <w:bottom w:w="0" w:type="dxa"/>
              <w:right w:w="0" w:type="dxa"/>
            </w:tcMar>
            <w:vAlign w:val="center"/>
          </w:tcPr>
          <w:p>
            <w:pPr>
              <w:pStyle w:val="TableContents"/>
              <w:bidi w:val="0"/>
              <w:spacing w:before="0" w:after="283"/>
              <w:jc w:val="center"/>
              <w:rPr/>
            </w:pPr>
            <w:r>
              <w:rPr/>
              <w:t>4.42%</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7.03%</w:t>
            </w:r>
          </w:p>
        </w:tc>
        <w:tc>
          <w:tcPr>
            <w:tcW w:w="1280" w:type="dxa"/>
            <w:tcBorders/>
            <w:tcMar>
              <w:top w:w="0" w:type="dxa"/>
              <w:left w:w="0" w:type="dxa"/>
              <w:bottom w:w="0" w:type="dxa"/>
              <w:right w:w="0" w:type="dxa"/>
            </w:tcMar>
            <w:vAlign w:val="center"/>
          </w:tcPr>
          <w:p>
            <w:pPr>
              <w:pStyle w:val="TableContents"/>
              <w:bidi w:val="0"/>
              <w:spacing w:before="0" w:after="283"/>
              <w:jc w:val="center"/>
              <w:rPr/>
            </w:pPr>
            <w:r>
              <w:rPr/>
              <w:t>2.74%</w:t>
            </w:r>
          </w:p>
        </w:tc>
        <w:tc>
          <w:tcPr>
            <w:tcW w:w="10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b/>
              </w:rPr>
            </w:pPr>
            <w:r>
              <w:rPr>
                <w:b/>
              </w:rPr>
              <w:t>4.54%</w:t>
            </w:r>
          </w:p>
        </w:tc>
      </w:tr>
      <w:tr>
        <w:trPr/>
        <w:tc>
          <w:tcPr>
            <w:tcW w:w="3305"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b/>
              </w:rPr>
            </w:pPr>
            <w:r>
              <w:rPr>
                <w:b/>
              </w:rPr>
              <w:t>2Q23</w:t>
            </w:r>
          </w:p>
        </w:tc>
        <w:tc>
          <w:tcPr>
            <w:tcW w:w="1790" w:type="dxa"/>
            <w:tcBorders>
              <w:bottom w:val="single" w:sz="8" w:space="0" w:color="000000"/>
            </w:tcBorders>
            <w:tcMar>
              <w:top w:w="0" w:type="dxa"/>
              <w:left w:w="0" w:type="dxa"/>
              <w:bottom w:w="40" w:type="dxa"/>
              <w:right w:w="0" w:type="dxa"/>
            </w:tcMar>
            <w:vAlign w:val="center"/>
          </w:tcPr>
          <w:p>
            <w:pPr>
              <w:pStyle w:val="TableContents"/>
              <w:bidi w:val="0"/>
              <w:spacing w:before="0" w:after="283"/>
              <w:jc w:val="center"/>
              <w:rPr/>
            </w:pPr>
            <w:r>
              <w:rPr/>
              <w:t>4.25%</w:t>
            </w:r>
          </w:p>
        </w:tc>
        <w:tc>
          <w:tcPr>
            <w:tcW w:w="920" w:type="dxa"/>
            <w:tcBorders>
              <w:bottom w:val="single" w:sz="8" w:space="0" w:color="000000"/>
            </w:tcBorders>
            <w:tcMar>
              <w:top w:w="0" w:type="dxa"/>
              <w:left w:w="0" w:type="dxa"/>
              <w:bottom w:w="40" w:type="dxa"/>
              <w:right w:w="0" w:type="dxa"/>
            </w:tcMar>
            <w:vAlign w:val="center"/>
          </w:tcPr>
          <w:p>
            <w:pPr>
              <w:pStyle w:val="TableContents"/>
              <w:bidi w:val="0"/>
              <w:spacing w:before="0" w:after="283"/>
              <w:jc w:val="center"/>
              <w:rPr/>
            </w:pPr>
            <w:r>
              <w:rPr/>
              <w:t>8.64%</w:t>
            </w:r>
          </w:p>
        </w:tc>
        <w:tc>
          <w:tcPr>
            <w:tcW w:w="1280" w:type="dxa"/>
            <w:tcBorders>
              <w:bottom w:val="single" w:sz="8" w:space="0" w:color="000000"/>
            </w:tcBorders>
            <w:tcMar>
              <w:top w:w="0" w:type="dxa"/>
              <w:left w:w="0" w:type="dxa"/>
              <w:bottom w:w="40" w:type="dxa"/>
              <w:right w:w="0" w:type="dxa"/>
            </w:tcMar>
            <w:vAlign w:val="center"/>
          </w:tcPr>
          <w:p>
            <w:pPr>
              <w:pStyle w:val="TableContents"/>
              <w:bidi w:val="0"/>
              <w:spacing w:before="0" w:after="283"/>
              <w:jc w:val="center"/>
              <w:rPr/>
            </w:pPr>
            <w:r>
              <w:rPr/>
              <w:t>3.00%</w:t>
            </w:r>
          </w:p>
        </w:tc>
        <w:tc>
          <w:tcPr>
            <w:tcW w:w="1085"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b/>
              </w:rPr>
            </w:pPr>
            <w:r>
              <w:rPr>
                <w:b/>
              </w:rPr>
              <w:t>4.56%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Risk-Adjusted NIM: (Annualized Net interest income (excluding Net Insurance Financial Expenses) - annualized provisions) / Average period end and period beginning interest earning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8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25" descr=""/>
                          <pic:cNvPicPr>
                            <a:picLocks noChangeAspect="1" noChangeArrowheads="1"/>
                          </pic:cNvPicPr>
                        </pic:nvPicPr>
                        <pic:blipFill>
                          <a:blip r:embed="rId144"/>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12.5. Regulatory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Regulatory Capital and Capital Adequacy Ratios</w:t>
      </w:r>
      <w:r>
        <w:rPr>
          <w:rFonts w:ascii="Arial;Helvetica;Sans-Serif" w:hAnsi="Arial;Helvetica;Sans-Serif"/>
          <w:b w:val="false"/>
          <w:i w:val="false"/>
          <w:caps w:val="false"/>
          <w:smallCaps w:val="false"/>
          <w:sz w:val="22"/>
        </w:rPr>
        <w:t> </w:t>
      </w:r>
    </w:p>
    <w:p>
      <w:pPr>
        <w:pStyle w:val="TextBody"/>
        <w:bidi w:val="0"/>
        <w:spacing w:before="0" w:after="0"/>
        <w:ind w:left="0" w:right="0" w:hanging="0"/>
        <w:jc w:val="center"/>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 Thousands, IFRS)</w:t>
      </w:r>
    </w:p>
    <w:p>
      <w:pPr>
        <w:pStyle w:val="TextBody"/>
        <w:bidi w:val="0"/>
        <w:ind w:left="0" w:right="0" w:hanging="0"/>
        <w:jc w:val="left"/>
        <w:rPr>
          <w:caps w:val="false"/>
          <w:smallCaps w:val="false"/>
        </w:rPr>
      </w:pPr>
      <w:r>
        <w:rPr>
          <w:caps w:val="false"/>
          <w:smallCaps w:val="false"/>
        </w:rPr>
        <w:t> </w:t>
      </w:r>
    </w:p>
    <w:tbl>
      <w:tblPr>
        <w:tblW w:w="9450" w:type="dxa"/>
        <w:jc w:val="left"/>
        <w:tblInd w:w="-10" w:type="dxa"/>
        <w:tblLayout w:type="fixed"/>
        <w:tblCellMar>
          <w:top w:w="28" w:type="dxa"/>
          <w:left w:w="28" w:type="dxa"/>
          <w:bottom w:w="0" w:type="dxa"/>
          <w:right w:w="0" w:type="dxa"/>
        </w:tblCellMar>
      </w:tblPr>
      <w:tblGrid>
        <w:gridCol w:w="5720"/>
        <w:gridCol w:w="890"/>
        <w:gridCol w:w="890"/>
        <w:gridCol w:w="890"/>
        <w:gridCol w:w="530"/>
        <w:gridCol w:w="530"/>
      </w:tblGrid>
      <w:tr>
        <w:trPr/>
        <w:tc>
          <w:tcPr>
            <w:tcW w:w="5720" w:type="dxa"/>
            <w:tcBorders>
              <w:top w:val="single" w:sz="8" w:space="0" w:color="000000"/>
              <w:left w:val="single" w:sz="8" w:space="0" w:color="000000"/>
            </w:tcBorders>
            <w:shd w:fill="2AD2C9" w:val="clear"/>
            <w:vAlign w:val="center"/>
          </w:tcPr>
          <w:p>
            <w:pPr>
              <w:pStyle w:val="TableContents"/>
              <w:bidi w:val="0"/>
              <w:spacing w:before="0" w:after="283"/>
              <w:jc w:val="left"/>
              <w:rPr>
                <w:rFonts w:ascii="Arial;Helvetica;Sans-Serif" w:hAnsi="Arial;Helvetica;Sans-Serif"/>
                <w:color w:val="FFFFFF"/>
                <w:sz w:val="16"/>
              </w:rPr>
            </w:pPr>
            <w:r>
              <w:rPr>
                <w:rFonts w:ascii="Arial;Helvetica;Sans-Serif" w:hAnsi="Arial;Helvetica;Sans-Serif"/>
                <w:color w:val="FFFFFF"/>
                <w:sz w:val="16"/>
              </w:rPr>
              <w:t>Capital Stock</w:t>
            </w:r>
          </w:p>
        </w:tc>
        <w:tc>
          <w:tcPr>
            <w:tcW w:w="890" w:type="dxa"/>
            <w:tcBorders>
              <w:top w:val="single" w:sz="8" w:space="0" w:color="000000"/>
              <w:left w:val="single" w:sz="8" w:space="0" w:color="000000"/>
            </w:tcBorders>
            <w:shd w:fill="2AD2C9" w:val="clear"/>
            <w:vAlign w:val="center"/>
          </w:tcPr>
          <w:p>
            <w:pPr>
              <w:pStyle w:val="TableContents"/>
              <w:bidi w:val="0"/>
              <w:spacing w:before="0" w:after="283"/>
              <w:jc w:val="center"/>
              <w:rPr>
                <w:color w:val="FFFFFF"/>
              </w:rPr>
            </w:pPr>
            <w:r>
              <w:rPr>
                <w:color w:val="FFFFFF"/>
              </w:rPr>
              <w:t> </w:t>
            </w:r>
          </w:p>
        </w:tc>
        <w:tc>
          <w:tcPr>
            <w:tcW w:w="890" w:type="dxa"/>
            <w:tcBorders>
              <w:top w:val="single" w:sz="8" w:space="0" w:color="000000"/>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of</w:t>
            </w:r>
          </w:p>
        </w:tc>
        <w:tc>
          <w:tcPr>
            <w:tcW w:w="890" w:type="dxa"/>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color w:val="FFFFFF"/>
              </w:rPr>
            </w:pPr>
            <w:r>
              <w:rPr>
                <w:color w:val="FFFFFF"/>
              </w:rPr>
              <w:t> </w:t>
            </w:r>
          </w:p>
        </w:tc>
        <w:tc>
          <w:tcPr>
            <w:tcW w:w="1060" w:type="dxa"/>
            <w:gridSpan w:val="2"/>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change </w:t>
            </w:r>
          </w:p>
        </w:tc>
      </w:tr>
      <w:tr>
        <w:trPr/>
        <w:tc>
          <w:tcPr>
            <w:tcW w:w="572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color w:val="FFFFFF"/>
                <w:sz w:val="16"/>
              </w:rPr>
            </w:pPr>
            <w:r>
              <w:rPr>
                <w:rFonts w:ascii="Arial;Helvetica;Sans-Serif" w:hAnsi="Arial;Helvetica;Sans-Serif"/>
                <w:color w:val="FFFFFF"/>
                <w:sz w:val="16"/>
              </w:rPr>
              <w:t>S/000</w:t>
            </w:r>
          </w:p>
        </w:tc>
        <w:tc>
          <w:tcPr>
            <w:tcW w:w="89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22</w:t>
            </w:r>
          </w:p>
        </w:tc>
        <w:tc>
          <w:tcPr>
            <w:tcW w:w="89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 23</w:t>
            </w:r>
          </w:p>
        </w:tc>
        <w:tc>
          <w:tcPr>
            <w:tcW w:w="890"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23</w:t>
            </w:r>
          </w:p>
        </w:tc>
        <w:tc>
          <w:tcPr>
            <w:tcW w:w="530"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QoQ</w:t>
            </w:r>
          </w:p>
        </w:tc>
        <w:tc>
          <w:tcPr>
            <w:tcW w:w="530"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YoY</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sz w:val="16"/>
              </w:rPr>
            </w:pPr>
            <w:r>
              <w:rPr>
                <w:sz w:val="16"/>
              </w:rPr>
              <w:t>Capital Stock</w:t>
            </w:r>
          </w:p>
        </w:tc>
        <w:tc>
          <w:tcPr>
            <w:tcW w:w="890" w:type="dxa"/>
            <w:tcBorders/>
            <w:tcMar>
              <w:top w:w="0" w:type="dxa"/>
              <w:left w:w="0" w:type="dxa"/>
            </w:tcMar>
            <w:vAlign w:val="center"/>
          </w:tcPr>
          <w:p>
            <w:pPr>
              <w:pStyle w:val="TableContents"/>
              <w:bidi w:val="0"/>
              <w:spacing w:before="0" w:after="283"/>
              <w:jc w:val="right"/>
              <w:rPr>
                <w:sz w:val="16"/>
              </w:rPr>
            </w:pPr>
            <w:r>
              <w:rPr>
                <w:sz w:val="16"/>
              </w:rPr>
              <w:t>1,318,993</w:t>
            </w:r>
          </w:p>
        </w:tc>
        <w:tc>
          <w:tcPr>
            <w:tcW w:w="890" w:type="dxa"/>
            <w:tcBorders/>
            <w:tcMar>
              <w:top w:w="0" w:type="dxa"/>
              <w:left w:w="0" w:type="dxa"/>
            </w:tcMar>
            <w:vAlign w:val="center"/>
          </w:tcPr>
          <w:p>
            <w:pPr>
              <w:pStyle w:val="TableContents"/>
              <w:bidi w:val="0"/>
              <w:spacing w:before="0" w:after="283"/>
              <w:jc w:val="right"/>
              <w:rPr>
                <w:sz w:val="16"/>
              </w:rPr>
            </w:pPr>
            <w:r>
              <w:rPr>
                <w:sz w:val="16"/>
              </w:rPr>
              <w:t>1,318,993</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1,318,993</w:t>
            </w:r>
          </w:p>
        </w:tc>
        <w:tc>
          <w:tcPr>
            <w:tcW w:w="530" w:type="dxa"/>
            <w:tcBorders/>
            <w:tcMar>
              <w:top w:w="0" w:type="dxa"/>
              <w:left w:w="0" w:type="dxa"/>
            </w:tcMar>
            <w:vAlign w:val="center"/>
          </w:tcPr>
          <w:p>
            <w:pPr>
              <w:pStyle w:val="TableContents"/>
              <w:bidi w:val="0"/>
              <w:spacing w:before="0" w:after="283"/>
              <w:jc w:val="center"/>
              <w:rPr>
                <w:sz w:val="16"/>
              </w:rPr>
            </w:pPr>
            <w:r>
              <w:rPr>
                <w:sz w:val="16"/>
              </w:rPr>
              <w:t>0.0%</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0.0%</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sz w:val="16"/>
              </w:rPr>
            </w:pPr>
            <w:r>
              <w:rPr>
                <w:sz w:val="16"/>
              </w:rPr>
              <w:t>Treasury Stocks</w:t>
            </w:r>
          </w:p>
        </w:tc>
        <w:tc>
          <w:tcPr>
            <w:tcW w:w="890" w:type="dxa"/>
            <w:tcBorders/>
            <w:tcMar>
              <w:top w:w="0" w:type="dxa"/>
              <w:left w:w="0" w:type="dxa"/>
            </w:tcMar>
            <w:vAlign w:val="center"/>
          </w:tcPr>
          <w:p>
            <w:pPr>
              <w:pStyle w:val="TableContents"/>
              <w:bidi w:val="0"/>
              <w:spacing w:before="0" w:after="283"/>
              <w:jc w:val="right"/>
              <w:rPr>
                <w:sz w:val="16"/>
              </w:rPr>
            </w:pPr>
            <w:r>
              <w:rPr>
                <w:sz w:val="16"/>
              </w:rPr>
              <w:t>(207,518)</w:t>
            </w:r>
          </w:p>
        </w:tc>
        <w:tc>
          <w:tcPr>
            <w:tcW w:w="890" w:type="dxa"/>
            <w:tcBorders/>
            <w:tcMar>
              <w:top w:w="0" w:type="dxa"/>
              <w:left w:w="0" w:type="dxa"/>
            </w:tcMar>
            <w:vAlign w:val="center"/>
          </w:tcPr>
          <w:p>
            <w:pPr>
              <w:pStyle w:val="TableContents"/>
              <w:bidi w:val="0"/>
              <w:spacing w:before="0" w:after="283"/>
              <w:jc w:val="right"/>
              <w:rPr/>
            </w:pPr>
            <w:r>
              <w:rPr/>
              <w:t> </w:t>
            </w:r>
            <w:r>
              <w:rPr>
                <w:sz w:val="16"/>
              </w:rPr>
              <w:t>(208,041)</w:t>
            </w:r>
          </w:p>
        </w:tc>
        <w:tc>
          <w:tcPr>
            <w:tcW w:w="890"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sz w:val="16"/>
              </w:rPr>
              <w:t>(208,035)</w:t>
            </w:r>
          </w:p>
        </w:tc>
        <w:tc>
          <w:tcPr>
            <w:tcW w:w="530" w:type="dxa"/>
            <w:tcBorders/>
            <w:tcMar>
              <w:top w:w="0" w:type="dxa"/>
              <w:left w:w="0" w:type="dxa"/>
            </w:tcMar>
            <w:vAlign w:val="center"/>
          </w:tcPr>
          <w:p>
            <w:pPr>
              <w:pStyle w:val="TableContents"/>
              <w:bidi w:val="0"/>
              <w:spacing w:before="0" w:after="283"/>
              <w:jc w:val="center"/>
              <w:rPr>
                <w:sz w:val="16"/>
              </w:rPr>
            </w:pPr>
            <w:r>
              <w:rPr>
                <w:sz w:val="16"/>
              </w:rPr>
              <w:t>0.0%</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0.2%</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sz w:val="16"/>
              </w:rPr>
            </w:pPr>
            <w:r>
              <w:rPr>
                <w:sz w:val="16"/>
              </w:rPr>
              <w:t>Capital Surplus</w:t>
            </w:r>
          </w:p>
        </w:tc>
        <w:tc>
          <w:tcPr>
            <w:tcW w:w="890" w:type="dxa"/>
            <w:tcBorders/>
            <w:tcMar>
              <w:top w:w="0" w:type="dxa"/>
              <w:left w:w="0" w:type="dxa"/>
            </w:tcMar>
            <w:vAlign w:val="center"/>
          </w:tcPr>
          <w:p>
            <w:pPr>
              <w:pStyle w:val="TableContents"/>
              <w:bidi w:val="0"/>
              <w:spacing w:before="0" w:after="283"/>
              <w:jc w:val="right"/>
              <w:rPr/>
            </w:pPr>
            <w:r>
              <w:rPr/>
              <w:t> </w:t>
            </w:r>
            <w:r>
              <w:rPr>
                <w:sz w:val="16"/>
              </w:rPr>
              <w:t>231,179</w:t>
            </w:r>
          </w:p>
        </w:tc>
        <w:tc>
          <w:tcPr>
            <w:tcW w:w="890" w:type="dxa"/>
            <w:tcBorders/>
            <w:tcMar>
              <w:top w:w="0" w:type="dxa"/>
              <w:left w:w="0" w:type="dxa"/>
            </w:tcMar>
            <w:vAlign w:val="center"/>
          </w:tcPr>
          <w:p>
            <w:pPr>
              <w:pStyle w:val="TableContents"/>
              <w:bidi w:val="0"/>
              <w:spacing w:before="0" w:after="283"/>
              <w:jc w:val="right"/>
              <w:rPr/>
            </w:pPr>
            <w:r>
              <w:rPr/>
              <w:t> </w:t>
            </w:r>
            <w:r>
              <w:rPr>
                <w:sz w:val="16"/>
              </w:rPr>
              <w:t>226,189</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231,019</w:t>
            </w:r>
          </w:p>
        </w:tc>
        <w:tc>
          <w:tcPr>
            <w:tcW w:w="530" w:type="dxa"/>
            <w:tcBorders/>
            <w:tcMar>
              <w:top w:w="0" w:type="dxa"/>
              <w:left w:w="0" w:type="dxa"/>
            </w:tcMar>
            <w:vAlign w:val="center"/>
          </w:tcPr>
          <w:p>
            <w:pPr>
              <w:pStyle w:val="TableContents"/>
              <w:bidi w:val="0"/>
              <w:spacing w:before="0" w:after="283"/>
              <w:jc w:val="center"/>
              <w:rPr>
                <w:sz w:val="16"/>
              </w:rPr>
            </w:pPr>
            <w:r>
              <w:rPr>
                <w:sz w:val="16"/>
              </w:rPr>
              <w:t>2.1%</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-0.1%</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lineRule="auto" w:line="240" w:before="0" w:after="283"/>
              <w:jc w:val="left"/>
              <w:rPr>
                <w:sz w:val="16"/>
              </w:rPr>
            </w:pPr>
            <w:r>
              <w:rPr>
                <w:sz w:val="16"/>
              </w:rPr>
              <w:t xml:space="preserve">Legal and Other capital reserves </w:t>
            </w:r>
            <w:r>
              <w:rPr>
                <w:rFonts w:ascii="Arial;Helvetica;Sans-Serif" w:hAnsi="Arial;Helvetica;Sans-Serif"/>
                <w:b w:val="false"/>
                <w:i w:val="false"/>
                <w:caps w:val="false"/>
                <w:smallCaps w:val="false"/>
                <w:sz w:val="16"/>
              </w:rPr>
              <w:t>(1)</w:t>
            </w:r>
          </w:p>
        </w:tc>
        <w:tc>
          <w:tcPr>
            <w:tcW w:w="890" w:type="dxa"/>
            <w:tcBorders/>
            <w:tcMar>
              <w:top w:w="0" w:type="dxa"/>
              <w:left w:w="0" w:type="dxa"/>
            </w:tcMar>
            <w:vAlign w:val="center"/>
          </w:tcPr>
          <w:p>
            <w:pPr>
              <w:pStyle w:val="TableContents"/>
              <w:bidi w:val="0"/>
              <w:spacing w:before="0" w:after="283"/>
              <w:jc w:val="right"/>
              <w:rPr>
                <w:sz w:val="16"/>
              </w:rPr>
            </w:pPr>
            <w:r>
              <w:rPr>
                <w:sz w:val="16"/>
              </w:rPr>
              <w:t>23,666,823</w:t>
            </w:r>
          </w:p>
        </w:tc>
        <w:tc>
          <w:tcPr>
            <w:tcW w:w="890" w:type="dxa"/>
            <w:tcBorders/>
            <w:tcMar>
              <w:top w:w="0" w:type="dxa"/>
              <w:left w:w="0" w:type="dxa"/>
            </w:tcMar>
            <w:vAlign w:val="center"/>
          </w:tcPr>
          <w:p>
            <w:pPr>
              <w:pStyle w:val="TableContents"/>
              <w:bidi w:val="0"/>
              <w:spacing w:before="0" w:after="283"/>
              <w:jc w:val="right"/>
              <w:rPr/>
            </w:pPr>
            <w:r>
              <w:rPr/>
              <w:t> </w:t>
            </w:r>
            <w:r>
              <w:rPr>
                <w:sz w:val="16"/>
              </w:rPr>
              <w:t>23,603,001</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26,221,577</w:t>
            </w:r>
          </w:p>
        </w:tc>
        <w:tc>
          <w:tcPr>
            <w:tcW w:w="530" w:type="dxa"/>
            <w:tcBorders/>
            <w:tcMar>
              <w:top w:w="0" w:type="dxa"/>
              <w:left w:w="0" w:type="dxa"/>
            </w:tcMar>
            <w:vAlign w:val="center"/>
          </w:tcPr>
          <w:p>
            <w:pPr>
              <w:pStyle w:val="TableContents"/>
              <w:bidi w:val="0"/>
              <w:spacing w:before="0" w:after="283"/>
              <w:jc w:val="center"/>
              <w:rPr>
                <w:sz w:val="16"/>
              </w:rPr>
            </w:pPr>
            <w:r>
              <w:rPr>
                <w:sz w:val="16"/>
              </w:rPr>
              <w:t>11.1%</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10.8%</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lineRule="auto" w:line="240" w:before="0" w:after="283"/>
              <w:jc w:val="left"/>
              <w:rPr>
                <w:sz w:val="16"/>
              </w:rPr>
            </w:pPr>
            <w:r>
              <w:rPr>
                <w:sz w:val="16"/>
              </w:rPr>
              <w:t xml:space="preserve">Minority interest </w:t>
            </w:r>
            <w:r>
              <w:rPr>
                <w:rFonts w:ascii="Arial;Helvetica;Sans-Serif" w:hAnsi="Arial;Helvetica;Sans-Serif"/>
                <w:b w:val="false"/>
                <w:i w:val="false"/>
                <w:caps w:val="false"/>
                <w:smallCaps w:val="false"/>
                <w:sz w:val="16"/>
              </w:rPr>
              <w:t>(2)</w:t>
            </w:r>
          </w:p>
        </w:tc>
        <w:tc>
          <w:tcPr>
            <w:tcW w:w="890" w:type="dxa"/>
            <w:tcBorders/>
            <w:tcMar>
              <w:top w:w="0" w:type="dxa"/>
              <w:left w:w="0" w:type="dxa"/>
            </w:tcMar>
            <w:vAlign w:val="center"/>
          </w:tcPr>
          <w:p>
            <w:pPr>
              <w:pStyle w:val="TableContents"/>
              <w:bidi w:val="0"/>
              <w:spacing w:before="0" w:after="283"/>
              <w:jc w:val="right"/>
              <w:rPr/>
            </w:pPr>
            <w:r>
              <w:rPr/>
              <w:t> </w:t>
            </w:r>
            <w:r>
              <w:rPr>
                <w:sz w:val="16"/>
              </w:rPr>
              <w:t>490,576</w:t>
            </w:r>
          </w:p>
        </w:tc>
        <w:tc>
          <w:tcPr>
            <w:tcW w:w="890" w:type="dxa"/>
            <w:tcBorders/>
            <w:tcMar>
              <w:top w:w="0" w:type="dxa"/>
              <w:left w:w="0" w:type="dxa"/>
            </w:tcMar>
            <w:vAlign w:val="center"/>
          </w:tcPr>
          <w:p>
            <w:pPr>
              <w:pStyle w:val="TableContents"/>
              <w:bidi w:val="0"/>
              <w:spacing w:before="0" w:after="283"/>
              <w:jc w:val="right"/>
              <w:rPr/>
            </w:pPr>
            <w:r>
              <w:rPr/>
              <w:t> </w:t>
            </w:r>
            <w:r>
              <w:rPr>
                <w:sz w:val="16"/>
              </w:rPr>
              <w:t>514,951</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207,919</w:t>
            </w:r>
          </w:p>
        </w:tc>
        <w:tc>
          <w:tcPr>
            <w:tcW w:w="530" w:type="dxa"/>
            <w:tcBorders/>
            <w:tcMar>
              <w:top w:w="0" w:type="dxa"/>
              <w:left w:w="0" w:type="dxa"/>
            </w:tcMar>
            <w:vAlign w:val="center"/>
          </w:tcPr>
          <w:p>
            <w:pPr>
              <w:pStyle w:val="TableContents"/>
              <w:bidi w:val="0"/>
              <w:spacing w:before="0" w:after="283"/>
              <w:jc w:val="center"/>
              <w:rPr>
                <w:sz w:val="16"/>
              </w:rPr>
            </w:pPr>
            <w:r>
              <w:rPr>
                <w:sz w:val="16"/>
              </w:rPr>
              <w:t>-59.6%</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-57.6%</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lineRule="auto" w:line="240" w:before="0" w:after="283"/>
              <w:jc w:val="left"/>
              <w:rPr>
                <w:sz w:val="16"/>
              </w:rPr>
            </w:pPr>
            <w:r>
              <w:rPr>
                <w:sz w:val="16"/>
              </w:rPr>
              <w:t xml:space="preserve">Loan loss reserves </w:t>
            </w:r>
            <w:r>
              <w:rPr>
                <w:rFonts w:ascii="Arial;Helvetica;Sans-Serif" w:hAnsi="Arial;Helvetica;Sans-Serif"/>
                <w:b w:val="false"/>
                <w:i w:val="false"/>
                <w:caps w:val="false"/>
                <w:smallCaps w:val="false"/>
                <w:sz w:val="16"/>
              </w:rPr>
              <w:t>(3)</w:t>
            </w:r>
          </w:p>
        </w:tc>
        <w:tc>
          <w:tcPr>
            <w:tcW w:w="890" w:type="dxa"/>
            <w:tcBorders/>
            <w:tcMar>
              <w:top w:w="0" w:type="dxa"/>
              <w:left w:w="0" w:type="dxa"/>
            </w:tcMar>
            <w:vAlign w:val="center"/>
          </w:tcPr>
          <w:p>
            <w:pPr>
              <w:pStyle w:val="TableContents"/>
              <w:bidi w:val="0"/>
              <w:spacing w:before="0" w:after="283"/>
              <w:jc w:val="right"/>
              <w:rPr>
                <w:sz w:val="16"/>
              </w:rPr>
            </w:pPr>
            <w:r>
              <w:rPr>
                <w:sz w:val="16"/>
              </w:rPr>
              <w:t>2,074,630</w:t>
            </w:r>
          </w:p>
        </w:tc>
        <w:tc>
          <w:tcPr>
            <w:tcW w:w="890" w:type="dxa"/>
            <w:tcBorders/>
            <w:tcMar>
              <w:top w:w="0" w:type="dxa"/>
              <w:left w:w="0" w:type="dxa"/>
            </w:tcMar>
            <w:vAlign w:val="center"/>
          </w:tcPr>
          <w:p>
            <w:pPr>
              <w:pStyle w:val="TableContents"/>
              <w:bidi w:val="0"/>
              <w:spacing w:before="0" w:after="283"/>
              <w:jc w:val="right"/>
              <w:rPr>
                <w:sz w:val="16"/>
              </w:rPr>
            </w:pPr>
            <w:r>
              <w:rPr>
                <w:sz w:val="16"/>
              </w:rPr>
              <w:t>1,908,632</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1,903,625</w:t>
            </w:r>
          </w:p>
        </w:tc>
        <w:tc>
          <w:tcPr>
            <w:tcW w:w="530" w:type="dxa"/>
            <w:tcBorders/>
            <w:tcMar>
              <w:top w:w="0" w:type="dxa"/>
              <w:left w:w="0" w:type="dxa"/>
            </w:tcMar>
            <w:vAlign w:val="center"/>
          </w:tcPr>
          <w:p>
            <w:pPr>
              <w:pStyle w:val="TableContents"/>
              <w:bidi w:val="0"/>
              <w:spacing w:before="0" w:after="283"/>
              <w:jc w:val="center"/>
              <w:rPr>
                <w:sz w:val="16"/>
              </w:rPr>
            </w:pPr>
            <w:r>
              <w:rPr>
                <w:sz w:val="16"/>
              </w:rPr>
              <w:t>-0.3%</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-8.2%</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sz w:val="16"/>
              </w:rPr>
            </w:pPr>
            <w:r>
              <w:rPr>
                <w:sz w:val="16"/>
              </w:rPr>
              <w:t>Perpetual subordinated debt</w:t>
            </w:r>
          </w:p>
        </w:tc>
        <w:tc>
          <w:tcPr>
            <w:tcW w:w="890" w:type="dxa"/>
            <w:tcBorders/>
            <w:tcMar>
              <w:top w:w="0" w:type="dxa"/>
              <w:left w:w="0" w:type="dxa"/>
            </w:tcMar>
            <w:vAlign w:val="center"/>
          </w:tcPr>
          <w:p>
            <w:pPr>
              <w:pStyle w:val="TableContents"/>
              <w:bidi w:val="0"/>
              <w:spacing w:before="0" w:after="283"/>
              <w:jc w:val="right"/>
              <w:rPr>
                <w:sz w:val="16"/>
              </w:rPr>
            </w:pPr>
            <w:r>
              <w:rPr>
                <w:sz w:val="16"/>
              </w:rPr>
              <w:t>-</w:t>
            </w:r>
          </w:p>
        </w:tc>
        <w:tc>
          <w:tcPr>
            <w:tcW w:w="890" w:type="dxa"/>
            <w:tcBorders/>
            <w:tcMar>
              <w:top w:w="0" w:type="dxa"/>
              <w:left w:w="0" w:type="dxa"/>
            </w:tcMar>
            <w:vAlign w:val="center"/>
          </w:tcPr>
          <w:p>
            <w:pPr>
              <w:pStyle w:val="TableContents"/>
              <w:bidi w:val="0"/>
              <w:spacing w:before="0" w:after="283"/>
              <w:jc w:val="right"/>
              <w:rPr>
                <w:sz w:val="16"/>
              </w:rPr>
            </w:pPr>
            <w:r>
              <w:rPr>
                <w:sz w:val="16"/>
              </w:rPr>
              <w:t>-</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w:t>
            </w:r>
          </w:p>
        </w:tc>
        <w:tc>
          <w:tcPr>
            <w:tcW w:w="530" w:type="dxa"/>
            <w:tcBorders/>
            <w:tcMar>
              <w:top w:w="0" w:type="dxa"/>
              <w:left w:w="0" w:type="dxa"/>
            </w:tcMar>
            <w:vAlign w:val="center"/>
          </w:tcPr>
          <w:p>
            <w:pPr>
              <w:pStyle w:val="TableContents"/>
              <w:bidi w:val="0"/>
              <w:spacing w:before="0" w:after="283"/>
              <w:jc w:val="center"/>
              <w:rPr/>
            </w:pPr>
            <w:r>
              <w:rPr/>
              <w:t> </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sz w:val="16"/>
              </w:rPr>
            </w:pPr>
            <w:r>
              <w:rPr>
                <w:sz w:val="16"/>
              </w:rPr>
              <w:t>Subordinated Debt</w:t>
            </w:r>
          </w:p>
        </w:tc>
        <w:tc>
          <w:tcPr>
            <w:tcW w:w="890" w:type="dxa"/>
            <w:tcBorders/>
            <w:tcMar>
              <w:top w:w="0" w:type="dxa"/>
              <w:left w:w="0" w:type="dxa"/>
            </w:tcMar>
            <w:vAlign w:val="center"/>
          </w:tcPr>
          <w:p>
            <w:pPr>
              <w:pStyle w:val="TableContents"/>
              <w:bidi w:val="0"/>
              <w:spacing w:before="0" w:after="283"/>
              <w:jc w:val="right"/>
              <w:rPr>
                <w:sz w:val="16"/>
              </w:rPr>
            </w:pPr>
            <w:r>
              <w:rPr>
                <w:sz w:val="16"/>
              </w:rPr>
              <w:t>5,863,208</w:t>
            </w:r>
          </w:p>
        </w:tc>
        <w:tc>
          <w:tcPr>
            <w:tcW w:w="890" w:type="dxa"/>
            <w:tcBorders/>
            <w:tcMar>
              <w:top w:w="0" w:type="dxa"/>
              <w:left w:w="0" w:type="dxa"/>
            </w:tcMar>
            <w:vAlign w:val="center"/>
          </w:tcPr>
          <w:p>
            <w:pPr>
              <w:pStyle w:val="TableContents"/>
              <w:bidi w:val="0"/>
              <w:spacing w:before="0" w:after="283"/>
              <w:jc w:val="right"/>
              <w:rPr>
                <w:sz w:val="16"/>
              </w:rPr>
            </w:pPr>
            <w:r>
              <w:rPr>
                <w:sz w:val="16"/>
              </w:rPr>
              <w:t>5,649,060</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5,595,446</w:t>
            </w:r>
          </w:p>
        </w:tc>
        <w:tc>
          <w:tcPr>
            <w:tcW w:w="530" w:type="dxa"/>
            <w:tcBorders/>
            <w:tcMar>
              <w:top w:w="0" w:type="dxa"/>
              <w:left w:w="0" w:type="dxa"/>
            </w:tcMar>
            <w:vAlign w:val="center"/>
          </w:tcPr>
          <w:p>
            <w:pPr>
              <w:pStyle w:val="TableContents"/>
              <w:bidi w:val="0"/>
              <w:spacing w:before="0" w:after="283"/>
              <w:jc w:val="center"/>
              <w:rPr>
                <w:sz w:val="16"/>
              </w:rPr>
            </w:pPr>
            <w:r>
              <w:rPr>
                <w:sz w:val="16"/>
              </w:rPr>
              <w:t>-0.9%</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-4.6%</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sz w:val="16"/>
              </w:rPr>
            </w:pPr>
            <w:r>
              <w:rPr>
                <w:sz w:val="16"/>
              </w:rPr>
              <w:t>Investments in equity and subordinated debt of financial and insurance companies</w:t>
            </w:r>
          </w:p>
        </w:tc>
        <w:tc>
          <w:tcPr>
            <w:tcW w:w="890" w:type="dxa"/>
            <w:tcBorders/>
            <w:tcMar>
              <w:top w:w="0" w:type="dxa"/>
              <w:left w:w="0" w:type="dxa"/>
            </w:tcMar>
            <w:vAlign w:val="center"/>
          </w:tcPr>
          <w:p>
            <w:pPr>
              <w:pStyle w:val="TableContents"/>
              <w:bidi w:val="0"/>
              <w:spacing w:before="0" w:after="283"/>
              <w:jc w:val="right"/>
              <w:rPr>
                <w:sz w:val="16"/>
              </w:rPr>
            </w:pPr>
            <w:r>
              <w:rPr>
                <w:sz w:val="16"/>
              </w:rPr>
              <w:t>(829,315)</w:t>
            </w:r>
          </w:p>
        </w:tc>
        <w:tc>
          <w:tcPr>
            <w:tcW w:w="890" w:type="dxa"/>
            <w:tcBorders/>
            <w:tcMar>
              <w:top w:w="0" w:type="dxa"/>
              <w:left w:w="0" w:type="dxa"/>
            </w:tcMar>
            <w:vAlign w:val="center"/>
          </w:tcPr>
          <w:p>
            <w:pPr>
              <w:pStyle w:val="TableContents"/>
              <w:bidi w:val="0"/>
              <w:spacing w:before="0" w:after="283"/>
              <w:jc w:val="right"/>
              <w:rPr>
                <w:sz w:val="16"/>
              </w:rPr>
            </w:pPr>
            <w:r>
              <w:rPr>
                <w:sz w:val="16"/>
              </w:rPr>
              <w:t>(1,002,770)</w:t>
            </w:r>
          </w:p>
        </w:tc>
        <w:tc>
          <w:tcPr>
            <w:tcW w:w="890" w:type="dxa"/>
            <w:tcBorders>
              <w:right w:val="single" w:sz="8" w:space="0" w:color="000000"/>
            </w:tcBorders>
            <w:tcMar>
              <w:top w:w="0" w:type="dxa"/>
              <w:left w:w="0" w:type="dxa"/>
              <w:right w:w="28" w:type="dxa"/>
            </w:tcMar>
            <w:vAlign w:val="center"/>
          </w:tcPr>
          <w:p>
            <w:pPr>
              <w:pStyle w:val="TableContents"/>
              <w:bidi w:val="0"/>
              <w:spacing w:before="0" w:after="283"/>
              <w:jc w:val="right"/>
              <w:rPr>
                <w:sz w:val="16"/>
              </w:rPr>
            </w:pPr>
            <w:r>
              <w:rPr>
                <w:sz w:val="16"/>
              </w:rPr>
              <w:t>(1,265,052)</w:t>
            </w:r>
          </w:p>
        </w:tc>
        <w:tc>
          <w:tcPr>
            <w:tcW w:w="530" w:type="dxa"/>
            <w:tcBorders/>
            <w:tcMar>
              <w:top w:w="0" w:type="dxa"/>
              <w:left w:w="0" w:type="dxa"/>
            </w:tcMar>
            <w:vAlign w:val="center"/>
          </w:tcPr>
          <w:p>
            <w:pPr>
              <w:pStyle w:val="TableContents"/>
              <w:bidi w:val="0"/>
              <w:spacing w:before="0" w:after="283"/>
              <w:jc w:val="center"/>
              <w:rPr>
                <w:sz w:val="16"/>
              </w:rPr>
            </w:pPr>
            <w:r>
              <w:rPr>
                <w:sz w:val="16"/>
              </w:rPr>
              <w:t>26.2%</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52.5%</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sz w:val="16"/>
              </w:rPr>
            </w:pPr>
            <w:r>
              <w:rPr>
                <w:sz w:val="16"/>
              </w:rPr>
              <w:t>Goodwill</w:t>
            </w:r>
          </w:p>
        </w:tc>
        <w:tc>
          <w:tcPr>
            <w:tcW w:w="890" w:type="dxa"/>
            <w:tcBorders/>
            <w:tcMar>
              <w:top w:w="0" w:type="dxa"/>
              <w:left w:w="0" w:type="dxa"/>
            </w:tcMar>
            <w:vAlign w:val="center"/>
          </w:tcPr>
          <w:p>
            <w:pPr>
              <w:pStyle w:val="TableContents"/>
              <w:bidi w:val="0"/>
              <w:spacing w:before="0" w:after="283"/>
              <w:jc w:val="right"/>
              <w:rPr>
                <w:sz w:val="16"/>
              </w:rPr>
            </w:pPr>
            <w:r>
              <w:rPr>
                <w:sz w:val="16"/>
              </w:rPr>
              <w:t>(802,622)</w:t>
            </w:r>
          </w:p>
        </w:tc>
        <w:tc>
          <w:tcPr>
            <w:tcW w:w="890" w:type="dxa"/>
            <w:tcBorders/>
            <w:tcMar>
              <w:top w:w="0" w:type="dxa"/>
              <w:left w:w="0" w:type="dxa"/>
            </w:tcMar>
            <w:vAlign w:val="center"/>
          </w:tcPr>
          <w:p>
            <w:pPr>
              <w:pStyle w:val="TableContents"/>
              <w:bidi w:val="0"/>
              <w:spacing w:before="0" w:after="283"/>
              <w:jc w:val="right"/>
              <w:rPr/>
            </w:pPr>
            <w:r>
              <w:rPr/>
              <w:t> </w:t>
            </w:r>
            <w:r>
              <w:rPr>
                <w:sz w:val="16"/>
              </w:rPr>
              <w:t>(802,366)</w:t>
            </w:r>
          </w:p>
        </w:tc>
        <w:tc>
          <w:tcPr>
            <w:tcW w:w="890"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sz w:val="16"/>
              </w:rPr>
              <w:t>(830,725)</w:t>
            </w:r>
          </w:p>
        </w:tc>
        <w:tc>
          <w:tcPr>
            <w:tcW w:w="530" w:type="dxa"/>
            <w:tcBorders/>
            <w:tcMar>
              <w:top w:w="0" w:type="dxa"/>
              <w:left w:w="0" w:type="dxa"/>
            </w:tcMar>
            <w:vAlign w:val="center"/>
          </w:tcPr>
          <w:p>
            <w:pPr>
              <w:pStyle w:val="TableContents"/>
              <w:bidi w:val="0"/>
              <w:spacing w:before="0" w:after="283"/>
              <w:jc w:val="center"/>
              <w:rPr>
                <w:sz w:val="16"/>
              </w:rPr>
            </w:pPr>
            <w:r>
              <w:rPr>
                <w:sz w:val="16"/>
              </w:rPr>
              <w:t>3.5%</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3.5%</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sz w:val="16"/>
              </w:rPr>
            </w:pPr>
            <w:r>
              <w:rPr>
                <w:sz w:val="16"/>
              </w:rPr>
              <w:t>Current year Net Loss</w:t>
            </w:r>
          </w:p>
        </w:tc>
        <w:tc>
          <w:tcPr>
            <w:tcW w:w="890" w:type="dxa"/>
            <w:tcBorders/>
            <w:tcMar>
              <w:top w:w="0" w:type="dxa"/>
              <w:left w:w="0" w:type="dxa"/>
            </w:tcMar>
            <w:vAlign w:val="center"/>
          </w:tcPr>
          <w:p>
            <w:pPr>
              <w:pStyle w:val="TableContents"/>
              <w:bidi w:val="0"/>
              <w:spacing w:before="0" w:after="283"/>
              <w:jc w:val="right"/>
              <w:rPr>
                <w:sz w:val="16"/>
              </w:rPr>
            </w:pPr>
            <w:r>
              <w:rPr>
                <w:sz w:val="16"/>
              </w:rPr>
              <w:t>-</w:t>
            </w:r>
          </w:p>
        </w:tc>
        <w:tc>
          <w:tcPr>
            <w:tcW w:w="890" w:type="dxa"/>
            <w:tcBorders/>
            <w:tcMar>
              <w:top w:w="0" w:type="dxa"/>
              <w:left w:w="0" w:type="dxa"/>
            </w:tcMar>
            <w:vAlign w:val="center"/>
          </w:tcPr>
          <w:p>
            <w:pPr>
              <w:pStyle w:val="TableContents"/>
              <w:bidi w:val="0"/>
              <w:spacing w:before="0" w:after="283"/>
              <w:jc w:val="right"/>
              <w:rPr>
                <w:sz w:val="16"/>
              </w:rPr>
            </w:pPr>
            <w:r>
              <w:rPr>
                <w:sz w:val="16"/>
              </w:rPr>
              <w:t>-</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w:t>
            </w:r>
          </w:p>
        </w:tc>
        <w:tc>
          <w:tcPr>
            <w:tcW w:w="530" w:type="dxa"/>
            <w:tcBorders/>
            <w:tcMar>
              <w:top w:w="0" w:type="dxa"/>
              <w:left w:w="0" w:type="dxa"/>
            </w:tcMar>
            <w:vAlign w:val="center"/>
          </w:tcPr>
          <w:p>
            <w:pPr>
              <w:pStyle w:val="TableContents"/>
              <w:bidi w:val="0"/>
              <w:spacing w:before="0" w:after="283"/>
              <w:jc w:val="center"/>
              <w:rPr>
                <w:sz w:val="16"/>
              </w:rPr>
            </w:pPr>
            <w:r>
              <w:rPr>
                <w:sz w:val="16"/>
              </w:rPr>
              <w:t>-</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lineRule="auto" w:line="240" w:before="0" w:after="283"/>
              <w:jc w:val="left"/>
              <w:rPr>
                <w:sz w:val="16"/>
              </w:rPr>
            </w:pPr>
            <w:r>
              <w:rPr>
                <w:sz w:val="16"/>
              </w:rPr>
              <w:t xml:space="preserve">Deduction for subordinated debt limit (50% of Tier I excluding deductions) </w:t>
            </w:r>
            <w:r>
              <w:rPr>
                <w:rFonts w:ascii="Arial;Helvetica;Sans-Serif" w:hAnsi="Arial;Helvetica;Sans-Serif"/>
                <w:b w:val="false"/>
                <w:i w:val="false"/>
                <w:caps w:val="false"/>
                <w:smallCaps w:val="false"/>
                <w:sz w:val="16"/>
              </w:rPr>
              <w:t>(4)</w:t>
            </w:r>
          </w:p>
        </w:tc>
        <w:tc>
          <w:tcPr>
            <w:tcW w:w="890" w:type="dxa"/>
            <w:tcBorders/>
            <w:tcMar>
              <w:top w:w="0" w:type="dxa"/>
              <w:left w:w="0" w:type="dxa"/>
            </w:tcMar>
            <w:vAlign w:val="center"/>
          </w:tcPr>
          <w:p>
            <w:pPr>
              <w:pStyle w:val="TableContents"/>
              <w:bidi w:val="0"/>
              <w:spacing w:before="0" w:after="283"/>
              <w:jc w:val="right"/>
              <w:rPr>
                <w:sz w:val="16"/>
              </w:rPr>
            </w:pPr>
            <w:r>
              <w:rPr>
                <w:sz w:val="16"/>
              </w:rPr>
              <w:t>-</w:t>
            </w:r>
          </w:p>
        </w:tc>
        <w:tc>
          <w:tcPr>
            <w:tcW w:w="890" w:type="dxa"/>
            <w:tcBorders/>
            <w:tcMar>
              <w:top w:w="0" w:type="dxa"/>
              <w:left w:w="0" w:type="dxa"/>
            </w:tcMar>
            <w:vAlign w:val="center"/>
          </w:tcPr>
          <w:p>
            <w:pPr>
              <w:pStyle w:val="TableContents"/>
              <w:bidi w:val="0"/>
              <w:spacing w:before="0" w:after="283"/>
              <w:jc w:val="right"/>
              <w:rPr>
                <w:sz w:val="16"/>
              </w:rPr>
            </w:pPr>
            <w:r>
              <w:rPr>
                <w:sz w:val="16"/>
              </w:rPr>
              <w:t>-</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w:t>
            </w:r>
          </w:p>
        </w:tc>
        <w:tc>
          <w:tcPr>
            <w:tcW w:w="530" w:type="dxa"/>
            <w:tcBorders/>
            <w:tcMar>
              <w:top w:w="0" w:type="dxa"/>
              <w:left w:w="0" w:type="dxa"/>
            </w:tcMar>
            <w:vAlign w:val="center"/>
          </w:tcPr>
          <w:p>
            <w:pPr>
              <w:pStyle w:val="TableContents"/>
              <w:bidi w:val="0"/>
              <w:spacing w:before="0" w:after="283"/>
              <w:jc w:val="center"/>
              <w:rPr/>
            </w:pPr>
            <w:r>
              <w:rPr/>
              <w:t> </w:t>
            </w:r>
            <w:r>
              <w:rPr>
                <w:sz w:val="16"/>
              </w:rPr>
              <w:t>- </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pPr>
            <w:r>
              <w:rPr/>
              <w:t> </w:t>
            </w:r>
            <w:r>
              <w:rPr>
                <w:sz w:val="16"/>
              </w:rPr>
              <w:t>- </w:t>
            </w:r>
          </w:p>
        </w:tc>
      </w:tr>
      <w:tr>
        <w:trPr/>
        <w:tc>
          <w:tcPr>
            <w:tcW w:w="5720"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lineRule="auto" w:line="240" w:before="0" w:after="283"/>
              <w:jc w:val="left"/>
              <w:rPr>
                <w:sz w:val="16"/>
              </w:rPr>
            </w:pPr>
            <w:r>
              <w:rPr>
                <w:sz w:val="16"/>
              </w:rPr>
              <w:t xml:space="preserve">Deduction for Tier I Limit (50% of Regulatory capital) </w:t>
            </w:r>
            <w:r>
              <w:rPr>
                <w:rFonts w:ascii="Arial;Helvetica;Sans-Serif" w:hAnsi="Arial;Helvetica;Sans-Serif"/>
                <w:b w:val="false"/>
                <w:i w:val="false"/>
                <w:caps w:val="false"/>
                <w:smallCaps w:val="false"/>
                <w:sz w:val="16"/>
              </w:rPr>
              <w:t>(4)</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sz w:val="16"/>
              </w:rPr>
            </w:pPr>
            <w:r>
              <w:rPr>
                <w:sz w:val="16"/>
              </w:rPr>
              <w:t>-</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sz w:val="16"/>
              </w:rPr>
            </w:pPr>
            <w:r>
              <w:rPr>
                <w:sz w:val="16"/>
              </w:rPr>
              <w:t>-</w:t>
            </w:r>
          </w:p>
        </w:tc>
        <w:tc>
          <w:tcPr>
            <w:tcW w:w="89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sz w:val="16"/>
              </w:rPr>
            </w:pPr>
            <w:r>
              <w:rPr>
                <w:sz w:val="16"/>
              </w:rPr>
              <w:t>-</w:t>
            </w:r>
          </w:p>
        </w:tc>
        <w:tc>
          <w:tcPr>
            <w:tcW w:w="530"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r>
              <w:rPr>
                <w:sz w:val="16"/>
              </w:rPr>
              <w:t>- </w:t>
            </w:r>
          </w:p>
        </w:tc>
        <w:tc>
          <w:tcPr>
            <w:tcW w:w="53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pPr>
            <w:r>
              <w:rPr/>
              <w:t> </w:t>
            </w:r>
            <w:r>
              <w:rPr>
                <w:sz w:val="16"/>
              </w:rPr>
              <w:t>- </w:t>
            </w:r>
          </w:p>
        </w:tc>
      </w:tr>
      <w:tr>
        <w:trPr/>
        <w:tc>
          <w:tcPr>
            <w:tcW w:w="5720"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b/>
                <w:sz w:val="16"/>
              </w:rPr>
            </w:pPr>
            <w:r>
              <w:rPr>
                <w:b/>
                <w:sz w:val="16"/>
              </w:rPr>
              <w:t>Total Regulatory Capital (A)</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b/>
                <w:sz w:val="16"/>
              </w:rPr>
              <w:t>31,805,954</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b/>
                <w:sz w:val="16"/>
              </w:rPr>
              <w:t>31,207,649</w:t>
            </w:r>
          </w:p>
        </w:tc>
        <w:tc>
          <w:tcPr>
            <w:tcW w:w="89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b/>
                <w:sz w:val="16"/>
              </w:rPr>
              <w:t>33,174,767</w:t>
            </w:r>
          </w:p>
        </w:tc>
        <w:tc>
          <w:tcPr>
            <w:tcW w:w="530" w:type="dxa"/>
            <w:tcBorders>
              <w:bottom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6.3%</w:t>
            </w:r>
          </w:p>
        </w:tc>
        <w:tc>
          <w:tcPr>
            <w:tcW w:w="53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b/>
                <w:sz w:val="16"/>
              </w:rPr>
            </w:pPr>
            <w:r>
              <w:rPr>
                <w:b/>
                <w:sz w:val="16"/>
              </w:rPr>
              <w:t>4.3%</w:t>
            </w:r>
          </w:p>
        </w:tc>
      </w:tr>
      <w:tr>
        <w:trPr/>
        <w:tc>
          <w:tcPr>
            <w:tcW w:w="5720" w:type="dxa"/>
            <w:tcBorders/>
            <w:tcMar>
              <w:top w:w="0" w:type="dxa"/>
              <w:left w:w="0" w:type="dxa"/>
            </w:tcMar>
            <w:vAlign w:val="center"/>
          </w:tcPr>
          <w:p>
            <w:pPr>
              <w:pStyle w:val="TableContents"/>
              <w:bidi w:val="0"/>
              <w:spacing w:before="0" w:after="283"/>
              <w:jc w:val="left"/>
              <w:rPr/>
            </w:pPr>
            <w:r>
              <w:rPr/>
              <w:t> </w:t>
            </w:r>
          </w:p>
        </w:tc>
        <w:tc>
          <w:tcPr>
            <w:tcW w:w="890" w:type="dxa"/>
            <w:tcBorders/>
            <w:tcMar>
              <w:top w:w="0" w:type="dxa"/>
              <w:left w:w="0" w:type="dxa"/>
            </w:tcMar>
            <w:vAlign w:val="center"/>
          </w:tcPr>
          <w:p>
            <w:pPr>
              <w:pStyle w:val="TableContents"/>
              <w:bidi w:val="0"/>
              <w:spacing w:before="0" w:after="283"/>
              <w:jc w:val="right"/>
              <w:rPr/>
            </w:pPr>
            <w:r>
              <w:rPr/>
              <w:t> </w:t>
            </w:r>
          </w:p>
        </w:tc>
        <w:tc>
          <w:tcPr>
            <w:tcW w:w="890" w:type="dxa"/>
            <w:tcBorders/>
            <w:tcMar>
              <w:top w:w="0" w:type="dxa"/>
              <w:left w:w="0" w:type="dxa"/>
            </w:tcMar>
            <w:vAlign w:val="center"/>
          </w:tcPr>
          <w:p>
            <w:pPr>
              <w:pStyle w:val="TableContents"/>
              <w:bidi w:val="0"/>
              <w:spacing w:before="0" w:after="283"/>
              <w:jc w:val="right"/>
              <w:rPr/>
            </w:pPr>
            <w:r>
              <w:rPr/>
              <w:t> </w:t>
            </w:r>
          </w:p>
        </w:tc>
        <w:tc>
          <w:tcPr>
            <w:tcW w:w="890" w:type="dxa"/>
            <w:tcBorders/>
            <w:tcMar>
              <w:top w:w="0" w:type="dxa"/>
              <w:left w:w="0" w:type="dxa"/>
            </w:tcMar>
            <w:vAlign w:val="center"/>
          </w:tcPr>
          <w:p>
            <w:pPr>
              <w:pStyle w:val="TableContents"/>
              <w:bidi w:val="0"/>
              <w:spacing w:before="0" w:after="283"/>
              <w:jc w:val="right"/>
              <w:rPr/>
            </w:pPr>
            <w:r>
              <w:rPr/>
              <w:t> </w:t>
            </w:r>
          </w:p>
        </w:tc>
        <w:tc>
          <w:tcPr>
            <w:tcW w:w="530" w:type="dxa"/>
            <w:tcBorders/>
            <w:tcMar>
              <w:top w:w="0" w:type="dxa"/>
              <w:left w:w="0" w:type="dxa"/>
            </w:tcMar>
            <w:vAlign w:val="center"/>
          </w:tcPr>
          <w:p>
            <w:pPr>
              <w:pStyle w:val="TableContents"/>
              <w:bidi w:val="0"/>
              <w:spacing w:before="0" w:after="283"/>
              <w:jc w:val="center"/>
              <w:rPr/>
            </w:pPr>
            <w:r>
              <w:rPr/>
              <w:t> </w:t>
            </w:r>
          </w:p>
        </w:tc>
        <w:tc>
          <w:tcPr>
            <w:tcW w:w="530" w:type="dxa"/>
            <w:tcBorders/>
            <w:tcMar>
              <w:top w:w="0" w:type="dxa"/>
              <w:left w:w="0" w:type="dxa"/>
            </w:tcMar>
            <w:vAlign w:val="center"/>
          </w:tcPr>
          <w:p>
            <w:pPr>
              <w:pStyle w:val="TableContents"/>
              <w:bidi w:val="0"/>
              <w:spacing w:before="0" w:after="283"/>
              <w:jc w:val="center"/>
              <w:rPr/>
            </w:pPr>
            <w:r>
              <w:rPr/>
              <w:t> </w:t>
            </w:r>
          </w:p>
        </w:tc>
      </w:tr>
      <w:tr>
        <w:trPr/>
        <w:tc>
          <w:tcPr>
            <w:tcW w:w="5720" w:type="dxa"/>
            <w:tcBorders>
              <w:top w:val="single" w:sz="8" w:space="0" w:color="000000"/>
              <w:left w:val="single" w:sz="8" w:space="0" w:color="000000"/>
              <w:right w:val="single" w:sz="8" w:space="0" w:color="000000"/>
            </w:tcBorders>
            <w:tcMar>
              <w:right w:w="28" w:type="dxa"/>
            </w:tcMar>
            <w:vAlign w:val="center"/>
          </w:tcPr>
          <w:p>
            <w:pPr>
              <w:pStyle w:val="TableContents"/>
              <w:bidi w:val="0"/>
              <w:spacing w:lineRule="auto" w:line="240" w:before="0" w:after="283"/>
              <w:jc w:val="left"/>
              <w:rPr>
                <w:sz w:val="16"/>
              </w:rPr>
            </w:pPr>
            <w:r>
              <w:rPr>
                <w:sz w:val="16"/>
              </w:rPr>
              <w:t xml:space="preserve">Tier 1 </w:t>
            </w:r>
            <w:r>
              <w:rPr>
                <w:rFonts w:ascii="Arial;Helvetica;Sans-Serif" w:hAnsi="Arial;Helvetica;Sans-Serif"/>
                <w:b w:val="false"/>
                <w:i w:val="false"/>
                <w:caps w:val="false"/>
                <w:smallCaps w:val="false"/>
                <w:sz w:val="16"/>
              </w:rPr>
              <w:t>(5)</w:t>
            </w:r>
          </w:p>
        </w:tc>
        <w:tc>
          <w:tcPr>
            <w:tcW w:w="890" w:type="dxa"/>
            <w:tcBorders>
              <w:top w:val="single" w:sz="8" w:space="0" w:color="000000"/>
            </w:tcBorders>
            <w:tcMar>
              <w:left w:w="0" w:type="dxa"/>
            </w:tcMar>
            <w:vAlign w:val="center"/>
          </w:tcPr>
          <w:p>
            <w:pPr>
              <w:pStyle w:val="TableContents"/>
              <w:bidi w:val="0"/>
              <w:spacing w:before="0" w:after="283"/>
              <w:jc w:val="right"/>
              <w:rPr>
                <w:sz w:val="16"/>
              </w:rPr>
            </w:pPr>
            <w:r>
              <w:rPr>
                <w:sz w:val="16"/>
              </w:rPr>
              <w:t>16,973,919</w:t>
            </w:r>
          </w:p>
        </w:tc>
        <w:tc>
          <w:tcPr>
            <w:tcW w:w="890" w:type="dxa"/>
            <w:tcBorders>
              <w:top w:val="single" w:sz="8" w:space="0" w:color="000000"/>
            </w:tcBorders>
            <w:tcMar>
              <w:left w:w="0" w:type="dxa"/>
            </w:tcMar>
            <w:vAlign w:val="center"/>
          </w:tcPr>
          <w:p>
            <w:pPr>
              <w:pStyle w:val="TableContents"/>
              <w:bidi w:val="0"/>
              <w:spacing w:before="0" w:after="283"/>
              <w:jc w:val="right"/>
              <w:rPr/>
            </w:pPr>
            <w:r>
              <w:rPr/>
              <w:t> </w:t>
            </w:r>
            <w:r>
              <w:rPr>
                <w:sz w:val="16"/>
              </w:rPr>
              <w:t>16,906,310</w:t>
            </w:r>
          </w:p>
        </w:tc>
        <w:tc>
          <w:tcPr>
            <w:tcW w:w="890" w:type="dxa"/>
            <w:tcBorders>
              <w:top w:val="single" w:sz="8" w:space="0" w:color="000000"/>
              <w:right w:val="single" w:sz="8" w:space="0" w:color="000000"/>
            </w:tcBorders>
            <w:tcMar>
              <w:left w:w="0" w:type="dxa"/>
              <w:right w:w="60" w:type="dxa"/>
            </w:tcMar>
            <w:vAlign w:val="center"/>
          </w:tcPr>
          <w:p>
            <w:pPr>
              <w:pStyle w:val="TableContents"/>
              <w:bidi w:val="0"/>
              <w:spacing w:before="0" w:after="283"/>
              <w:jc w:val="right"/>
              <w:rPr/>
            </w:pPr>
            <w:r>
              <w:rPr/>
              <w:t> </w:t>
            </w:r>
            <w:r>
              <w:rPr>
                <w:sz w:val="16"/>
              </w:rPr>
              <w:t>17,834,543</w:t>
            </w:r>
          </w:p>
        </w:tc>
        <w:tc>
          <w:tcPr>
            <w:tcW w:w="530" w:type="dxa"/>
            <w:tcBorders>
              <w:top w:val="single" w:sz="8" w:space="0" w:color="000000"/>
            </w:tcBorders>
            <w:tcMar>
              <w:left w:w="0" w:type="dxa"/>
            </w:tcMar>
            <w:vAlign w:val="center"/>
          </w:tcPr>
          <w:p>
            <w:pPr>
              <w:pStyle w:val="TableContents"/>
              <w:bidi w:val="0"/>
              <w:spacing w:before="0" w:after="283"/>
              <w:jc w:val="center"/>
              <w:rPr>
                <w:sz w:val="16"/>
              </w:rPr>
            </w:pPr>
            <w:r>
              <w:rPr>
                <w:sz w:val="16"/>
              </w:rPr>
              <w:t>5.5%</w:t>
            </w:r>
          </w:p>
        </w:tc>
        <w:tc>
          <w:tcPr>
            <w:tcW w:w="530" w:type="dxa"/>
            <w:tcBorders>
              <w:top w:val="single" w:sz="8" w:space="0" w:color="000000"/>
              <w:right w:val="single" w:sz="8" w:space="0" w:color="000000"/>
            </w:tcBorders>
            <w:tcMar>
              <w:left w:w="0" w:type="dxa"/>
              <w:right w:w="28" w:type="dxa"/>
            </w:tcMar>
            <w:vAlign w:val="center"/>
          </w:tcPr>
          <w:p>
            <w:pPr>
              <w:pStyle w:val="TableContents"/>
              <w:bidi w:val="0"/>
              <w:spacing w:before="0" w:after="283"/>
              <w:jc w:val="center"/>
              <w:rPr>
                <w:sz w:val="16"/>
              </w:rPr>
            </w:pPr>
            <w:r>
              <w:rPr>
                <w:sz w:val="16"/>
              </w:rPr>
              <w:t>5.1%</w:t>
            </w:r>
          </w:p>
        </w:tc>
      </w:tr>
      <w:tr>
        <w:trPr/>
        <w:tc>
          <w:tcPr>
            <w:tcW w:w="5720"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lineRule="auto" w:line="240" w:before="0" w:after="283"/>
              <w:jc w:val="left"/>
              <w:rPr>
                <w:sz w:val="16"/>
              </w:rPr>
            </w:pPr>
            <w:r>
              <w:rPr>
                <w:sz w:val="16"/>
              </w:rPr>
              <w:t xml:space="preserve">Tier 2 </w:t>
            </w:r>
            <w:r>
              <w:rPr>
                <w:rFonts w:ascii="Arial;Helvetica;Sans-Serif" w:hAnsi="Arial;Helvetica;Sans-Serif"/>
                <w:b w:val="false"/>
                <w:i w:val="false"/>
                <w:caps w:val="false"/>
                <w:smallCaps w:val="false"/>
                <w:sz w:val="16"/>
              </w:rPr>
              <w:t>(6) + Tier 3 (7)</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sz w:val="16"/>
              </w:rPr>
            </w:pPr>
            <w:r>
              <w:rPr>
                <w:sz w:val="16"/>
              </w:rPr>
              <w:t>14,832,035</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sz w:val="16"/>
              </w:rPr>
              <w:t>14,301,339</w:t>
            </w:r>
          </w:p>
        </w:tc>
        <w:tc>
          <w:tcPr>
            <w:tcW w:w="89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sz w:val="16"/>
              </w:rPr>
              <w:t>15,340,224</w:t>
            </w:r>
          </w:p>
        </w:tc>
        <w:tc>
          <w:tcPr>
            <w:tcW w:w="530" w:type="dxa"/>
            <w:tcBorders>
              <w:bottom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7.3%</w:t>
            </w:r>
          </w:p>
        </w:tc>
        <w:tc>
          <w:tcPr>
            <w:tcW w:w="53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sz w:val="16"/>
              </w:rPr>
            </w:pPr>
            <w:r>
              <w:rPr>
                <w:sz w:val="16"/>
              </w:rPr>
              <w:t>3.4%</w:t>
            </w:r>
          </w:p>
        </w:tc>
      </w:tr>
      <w:tr>
        <w:trPr/>
        <w:tc>
          <w:tcPr>
            <w:tcW w:w="5720" w:type="dxa"/>
            <w:tcBorders/>
            <w:tcMar>
              <w:top w:w="0" w:type="dxa"/>
              <w:left w:w="0" w:type="dxa"/>
            </w:tcMar>
            <w:vAlign w:val="center"/>
          </w:tcPr>
          <w:p>
            <w:pPr>
              <w:pStyle w:val="TableContents"/>
              <w:bidi w:val="0"/>
              <w:spacing w:before="0" w:after="283"/>
              <w:jc w:val="left"/>
              <w:rPr/>
            </w:pPr>
            <w:r>
              <w:rPr/>
              <w:t> </w:t>
            </w:r>
          </w:p>
        </w:tc>
        <w:tc>
          <w:tcPr>
            <w:tcW w:w="890" w:type="dxa"/>
            <w:tcBorders/>
            <w:tcMar>
              <w:top w:w="0" w:type="dxa"/>
              <w:left w:w="0" w:type="dxa"/>
            </w:tcMar>
            <w:vAlign w:val="center"/>
          </w:tcPr>
          <w:p>
            <w:pPr>
              <w:pStyle w:val="TableContents"/>
              <w:bidi w:val="0"/>
              <w:spacing w:before="0" w:after="283"/>
              <w:jc w:val="right"/>
              <w:rPr/>
            </w:pPr>
            <w:r>
              <w:rPr/>
              <w:t> </w:t>
            </w:r>
          </w:p>
        </w:tc>
        <w:tc>
          <w:tcPr>
            <w:tcW w:w="890" w:type="dxa"/>
            <w:tcBorders/>
            <w:tcMar>
              <w:top w:w="0" w:type="dxa"/>
              <w:left w:w="0" w:type="dxa"/>
            </w:tcMar>
            <w:vAlign w:val="center"/>
          </w:tcPr>
          <w:p>
            <w:pPr>
              <w:pStyle w:val="TableContents"/>
              <w:bidi w:val="0"/>
              <w:spacing w:before="0" w:after="283"/>
              <w:jc w:val="right"/>
              <w:rPr/>
            </w:pPr>
            <w:r>
              <w:rPr/>
              <w:t> </w:t>
            </w:r>
          </w:p>
        </w:tc>
        <w:tc>
          <w:tcPr>
            <w:tcW w:w="890" w:type="dxa"/>
            <w:tcBorders/>
            <w:tcMar>
              <w:top w:w="0" w:type="dxa"/>
              <w:left w:w="0" w:type="dxa"/>
            </w:tcMar>
            <w:vAlign w:val="center"/>
          </w:tcPr>
          <w:p>
            <w:pPr>
              <w:pStyle w:val="TableContents"/>
              <w:bidi w:val="0"/>
              <w:spacing w:before="0" w:after="283"/>
              <w:jc w:val="right"/>
              <w:rPr/>
            </w:pPr>
            <w:r>
              <w:rPr/>
              <w:t> </w:t>
            </w:r>
          </w:p>
        </w:tc>
        <w:tc>
          <w:tcPr>
            <w:tcW w:w="530" w:type="dxa"/>
            <w:tcBorders/>
            <w:tcMar>
              <w:top w:w="0" w:type="dxa"/>
              <w:left w:w="0" w:type="dxa"/>
            </w:tcMar>
            <w:vAlign w:val="center"/>
          </w:tcPr>
          <w:p>
            <w:pPr>
              <w:pStyle w:val="TableContents"/>
              <w:bidi w:val="0"/>
              <w:spacing w:before="0" w:after="283"/>
              <w:jc w:val="center"/>
              <w:rPr/>
            </w:pPr>
            <w:r>
              <w:rPr/>
              <w:t> </w:t>
            </w:r>
          </w:p>
        </w:tc>
        <w:tc>
          <w:tcPr>
            <w:tcW w:w="530" w:type="dxa"/>
            <w:tcBorders/>
            <w:tcMar>
              <w:top w:w="0" w:type="dxa"/>
              <w:left w:w="0" w:type="dxa"/>
            </w:tcMar>
            <w:vAlign w:val="center"/>
          </w:tcPr>
          <w:p>
            <w:pPr>
              <w:pStyle w:val="TableContents"/>
              <w:bidi w:val="0"/>
              <w:spacing w:before="0" w:after="283"/>
              <w:jc w:val="center"/>
              <w:rPr/>
            </w:pPr>
            <w:r>
              <w:rPr/>
              <w:t> </w:t>
            </w:r>
          </w:p>
        </w:tc>
      </w:tr>
      <w:tr>
        <w:trPr/>
        <w:tc>
          <w:tcPr>
            <w:tcW w:w="5720" w:type="dxa"/>
            <w:tcBorders>
              <w:top w:val="single" w:sz="8" w:space="0" w:color="000000"/>
              <w:left w:val="single" w:sz="8" w:space="0" w:color="000000"/>
              <w:right w:val="single" w:sz="8" w:space="0" w:color="000000"/>
            </w:tcBorders>
            <w:tcMar>
              <w:right w:w="28" w:type="dxa"/>
            </w:tcMar>
            <w:vAlign w:val="center"/>
          </w:tcPr>
          <w:p>
            <w:pPr>
              <w:pStyle w:val="TableContents"/>
              <w:bidi w:val="0"/>
              <w:spacing w:lineRule="auto" w:line="240" w:before="0" w:after="283"/>
              <w:jc w:val="left"/>
              <w:rPr>
                <w:sz w:val="16"/>
              </w:rPr>
            </w:pPr>
            <w:r>
              <w:rPr>
                <w:sz w:val="16"/>
              </w:rPr>
              <w:t xml:space="preserve">Financial Consolidated Group (FCG) Regulatory Capital Requirements </w:t>
            </w:r>
            <w:r>
              <w:rPr>
                <w:rFonts w:ascii="Arial;Helvetica;Sans-Serif" w:hAnsi="Arial;Helvetica;Sans-Serif"/>
                <w:b w:val="false"/>
                <w:i w:val="false"/>
                <w:caps w:val="false"/>
                <w:smallCaps w:val="false"/>
                <w:sz w:val="16"/>
              </w:rPr>
              <w:t>(8)</w:t>
            </w:r>
          </w:p>
        </w:tc>
        <w:tc>
          <w:tcPr>
            <w:tcW w:w="890" w:type="dxa"/>
            <w:tcBorders>
              <w:top w:val="single" w:sz="8" w:space="0" w:color="000000"/>
            </w:tcBorders>
            <w:tcMar>
              <w:left w:w="0" w:type="dxa"/>
            </w:tcMar>
            <w:vAlign w:val="center"/>
          </w:tcPr>
          <w:p>
            <w:pPr>
              <w:pStyle w:val="TableContents"/>
              <w:bidi w:val="0"/>
              <w:spacing w:before="0" w:after="283"/>
              <w:jc w:val="right"/>
              <w:rPr>
                <w:sz w:val="16"/>
              </w:rPr>
            </w:pPr>
            <w:r>
              <w:rPr>
                <w:sz w:val="16"/>
              </w:rPr>
              <w:t>19,270,916</w:t>
            </w:r>
          </w:p>
        </w:tc>
        <w:tc>
          <w:tcPr>
            <w:tcW w:w="890" w:type="dxa"/>
            <w:tcBorders>
              <w:top w:val="single" w:sz="8" w:space="0" w:color="000000"/>
            </w:tcBorders>
            <w:tcMar>
              <w:left w:w="0" w:type="dxa"/>
            </w:tcMar>
            <w:vAlign w:val="center"/>
          </w:tcPr>
          <w:p>
            <w:pPr>
              <w:pStyle w:val="TableContents"/>
              <w:bidi w:val="0"/>
              <w:spacing w:before="0" w:after="283"/>
              <w:jc w:val="right"/>
              <w:rPr/>
            </w:pPr>
            <w:r>
              <w:rPr/>
              <w:t> </w:t>
            </w:r>
            <w:r>
              <w:rPr>
                <w:sz w:val="16"/>
              </w:rPr>
              <w:t>20,915,785</w:t>
            </w:r>
          </w:p>
        </w:tc>
        <w:tc>
          <w:tcPr>
            <w:tcW w:w="890" w:type="dxa"/>
            <w:tcBorders>
              <w:top w:val="single" w:sz="8" w:space="0" w:color="000000"/>
              <w:right w:val="single" w:sz="8" w:space="0" w:color="000000"/>
            </w:tcBorders>
            <w:tcMar>
              <w:left w:w="0" w:type="dxa"/>
              <w:right w:w="60" w:type="dxa"/>
            </w:tcMar>
            <w:vAlign w:val="center"/>
          </w:tcPr>
          <w:p>
            <w:pPr>
              <w:pStyle w:val="TableContents"/>
              <w:bidi w:val="0"/>
              <w:spacing w:before="0" w:after="283"/>
              <w:jc w:val="right"/>
              <w:rPr/>
            </w:pPr>
            <w:r>
              <w:rPr/>
              <w:t> </w:t>
            </w:r>
            <w:r>
              <w:rPr>
                <w:sz w:val="16"/>
              </w:rPr>
              <w:t>21,863,219</w:t>
            </w:r>
          </w:p>
        </w:tc>
        <w:tc>
          <w:tcPr>
            <w:tcW w:w="530" w:type="dxa"/>
            <w:tcBorders>
              <w:top w:val="single" w:sz="8" w:space="0" w:color="000000"/>
            </w:tcBorders>
            <w:tcMar>
              <w:left w:w="0" w:type="dxa"/>
            </w:tcMar>
            <w:vAlign w:val="center"/>
          </w:tcPr>
          <w:p>
            <w:pPr>
              <w:pStyle w:val="TableContents"/>
              <w:bidi w:val="0"/>
              <w:spacing w:before="0" w:after="283"/>
              <w:jc w:val="center"/>
              <w:rPr>
                <w:sz w:val="16"/>
              </w:rPr>
            </w:pPr>
            <w:r>
              <w:rPr>
                <w:sz w:val="16"/>
              </w:rPr>
              <w:t>4.5%</w:t>
            </w:r>
          </w:p>
        </w:tc>
        <w:tc>
          <w:tcPr>
            <w:tcW w:w="530" w:type="dxa"/>
            <w:tcBorders>
              <w:top w:val="single" w:sz="8" w:space="0" w:color="000000"/>
              <w:right w:val="single" w:sz="8" w:space="0" w:color="000000"/>
            </w:tcBorders>
            <w:tcMar>
              <w:left w:w="0" w:type="dxa"/>
              <w:right w:w="28" w:type="dxa"/>
            </w:tcMar>
            <w:vAlign w:val="center"/>
          </w:tcPr>
          <w:p>
            <w:pPr>
              <w:pStyle w:val="TableContents"/>
              <w:bidi w:val="0"/>
              <w:spacing w:before="0" w:after="283"/>
              <w:jc w:val="center"/>
              <w:rPr>
                <w:sz w:val="16"/>
              </w:rPr>
            </w:pPr>
            <w:r>
              <w:rPr>
                <w:sz w:val="16"/>
              </w:rPr>
              <w:t>13.5%</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lineRule="auto" w:line="240" w:before="0" w:after="283"/>
              <w:jc w:val="left"/>
              <w:rPr>
                <w:sz w:val="16"/>
              </w:rPr>
            </w:pPr>
            <w:r>
              <w:rPr>
                <w:sz w:val="16"/>
              </w:rPr>
              <w:t xml:space="preserve">Insurance Consolidated Group (ICG) Capital Requirements </w:t>
            </w:r>
            <w:r>
              <w:rPr>
                <w:rFonts w:ascii="Arial;Helvetica;Sans-Serif" w:hAnsi="Arial;Helvetica;Sans-Serif"/>
                <w:b w:val="false"/>
                <w:i w:val="false"/>
                <w:caps w:val="false"/>
                <w:smallCaps w:val="false"/>
                <w:sz w:val="16"/>
              </w:rPr>
              <w:t>(9)</w:t>
            </w:r>
          </w:p>
        </w:tc>
        <w:tc>
          <w:tcPr>
            <w:tcW w:w="890" w:type="dxa"/>
            <w:tcBorders/>
            <w:tcMar>
              <w:top w:w="0" w:type="dxa"/>
              <w:left w:w="0" w:type="dxa"/>
            </w:tcMar>
            <w:vAlign w:val="center"/>
          </w:tcPr>
          <w:p>
            <w:pPr>
              <w:pStyle w:val="TableContents"/>
              <w:bidi w:val="0"/>
              <w:spacing w:before="0" w:after="283"/>
              <w:jc w:val="right"/>
              <w:rPr>
                <w:sz w:val="16"/>
              </w:rPr>
            </w:pPr>
            <w:r>
              <w:rPr>
                <w:sz w:val="16"/>
              </w:rPr>
              <w:t>1,512,297</w:t>
            </w:r>
          </w:p>
        </w:tc>
        <w:tc>
          <w:tcPr>
            <w:tcW w:w="890" w:type="dxa"/>
            <w:tcBorders/>
            <w:tcMar>
              <w:top w:w="0" w:type="dxa"/>
              <w:left w:w="0" w:type="dxa"/>
            </w:tcMar>
            <w:vAlign w:val="center"/>
          </w:tcPr>
          <w:p>
            <w:pPr>
              <w:pStyle w:val="TableContents"/>
              <w:bidi w:val="0"/>
              <w:spacing w:before="0" w:after="283"/>
              <w:jc w:val="right"/>
              <w:rPr>
                <w:sz w:val="16"/>
              </w:rPr>
            </w:pPr>
            <w:r>
              <w:rPr>
                <w:sz w:val="16"/>
              </w:rPr>
              <w:t>1,406,417</w:t>
            </w:r>
          </w:p>
        </w:tc>
        <w:tc>
          <w:tcPr>
            <w:tcW w:w="890"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1,532,425</w:t>
            </w:r>
          </w:p>
        </w:tc>
        <w:tc>
          <w:tcPr>
            <w:tcW w:w="530" w:type="dxa"/>
            <w:tcBorders/>
            <w:tcMar>
              <w:top w:w="0" w:type="dxa"/>
              <w:left w:w="0" w:type="dxa"/>
            </w:tcMar>
            <w:vAlign w:val="center"/>
          </w:tcPr>
          <w:p>
            <w:pPr>
              <w:pStyle w:val="TableContents"/>
              <w:bidi w:val="0"/>
              <w:spacing w:before="0" w:after="283"/>
              <w:jc w:val="center"/>
              <w:rPr>
                <w:sz w:val="16"/>
              </w:rPr>
            </w:pPr>
            <w:r>
              <w:rPr>
                <w:sz w:val="16"/>
              </w:rPr>
              <w:t>9.0%</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1.3%</w:t>
            </w:r>
          </w:p>
        </w:tc>
      </w:tr>
      <w:tr>
        <w:trPr/>
        <w:tc>
          <w:tcPr>
            <w:tcW w:w="5720" w:type="dxa"/>
            <w:tcBorders>
              <w:left w:val="single" w:sz="8" w:space="0" w:color="000000"/>
              <w:right w:val="single" w:sz="8" w:space="0" w:color="000000"/>
            </w:tcBorders>
            <w:tcMar>
              <w:top w:w="0" w:type="dxa"/>
              <w:right w:w="28" w:type="dxa"/>
            </w:tcMar>
            <w:vAlign w:val="center"/>
          </w:tcPr>
          <w:p>
            <w:pPr>
              <w:pStyle w:val="TableContents"/>
              <w:bidi w:val="0"/>
              <w:spacing w:before="0" w:after="283"/>
              <w:jc w:val="left"/>
              <w:rPr>
                <w:sz w:val="16"/>
              </w:rPr>
            </w:pPr>
            <w:r>
              <w:rPr>
                <w:sz w:val="16"/>
              </w:rPr>
              <w:t>FCG Capital Requirements related to operations with ICG</w:t>
            </w:r>
          </w:p>
        </w:tc>
        <w:tc>
          <w:tcPr>
            <w:tcW w:w="890" w:type="dxa"/>
            <w:tcBorders/>
            <w:tcMar>
              <w:top w:w="0" w:type="dxa"/>
              <w:left w:w="0" w:type="dxa"/>
            </w:tcMar>
            <w:vAlign w:val="center"/>
          </w:tcPr>
          <w:p>
            <w:pPr>
              <w:pStyle w:val="TableContents"/>
              <w:bidi w:val="0"/>
              <w:spacing w:before="0" w:after="283"/>
              <w:jc w:val="right"/>
              <w:rPr>
                <w:sz w:val="16"/>
              </w:rPr>
            </w:pPr>
            <w:r>
              <w:rPr>
                <w:sz w:val="16"/>
              </w:rPr>
              <w:t>(449,113)</w:t>
            </w:r>
          </w:p>
        </w:tc>
        <w:tc>
          <w:tcPr>
            <w:tcW w:w="890" w:type="dxa"/>
            <w:tcBorders/>
            <w:tcMar>
              <w:top w:w="0" w:type="dxa"/>
              <w:left w:w="0" w:type="dxa"/>
            </w:tcMar>
            <w:vAlign w:val="center"/>
          </w:tcPr>
          <w:p>
            <w:pPr>
              <w:pStyle w:val="TableContents"/>
              <w:bidi w:val="0"/>
              <w:spacing w:before="0" w:after="283"/>
              <w:jc w:val="right"/>
              <w:rPr/>
            </w:pPr>
            <w:r>
              <w:rPr/>
              <w:t> </w:t>
            </w:r>
            <w:r>
              <w:rPr>
                <w:sz w:val="16"/>
              </w:rPr>
              <w:t>(518,975)</w:t>
            </w:r>
          </w:p>
        </w:tc>
        <w:tc>
          <w:tcPr>
            <w:tcW w:w="890" w:type="dxa"/>
            <w:tcBorders>
              <w:right w:val="single" w:sz="8" w:space="0" w:color="000000"/>
            </w:tcBorders>
            <w:tcMar>
              <w:top w:w="0" w:type="dxa"/>
              <w:left w:w="0" w:type="dxa"/>
              <w:right w:w="28" w:type="dxa"/>
            </w:tcMar>
            <w:vAlign w:val="center"/>
          </w:tcPr>
          <w:p>
            <w:pPr>
              <w:pStyle w:val="TableContents"/>
              <w:bidi w:val="0"/>
              <w:spacing w:before="0" w:after="283"/>
              <w:jc w:val="right"/>
              <w:rPr/>
            </w:pPr>
            <w:r>
              <w:rPr/>
              <w:t> </w:t>
            </w:r>
            <w:r>
              <w:rPr>
                <w:sz w:val="16"/>
              </w:rPr>
              <w:t>(625,441)</w:t>
            </w:r>
          </w:p>
        </w:tc>
        <w:tc>
          <w:tcPr>
            <w:tcW w:w="530" w:type="dxa"/>
            <w:tcBorders/>
            <w:tcMar>
              <w:top w:w="0" w:type="dxa"/>
              <w:left w:w="0" w:type="dxa"/>
            </w:tcMar>
            <w:vAlign w:val="center"/>
          </w:tcPr>
          <w:p>
            <w:pPr>
              <w:pStyle w:val="TableContents"/>
              <w:bidi w:val="0"/>
              <w:spacing w:before="0" w:after="283"/>
              <w:jc w:val="center"/>
              <w:rPr>
                <w:sz w:val="16"/>
              </w:rPr>
            </w:pPr>
            <w:r>
              <w:rPr>
                <w:sz w:val="16"/>
              </w:rPr>
              <w:t>20.5%</w:t>
            </w:r>
          </w:p>
        </w:tc>
        <w:tc>
          <w:tcPr>
            <w:tcW w:w="530" w:type="dxa"/>
            <w:tcBorders>
              <w:right w:val="single" w:sz="8" w:space="0" w:color="000000"/>
            </w:tcBorders>
            <w:tcMar>
              <w:top w:w="0" w:type="dxa"/>
              <w:left w:w="0" w:type="dxa"/>
              <w:right w:w="28" w:type="dxa"/>
            </w:tcMar>
            <w:vAlign w:val="center"/>
          </w:tcPr>
          <w:p>
            <w:pPr>
              <w:pStyle w:val="TableContents"/>
              <w:bidi w:val="0"/>
              <w:spacing w:before="0" w:after="283"/>
              <w:jc w:val="center"/>
              <w:rPr>
                <w:sz w:val="16"/>
              </w:rPr>
            </w:pPr>
            <w:r>
              <w:rPr>
                <w:sz w:val="16"/>
              </w:rPr>
              <w:t>39.3%</w:t>
            </w:r>
          </w:p>
        </w:tc>
      </w:tr>
      <w:tr>
        <w:trPr/>
        <w:tc>
          <w:tcPr>
            <w:tcW w:w="5720"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sz w:val="16"/>
              </w:rPr>
            </w:pPr>
            <w:r>
              <w:rPr>
                <w:sz w:val="16"/>
              </w:rPr>
              <w:t>ICG Capital Requirements related to operations with FCG </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sz w:val="16"/>
              </w:rPr>
            </w:pPr>
            <w:r>
              <w:rPr>
                <w:sz w:val="16"/>
              </w:rPr>
              <w:t>-</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sz w:val="16"/>
              </w:rPr>
            </w:pPr>
            <w:r>
              <w:rPr>
                <w:sz w:val="16"/>
              </w:rPr>
              <w:t>-</w:t>
            </w:r>
          </w:p>
        </w:tc>
        <w:tc>
          <w:tcPr>
            <w:tcW w:w="89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sz w:val="16"/>
              </w:rPr>
            </w:pPr>
            <w:r>
              <w:rPr>
                <w:sz w:val="16"/>
              </w:rPr>
              <w:t>-</w:t>
            </w:r>
          </w:p>
        </w:tc>
        <w:tc>
          <w:tcPr>
            <w:tcW w:w="530" w:type="dxa"/>
            <w:tcBorders>
              <w:bottom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w:t>
            </w:r>
          </w:p>
        </w:tc>
        <w:tc>
          <w:tcPr>
            <w:tcW w:w="53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sz w:val="16"/>
              </w:rPr>
            </w:pPr>
            <w:r>
              <w:rPr>
                <w:sz w:val="16"/>
              </w:rPr>
              <w:t>-</w:t>
            </w:r>
          </w:p>
        </w:tc>
      </w:tr>
      <w:tr>
        <w:trPr/>
        <w:tc>
          <w:tcPr>
            <w:tcW w:w="5720"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b/>
                <w:sz w:val="16"/>
              </w:rPr>
            </w:pPr>
            <w:r>
              <w:rPr>
                <w:b/>
                <w:sz w:val="16"/>
              </w:rPr>
              <w:t>Total Regulatory Capital Requirements (B)</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b/>
                <w:sz w:val="16"/>
              </w:rPr>
              <w:t>20,334,099</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b/>
                <w:sz w:val="16"/>
              </w:rPr>
              <w:t>21,803,226</w:t>
            </w:r>
          </w:p>
        </w:tc>
        <w:tc>
          <w:tcPr>
            <w:tcW w:w="89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b/>
                <w:sz w:val="16"/>
              </w:rPr>
              <w:t>22,770,203</w:t>
            </w:r>
          </w:p>
        </w:tc>
        <w:tc>
          <w:tcPr>
            <w:tcW w:w="530" w:type="dxa"/>
            <w:tcBorders>
              <w:bottom w:val="single" w:sz="8" w:space="0" w:color="000000"/>
            </w:tcBorders>
            <w:tcMar>
              <w:top w:w="0" w:type="dxa"/>
              <w:left w:w="0" w:type="dxa"/>
              <w:bottom w:w="28" w:type="dxa"/>
            </w:tcMar>
            <w:vAlign w:val="center"/>
          </w:tcPr>
          <w:p>
            <w:pPr>
              <w:pStyle w:val="TableContents"/>
              <w:bidi w:val="0"/>
              <w:spacing w:before="0" w:after="283"/>
              <w:jc w:val="center"/>
              <w:rPr>
                <w:b/>
                <w:sz w:val="16"/>
              </w:rPr>
            </w:pPr>
            <w:r>
              <w:rPr>
                <w:b/>
                <w:sz w:val="16"/>
              </w:rPr>
              <w:t>4.4%</w:t>
            </w:r>
          </w:p>
        </w:tc>
        <w:tc>
          <w:tcPr>
            <w:tcW w:w="53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center"/>
              <w:rPr>
                <w:b/>
                <w:sz w:val="16"/>
              </w:rPr>
            </w:pPr>
            <w:r>
              <w:rPr>
                <w:b/>
                <w:sz w:val="16"/>
              </w:rPr>
              <w:t>12.0%</w:t>
            </w:r>
          </w:p>
        </w:tc>
      </w:tr>
      <w:tr>
        <w:trPr/>
        <w:tc>
          <w:tcPr>
            <w:tcW w:w="5720"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before="0" w:after="283"/>
              <w:jc w:val="left"/>
              <w:rPr>
                <w:b/>
                <w:sz w:val="16"/>
              </w:rPr>
            </w:pPr>
            <w:r>
              <w:rPr>
                <w:b/>
                <w:sz w:val="16"/>
              </w:rPr>
              <w:t>Regulatory Capital Ratio (A) / (B)</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b/>
                <w:sz w:val="16"/>
              </w:rPr>
            </w:pPr>
            <w:r>
              <w:rPr>
                <w:b/>
                <w:sz w:val="16"/>
              </w:rPr>
              <w:t>1.56</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b/>
                <w:sz w:val="16"/>
              </w:rPr>
              <w:t>1.43</w:t>
            </w:r>
          </w:p>
        </w:tc>
        <w:tc>
          <w:tcPr>
            <w:tcW w:w="89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b/>
                <w:sz w:val="16"/>
              </w:rPr>
              <w:t>1.46</w:t>
            </w:r>
          </w:p>
        </w:tc>
        <w:tc>
          <w:tcPr>
            <w:tcW w:w="530" w:type="dxa"/>
            <w:tcBorders/>
            <w:tcMar>
              <w:top w:w="0" w:type="dxa"/>
              <w:left w:w="0" w:type="dxa"/>
            </w:tcMar>
            <w:vAlign w:val="center"/>
          </w:tcPr>
          <w:p>
            <w:pPr>
              <w:pStyle w:val="TableContents"/>
              <w:bidi w:val="0"/>
              <w:spacing w:before="0" w:after="283"/>
              <w:jc w:val="right"/>
              <w:rPr/>
            </w:pPr>
            <w:r>
              <w:rPr/>
              <w:t> </w:t>
            </w:r>
          </w:p>
        </w:tc>
        <w:tc>
          <w:tcPr>
            <w:tcW w:w="530" w:type="dxa"/>
            <w:tcBorders/>
            <w:tcMar>
              <w:top w:w="0" w:type="dxa"/>
              <w:left w:w="0" w:type="dxa"/>
            </w:tcMar>
            <w:vAlign w:val="center"/>
          </w:tcPr>
          <w:p>
            <w:pPr>
              <w:pStyle w:val="TableContents"/>
              <w:bidi w:val="0"/>
              <w:spacing w:before="0" w:after="283"/>
              <w:jc w:val="left"/>
              <w:rPr/>
            </w:pPr>
            <w:r>
              <w:rPr/>
              <w:t> </w:t>
            </w:r>
          </w:p>
        </w:tc>
      </w:tr>
      <w:tr>
        <w:trPr/>
        <w:tc>
          <w:tcPr>
            <w:tcW w:w="5720" w:type="dxa"/>
            <w:tcBorders>
              <w:left w:val="single" w:sz="8" w:space="0" w:color="000000"/>
              <w:bottom w:val="single" w:sz="8" w:space="0" w:color="000000"/>
              <w:right w:val="single" w:sz="8" w:space="0" w:color="000000"/>
            </w:tcBorders>
            <w:tcMar>
              <w:top w:w="0" w:type="dxa"/>
              <w:bottom w:w="28" w:type="dxa"/>
              <w:right w:w="28" w:type="dxa"/>
            </w:tcMar>
            <w:vAlign w:val="center"/>
          </w:tcPr>
          <w:p>
            <w:pPr>
              <w:pStyle w:val="TableContents"/>
              <w:bidi w:val="0"/>
              <w:spacing w:lineRule="auto" w:line="240" w:before="0" w:after="283"/>
              <w:jc w:val="left"/>
              <w:rPr>
                <w:b/>
                <w:sz w:val="16"/>
              </w:rPr>
            </w:pPr>
            <w:r>
              <w:rPr>
                <w:b/>
                <w:sz w:val="16"/>
              </w:rPr>
              <w:t xml:space="preserve">Required Regulatory Capital Ratio </w:t>
            </w:r>
            <w:r>
              <w:rPr>
                <w:rFonts w:ascii="Arial;Helvetica;Sans-Serif" w:hAnsi="Arial;Helvetica;Sans-Serif"/>
                <w:b w:val="false"/>
                <w:i w:val="false"/>
                <w:caps w:val="false"/>
                <w:smallCaps w:val="false"/>
                <w:sz w:val="16"/>
              </w:rPr>
              <w:t>(10)</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b/>
                <w:sz w:val="16"/>
              </w:rPr>
            </w:pPr>
            <w:r>
              <w:rPr>
                <w:b/>
                <w:sz w:val="16"/>
              </w:rPr>
              <w:t>1.00</w:t>
            </w:r>
          </w:p>
        </w:tc>
        <w:tc>
          <w:tcPr>
            <w:tcW w:w="890"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b/>
                <w:sz w:val="16"/>
              </w:rPr>
              <w:t>1.00</w:t>
            </w:r>
          </w:p>
        </w:tc>
        <w:tc>
          <w:tcPr>
            <w:tcW w:w="89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b/>
                <w:sz w:val="16"/>
              </w:rPr>
              <w:t>1.00</w:t>
            </w:r>
          </w:p>
        </w:tc>
        <w:tc>
          <w:tcPr>
            <w:tcW w:w="530" w:type="dxa"/>
            <w:tcBorders/>
            <w:tcMar>
              <w:top w:w="0" w:type="dxa"/>
              <w:left w:w="0" w:type="dxa"/>
            </w:tcMar>
            <w:vAlign w:val="center"/>
          </w:tcPr>
          <w:p>
            <w:pPr>
              <w:pStyle w:val="TableContents"/>
              <w:bidi w:val="0"/>
              <w:spacing w:before="0" w:after="283"/>
              <w:jc w:val="right"/>
              <w:rPr/>
            </w:pPr>
            <w:r>
              <w:rPr/>
              <w:t> </w:t>
            </w:r>
          </w:p>
        </w:tc>
        <w:tc>
          <w:tcPr>
            <w:tcW w:w="530" w:type="dxa"/>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Legal and other capital reserves include restricted capital reserves (PEN 14,745 million) and optional capital reserves (PEN 6,661 million).</w:t>
        <w:br/>
        <w:t>(2) Minority interest includes Tier I (PEN 421 million)</w:t>
        <w:br/>
        <w:t>(3) Up to 1.25% of total risk-weighted assets of Banco de Credito del Peru, Solucion Empresa Administradora Hipotecaria, Mibanco and ASB Bank Corp.</w:t>
        <w:br/>
        <w:t>(4) Tier II + Tier III cannot be more than 50% of total regulatory capital.</w:t>
        <w:br/>
        <w:t>(5) Tier I = capital + restricted capital reserves + Tier I minority interest - goodwill - (0.5 x investment in equity and subordinated debt of financial and insurance companies) + perpetual subordinated debt.</w:t>
        <w:br/>
        <w:t>(6) Tier II = subordinated debt + Tier II minority interest tier + loan loss reserves - (0.5 x investment in equity and subordinated debt of financial and insurance companies).</w:t>
        <w:br/>
        <w:t xml:space="preserve">(7) Tier III = Subordinated debt covering market risk only. </w:t>
        <w:br/>
        <w:t>(8) Includes regulatory capital requirements of the financial consolidated group.</w:t>
        <w:br/>
        <w:t>(9) Includes regulatory capital requirements of the insurance consolidated group.</w:t>
        <w:br/>
        <w:t>(10) Regulatory Capital / Total Regulatory Capital Requirements (legal minimum =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59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8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26" descr=""/>
                          <pic:cNvPicPr>
                            <a:picLocks noChangeAspect="1" noChangeArrowheads="1"/>
                          </pic:cNvPicPr>
                        </pic:nvPicPr>
                        <pic:blipFill>
                          <a:blip r:embed="rId145"/>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Regulatory and Capital Adequacy Ratios at BCP Stand-alone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(under current regulation as of January 2023)</w:t>
      </w:r>
    </w:p>
    <w:tbl>
      <w:tblPr>
        <w:tblW w:w="10205" w:type="dxa"/>
        <w:jc w:val="center"/>
        <w:tblInd w:w="0" w:type="dxa"/>
        <w:tblLayout w:type="fixed"/>
        <w:tblCellMar>
          <w:top w:w="28" w:type="dxa"/>
          <w:left w:w="28" w:type="dxa"/>
          <w:bottom w:w="0" w:type="dxa"/>
          <w:right w:w="0" w:type="dxa"/>
        </w:tblCellMar>
      </w:tblPr>
      <w:tblGrid>
        <w:gridCol w:w="5851"/>
        <w:gridCol w:w="2195"/>
        <w:gridCol w:w="1355"/>
        <w:gridCol w:w="804"/>
      </w:tblGrid>
      <w:tr>
        <w:trPr/>
        <w:tc>
          <w:tcPr>
            <w:tcW w:w="5851" w:type="dxa"/>
            <w:tcBorders>
              <w:top w:val="single" w:sz="8" w:space="0" w:color="000000"/>
              <w:left w:val="single" w:sz="8" w:space="0" w:color="000000"/>
            </w:tcBorders>
            <w:shd w:fill="2AD2C9" w:val="clear"/>
            <w:vAlign w:val="center"/>
          </w:tcPr>
          <w:p>
            <w:pPr>
              <w:pStyle w:val="TableContents"/>
              <w:bidi w:val="0"/>
              <w:spacing w:before="0" w:after="283"/>
              <w:jc w:val="left"/>
              <w:rPr>
                <w:color w:val="FFFFFF"/>
              </w:rPr>
            </w:pPr>
            <w:r>
              <w:rPr>
                <w:color w:val="FFFFFF"/>
              </w:rPr>
              <w:t> </w:t>
            </w:r>
          </w:p>
        </w:tc>
        <w:tc>
          <w:tcPr>
            <w:tcW w:w="2195" w:type="dxa"/>
            <w:vMerge w:val="restart"/>
            <w:tcBorders>
              <w:top w:val="single" w:sz="8" w:space="0" w:color="000000"/>
              <w:left w:val="single" w:sz="8" w:space="0" w:color="000000"/>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Mar 23</w:t>
            </w:r>
          </w:p>
        </w:tc>
        <w:tc>
          <w:tcPr>
            <w:tcW w:w="1355" w:type="dxa"/>
            <w:vMerge w:val="restart"/>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804" w:type="dxa"/>
            <w:vMerge w:val="restart"/>
            <w:tcBorders>
              <w:top w:val="single" w:sz="8" w:space="0" w:color="000000"/>
              <w:bottom w:val="single" w:sz="8" w:space="0" w:color="000000"/>
              <w:right w:val="single" w:sz="8" w:space="0" w:color="000000"/>
            </w:tcBorders>
            <w:shd w:fill="2AD2C9" w:val="clear"/>
            <w:tcMar>
              <w:left w:w="0" w:type="dxa"/>
              <w:bottom w:w="28" w:type="dxa"/>
              <w:right w:w="28" w:type="dxa"/>
            </w:tcMar>
            <w:vAlign w:val="center"/>
          </w:tcPr>
          <w:p>
            <w:pPr>
              <w:pStyle w:val="TableContents"/>
              <w:bidi w:val="0"/>
              <w:spacing w:before="0" w:after="283"/>
              <w:jc w:val="center"/>
              <w:rPr>
                <w:b/>
                <w:color w:val="FFFFFF"/>
                <w:sz w:val="16"/>
              </w:rPr>
            </w:pPr>
            <w:r>
              <w:rPr>
                <w:b/>
                <w:color w:val="FFFFFF"/>
                <w:sz w:val="16"/>
              </w:rPr>
              <w:t xml:space="preserve">Change % </w:t>
              <w:br/>
              <w:t>QoQ</w:t>
            </w:r>
          </w:p>
        </w:tc>
      </w:tr>
      <w:tr>
        <w:trPr/>
        <w:tc>
          <w:tcPr>
            <w:tcW w:w="5851" w:type="dxa"/>
            <w:tcBorders>
              <w:left w:val="single" w:sz="8" w:space="0" w:color="000000"/>
            </w:tcBorders>
            <w:shd w:fill="2AD2C9" w:val="clear"/>
            <w:tcMar>
              <w:top w:w="0" w:type="dxa"/>
            </w:tcMar>
            <w:vAlign w:val="center"/>
          </w:tcPr>
          <w:p>
            <w:pPr>
              <w:pStyle w:val="TableContents"/>
              <w:bidi w:val="0"/>
              <w:spacing w:before="0" w:after="283"/>
              <w:jc w:val="left"/>
              <w:rPr>
                <w:b/>
                <w:color w:val="FFFFFF"/>
                <w:sz w:val="16"/>
              </w:rPr>
            </w:pPr>
            <w:r>
              <w:rPr>
                <w:b/>
                <w:color w:val="FFFFFF"/>
                <w:sz w:val="16"/>
              </w:rPr>
              <w:t>Regulatory Capital</w:t>
            </w:r>
          </w:p>
        </w:tc>
        <w:tc>
          <w:tcPr>
            <w:tcW w:w="2195" w:type="dxa"/>
            <w:vMerge w:val="continue"/>
            <w:tcBorders>
              <w:top w:val="single" w:sz="8" w:space="0" w:color="000000"/>
              <w:left w:val="single" w:sz="8" w:space="0" w:color="000000"/>
              <w:bottom w:val="single" w:sz="8" w:space="0" w:color="000000"/>
            </w:tcBorders>
            <w:shd w:fill="2AD2C9" w:val="clear"/>
            <w:tcMar>
              <w:bottom w:w="28" w:type="dxa"/>
            </w:tcMar>
            <w:vAlign w:val="center"/>
          </w:tcPr>
          <w:p>
            <w:pPr>
              <w:pStyle w:val="Normal"/>
              <w:bidi w:val="0"/>
              <w:jc w:val="left"/>
              <w:rPr/>
            </w:pPr>
            <w:r>
              <w:rPr/>
            </w:r>
          </w:p>
        </w:tc>
        <w:tc>
          <w:tcPr>
            <w:tcW w:w="1355" w:type="dxa"/>
            <w:vMerge w:val="continue"/>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Normal"/>
              <w:bidi w:val="0"/>
              <w:jc w:val="left"/>
              <w:rPr/>
            </w:pPr>
            <w:r>
              <w:rPr/>
            </w:r>
          </w:p>
        </w:tc>
        <w:tc>
          <w:tcPr>
            <w:tcW w:w="804" w:type="dxa"/>
            <w:vMerge w:val="continue"/>
            <w:tcBorders>
              <w:top w:val="single" w:sz="8" w:space="0" w:color="000000"/>
              <w:bottom w:val="single" w:sz="8" w:space="0" w:color="000000"/>
              <w:right w:val="single" w:sz="8" w:space="0" w:color="000000"/>
            </w:tcBorders>
            <w:shd w:fill="2AD2C9" w:val="clear"/>
            <w:tcMar>
              <w:left w:w="0" w:type="dxa"/>
              <w:bottom w:w="28" w:type="dxa"/>
              <w:right w:w="28" w:type="dxa"/>
            </w:tcMar>
            <w:vAlign w:val="center"/>
          </w:tcPr>
          <w:p>
            <w:pPr>
              <w:pStyle w:val="Normal"/>
              <w:bidi w:val="0"/>
              <w:jc w:val="left"/>
              <w:rPr/>
            </w:pPr>
            <w:r>
              <w:rPr/>
            </w:r>
          </w:p>
        </w:tc>
      </w:tr>
      <w:tr>
        <w:trPr/>
        <w:tc>
          <w:tcPr>
            <w:tcW w:w="5851"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color w:val="FFFFFF"/>
              </w:rPr>
            </w:pPr>
            <w:r>
              <w:rPr>
                <w:color w:val="FFFFFF"/>
              </w:rPr>
              <w:t> </w:t>
            </w:r>
            <w:r>
              <w:rPr>
                <w:color w:val="FFFFFF"/>
                <w:sz w:val="16"/>
              </w:rPr>
              <w:t>(S/ thousand)</w:t>
            </w:r>
          </w:p>
        </w:tc>
        <w:tc>
          <w:tcPr>
            <w:tcW w:w="2195" w:type="dxa"/>
            <w:vMerge w:val="continue"/>
            <w:tcBorders>
              <w:top w:val="single" w:sz="8" w:space="0" w:color="000000"/>
              <w:left w:val="single" w:sz="8" w:space="0" w:color="000000"/>
              <w:bottom w:val="single" w:sz="8" w:space="0" w:color="000000"/>
            </w:tcBorders>
            <w:shd w:fill="2AD2C9" w:val="clear"/>
            <w:tcMar>
              <w:bottom w:w="28" w:type="dxa"/>
            </w:tcMar>
            <w:vAlign w:val="center"/>
          </w:tcPr>
          <w:p>
            <w:pPr>
              <w:pStyle w:val="Normal"/>
              <w:bidi w:val="0"/>
              <w:jc w:val="left"/>
              <w:rPr/>
            </w:pPr>
            <w:r>
              <w:rPr/>
            </w:r>
          </w:p>
        </w:tc>
        <w:tc>
          <w:tcPr>
            <w:tcW w:w="1355" w:type="dxa"/>
            <w:vMerge w:val="continue"/>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Normal"/>
              <w:bidi w:val="0"/>
              <w:jc w:val="left"/>
              <w:rPr/>
            </w:pPr>
            <w:r>
              <w:rPr/>
            </w:r>
          </w:p>
        </w:tc>
        <w:tc>
          <w:tcPr>
            <w:tcW w:w="804" w:type="dxa"/>
            <w:vMerge w:val="continue"/>
            <w:tcBorders>
              <w:top w:val="single" w:sz="8" w:space="0" w:color="000000"/>
              <w:bottom w:val="single" w:sz="8" w:space="0" w:color="000000"/>
              <w:right w:val="single" w:sz="8" w:space="0" w:color="000000"/>
            </w:tcBorders>
            <w:shd w:fill="2AD2C9" w:val="clear"/>
            <w:tcMar>
              <w:left w:w="0" w:type="dxa"/>
              <w:bottom w:w="28" w:type="dxa"/>
              <w:right w:w="28" w:type="dxa"/>
            </w:tcMar>
            <w:vAlign w:val="center"/>
          </w:tcPr>
          <w:p>
            <w:pPr>
              <w:pStyle w:val="Normal"/>
              <w:bidi w:val="0"/>
              <w:jc w:val="left"/>
              <w:rPr/>
            </w:pPr>
            <w:r>
              <w:rPr/>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Capital Stock</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12,973,175</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12,973,175</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N/A</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Reserves</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7,038,881</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7,039,359</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N/A</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Accumulated earnings</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2,050,746</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3,346,790</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63.2%</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Loan loss reserves (1)</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1,634,876</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1,625,735</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-0.6%</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Perpetual subordinated debt</w:t>
            </w:r>
          </w:p>
        </w:tc>
        <w:tc>
          <w:tcPr>
            <w:tcW w:w="2195" w:type="dxa"/>
            <w:tcBorders>
              <w:left w:val="single" w:sz="8" w:space="0" w:color="000000"/>
            </w:tcBorders>
            <w:shd w:fill="FFFFFF" w:val="clear"/>
            <w:tcMar>
              <w:top w:w="0" w:type="dxa"/>
            </w:tcMar>
            <w:vAlign w:val="center"/>
          </w:tcPr>
          <w:p>
            <w:pPr>
              <w:pStyle w:val="TableContents"/>
              <w:bidi w:val="0"/>
              <w:spacing w:before="0" w:after="283"/>
              <w:jc w:val="center"/>
              <w:rPr/>
            </w:pPr>
            <w:r>
              <w:rPr/>
              <w:t>                                 </w:t>
            </w:r>
            <w:r>
              <w:rPr>
                <w:sz w:val="16"/>
              </w:rPr>
              <w:t>-   </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pPr>
            <w:r>
              <w:rPr/>
              <w:t>                   </w:t>
            </w:r>
            <w:r>
              <w:rPr>
                <w:sz w:val="16"/>
              </w:rPr>
              <w:t>-   </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N/A</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Subordinated Debt</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5,078,700</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4,897,800</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-3.6%</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Unrealized Profit or Losses</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(1,046,284)</w:t>
            </w:r>
          </w:p>
        </w:tc>
        <w:tc>
          <w:tcPr>
            <w:tcW w:w="135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right"/>
              <w:rPr/>
            </w:pPr>
            <w:r>
              <w:rPr/>
              <w:t>       </w:t>
            </w:r>
            <w:r>
              <w:rPr>
                <w:sz w:val="16"/>
              </w:rPr>
              <w:t>(834,411)</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-20.3%</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Investment in subsidiaries and others, net of unrealized profit and net income in subsidiaries</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(2,613,563)</w:t>
            </w:r>
          </w:p>
        </w:tc>
        <w:tc>
          <w:tcPr>
            <w:tcW w:w="135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right"/>
              <w:rPr/>
            </w:pPr>
            <w:r>
              <w:rPr/>
              <w:t>   </w:t>
            </w:r>
            <w:r>
              <w:rPr>
                <w:sz w:val="16"/>
              </w:rPr>
              <w:t>(2,667,540)</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2.1%</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Intangibles</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(934,718)</w:t>
            </w:r>
          </w:p>
        </w:tc>
        <w:tc>
          <w:tcPr>
            <w:tcW w:w="135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right"/>
              <w:rPr/>
            </w:pPr>
            <w:r>
              <w:rPr/>
              <w:t>   </w:t>
            </w:r>
            <w:r>
              <w:rPr>
                <w:sz w:val="16"/>
              </w:rPr>
              <w:t>(1,036,167)</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10.9%</w:t>
            </w:r>
          </w:p>
        </w:tc>
      </w:tr>
      <w:tr>
        <w:trPr/>
        <w:tc>
          <w:tcPr>
            <w:tcW w:w="5851"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sz w:val="16"/>
              </w:rPr>
            </w:pPr>
            <w:r>
              <w:rPr>
                <w:sz w:val="16"/>
              </w:rPr>
              <w:t>Goodwill</w:t>
            </w:r>
          </w:p>
        </w:tc>
        <w:tc>
          <w:tcPr>
            <w:tcW w:w="21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pPr>
            <w:r>
              <w:rPr/>
              <w:t>                    </w:t>
            </w:r>
            <w:r>
              <w:rPr>
                <w:sz w:val="16"/>
              </w:rPr>
              <w:t>(122,083)</w:t>
            </w:r>
          </w:p>
        </w:tc>
        <w:tc>
          <w:tcPr>
            <w:tcW w:w="1355"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right"/>
              <w:rPr/>
            </w:pPr>
            <w:r>
              <w:rPr/>
              <w:t>       </w:t>
            </w:r>
            <w:r>
              <w:rPr>
                <w:sz w:val="16"/>
              </w:rPr>
              <w:t>(122,083)</w:t>
            </w:r>
          </w:p>
        </w:tc>
        <w:tc>
          <w:tcPr>
            <w:tcW w:w="804"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sz w:val="16"/>
              </w:rPr>
            </w:pPr>
            <w:r>
              <w:rPr>
                <w:sz w:val="16"/>
              </w:rPr>
              <w:t>N/A</w:t>
            </w:r>
          </w:p>
        </w:tc>
      </w:tr>
      <w:tr>
        <w:trPr/>
        <w:tc>
          <w:tcPr>
            <w:tcW w:w="5851"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b/>
                <w:sz w:val="16"/>
              </w:rPr>
            </w:pPr>
            <w:r>
              <w:rPr>
                <w:b/>
                <w:sz w:val="16"/>
              </w:rPr>
              <w:t>Total Regulatory Capital</w:t>
            </w:r>
          </w:p>
        </w:tc>
        <w:tc>
          <w:tcPr>
            <w:tcW w:w="21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b/>
                <w:sz w:val="16"/>
              </w:rPr>
            </w:pPr>
            <w:r>
              <w:rPr>
                <w:b/>
                <w:sz w:val="16"/>
              </w:rPr>
              <w:t>24,059,729</w:t>
            </w:r>
          </w:p>
        </w:tc>
        <w:tc>
          <w:tcPr>
            <w:tcW w:w="1355"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b/>
                <w:sz w:val="16"/>
              </w:rPr>
            </w:pPr>
            <w:r>
              <w:rPr>
                <w:b/>
                <w:sz w:val="16"/>
              </w:rPr>
              <w:t>25,222,659</w:t>
            </w:r>
          </w:p>
        </w:tc>
        <w:tc>
          <w:tcPr>
            <w:tcW w:w="804"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b/>
                <w:sz w:val="16"/>
              </w:rPr>
            </w:pPr>
            <w:r>
              <w:rPr>
                <w:b/>
                <w:sz w:val="16"/>
              </w:rPr>
              <w:t>4.8%</w:t>
            </w:r>
          </w:p>
        </w:tc>
      </w:tr>
      <w:tr>
        <w:trPr/>
        <w:tc>
          <w:tcPr>
            <w:tcW w:w="5851"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b/>
                <w:sz w:val="16"/>
              </w:rPr>
            </w:pPr>
            <w:r>
              <w:rPr>
                <w:b/>
                <w:sz w:val="16"/>
              </w:rPr>
              <w:t>Tier 1 Common Equity (2)</w:t>
            </w:r>
          </w:p>
        </w:tc>
        <w:tc>
          <w:tcPr>
            <w:tcW w:w="21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b/>
                <w:sz w:val="16"/>
              </w:rPr>
            </w:pPr>
            <w:r>
              <w:rPr>
                <w:b/>
                <w:sz w:val="16"/>
              </w:rPr>
              <w:t>17,346,153</w:t>
            </w:r>
          </w:p>
        </w:tc>
        <w:tc>
          <w:tcPr>
            <w:tcW w:w="1355"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b/>
                <w:sz w:val="16"/>
              </w:rPr>
            </w:pPr>
            <w:r>
              <w:rPr>
                <w:b/>
                <w:sz w:val="16"/>
              </w:rPr>
              <w:t>18,699,124</w:t>
            </w:r>
          </w:p>
        </w:tc>
        <w:tc>
          <w:tcPr>
            <w:tcW w:w="804"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b/>
                <w:sz w:val="16"/>
              </w:rPr>
            </w:pPr>
            <w:r>
              <w:rPr>
                <w:b/>
                <w:sz w:val="16"/>
              </w:rPr>
              <w:t>7.8%</w:t>
            </w:r>
          </w:p>
        </w:tc>
      </w:tr>
      <w:tr>
        <w:trPr/>
        <w:tc>
          <w:tcPr>
            <w:tcW w:w="5851"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b/>
                <w:sz w:val="16"/>
              </w:rPr>
            </w:pPr>
            <w:r>
              <w:rPr>
                <w:b/>
                <w:sz w:val="16"/>
              </w:rPr>
              <w:t>Regulatory Tier 1 Capital (3)</w:t>
            </w:r>
          </w:p>
        </w:tc>
        <w:tc>
          <w:tcPr>
            <w:tcW w:w="21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b/>
                <w:sz w:val="16"/>
              </w:rPr>
            </w:pPr>
            <w:r>
              <w:rPr>
                <w:b/>
                <w:sz w:val="16"/>
              </w:rPr>
              <w:t>17,346,153</w:t>
            </w:r>
          </w:p>
        </w:tc>
        <w:tc>
          <w:tcPr>
            <w:tcW w:w="1355"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b/>
                <w:sz w:val="16"/>
              </w:rPr>
            </w:pPr>
            <w:r>
              <w:rPr>
                <w:b/>
                <w:sz w:val="16"/>
              </w:rPr>
              <w:t>18,699,124</w:t>
            </w:r>
          </w:p>
        </w:tc>
        <w:tc>
          <w:tcPr>
            <w:tcW w:w="804"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b/>
                <w:sz w:val="16"/>
              </w:rPr>
            </w:pPr>
            <w:r>
              <w:rPr>
                <w:b/>
                <w:sz w:val="16"/>
              </w:rPr>
              <w:t>7.8%</w:t>
            </w:r>
          </w:p>
        </w:tc>
      </w:tr>
      <w:tr>
        <w:trPr/>
        <w:tc>
          <w:tcPr>
            <w:tcW w:w="5851"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b/>
                <w:sz w:val="16"/>
              </w:rPr>
            </w:pPr>
            <w:r>
              <w:rPr>
                <w:b/>
                <w:sz w:val="16"/>
              </w:rPr>
              <w:t>Regulatory Tier 2 Capital (4)</w:t>
            </w:r>
          </w:p>
        </w:tc>
        <w:tc>
          <w:tcPr>
            <w:tcW w:w="21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b/>
                <w:sz w:val="16"/>
              </w:rPr>
            </w:pPr>
            <w:r>
              <w:rPr>
                <w:b/>
                <w:sz w:val="16"/>
              </w:rPr>
              <w:t>6,713,576</w:t>
            </w:r>
          </w:p>
        </w:tc>
        <w:tc>
          <w:tcPr>
            <w:tcW w:w="1355"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b/>
                <w:sz w:val="16"/>
              </w:rPr>
            </w:pPr>
            <w:r>
              <w:rPr>
                <w:b/>
                <w:sz w:val="16"/>
              </w:rPr>
              <w:t>6,523,535</w:t>
            </w:r>
          </w:p>
        </w:tc>
        <w:tc>
          <w:tcPr>
            <w:tcW w:w="804"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b/>
                <w:sz w:val="16"/>
              </w:rPr>
            </w:pPr>
            <w:r>
              <w:rPr>
                <w:b/>
                <w:sz w:val="16"/>
              </w:rPr>
              <w:t>-2.8%</w:t>
            </w:r>
          </w:p>
        </w:tc>
      </w:tr>
      <w:tr>
        <w:trPr/>
        <w:tc>
          <w:tcPr>
            <w:tcW w:w="5851" w:type="dxa"/>
            <w:tcBorders/>
            <w:shd w:fill="FFFFFF" w:val="clear"/>
            <w:tcMar>
              <w:top w:w="0" w:type="dxa"/>
              <w:left w:w="0" w:type="dxa"/>
            </w:tcMar>
            <w:vAlign w:val="center"/>
          </w:tcPr>
          <w:p>
            <w:pPr>
              <w:pStyle w:val="TableContents"/>
              <w:bidi w:val="0"/>
              <w:spacing w:before="0" w:after="283"/>
              <w:jc w:val="left"/>
              <w:rPr/>
            </w:pPr>
            <w:r>
              <w:rPr/>
              <w:t> </w:t>
            </w:r>
          </w:p>
        </w:tc>
        <w:tc>
          <w:tcPr>
            <w:tcW w:w="2195" w:type="dxa"/>
            <w:tcBorders/>
            <w:shd w:fill="FFFFFF" w:val="clear"/>
            <w:tcMar>
              <w:top w:w="0" w:type="dxa"/>
              <w:left w:w="0" w:type="dxa"/>
            </w:tcMar>
            <w:vAlign w:val="center"/>
          </w:tcPr>
          <w:p>
            <w:pPr>
              <w:pStyle w:val="TableContents"/>
              <w:bidi w:val="0"/>
              <w:spacing w:before="0" w:after="283"/>
              <w:jc w:val="center"/>
              <w:rPr/>
            </w:pPr>
            <w:r>
              <w:rPr/>
              <w:t> </w:t>
            </w:r>
          </w:p>
        </w:tc>
        <w:tc>
          <w:tcPr>
            <w:tcW w:w="1355" w:type="dxa"/>
            <w:tcBorders/>
            <w:tcMar>
              <w:top w:w="0" w:type="dxa"/>
              <w:left w:w="0" w:type="dxa"/>
            </w:tcMar>
            <w:vAlign w:val="center"/>
          </w:tcPr>
          <w:p>
            <w:pPr>
              <w:pStyle w:val="TableContents"/>
              <w:bidi w:val="0"/>
              <w:spacing w:before="0" w:after="283"/>
              <w:jc w:val="left"/>
              <w:rPr/>
            </w:pPr>
            <w:r>
              <w:rPr/>
              <w:t> </w:t>
            </w:r>
          </w:p>
        </w:tc>
        <w:tc>
          <w:tcPr>
            <w:tcW w:w="804" w:type="dxa"/>
            <w:tcBorders/>
            <w:tcMar>
              <w:top w:w="0" w:type="dxa"/>
              <w:left w:w="0" w:type="dxa"/>
            </w:tcMar>
            <w:vAlign w:val="center"/>
          </w:tcPr>
          <w:p>
            <w:pPr>
              <w:pStyle w:val="TableContents"/>
              <w:bidi w:val="0"/>
              <w:spacing w:before="0" w:after="283"/>
              <w:jc w:val="left"/>
              <w:rPr/>
            </w:pPr>
            <w:r>
              <w:rPr/>
              <w:t> </w:t>
            </w:r>
          </w:p>
        </w:tc>
      </w:tr>
      <w:tr>
        <w:trPr/>
        <w:tc>
          <w:tcPr>
            <w:tcW w:w="5851" w:type="dxa"/>
            <w:tcBorders>
              <w:top w:val="single" w:sz="8" w:space="0" w:color="000000"/>
              <w:left w:val="single" w:sz="8" w:space="0" w:color="000000"/>
            </w:tcBorders>
            <w:shd w:fill="2AD2C9" w:val="clear"/>
            <w:vAlign w:val="center"/>
          </w:tcPr>
          <w:p>
            <w:pPr>
              <w:pStyle w:val="TableContents"/>
              <w:bidi w:val="0"/>
              <w:spacing w:before="0" w:after="283"/>
              <w:jc w:val="left"/>
              <w:rPr>
                <w:b/>
                <w:color w:val="FFFFFF"/>
                <w:sz w:val="16"/>
              </w:rPr>
            </w:pPr>
            <w:r>
              <w:rPr>
                <w:b/>
                <w:color w:val="FFFFFF"/>
                <w:sz w:val="16"/>
              </w:rPr>
              <w:t>Total risk-weighted assets</w:t>
            </w:r>
          </w:p>
        </w:tc>
        <w:tc>
          <w:tcPr>
            <w:tcW w:w="2195" w:type="dxa"/>
            <w:vMerge w:val="restart"/>
            <w:tcBorders>
              <w:top w:val="single" w:sz="8" w:space="0" w:color="000000"/>
              <w:left w:val="single" w:sz="8" w:space="0" w:color="000000"/>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Mar 23</w:t>
            </w:r>
          </w:p>
        </w:tc>
        <w:tc>
          <w:tcPr>
            <w:tcW w:w="1355" w:type="dxa"/>
            <w:vMerge w:val="restart"/>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804" w:type="dxa"/>
            <w:vMerge w:val="restart"/>
            <w:tcBorders>
              <w:top w:val="single" w:sz="8" w:space="0" w:color="000000"/>
              <w:bottom w:val="single" w:sz="8" w:space="0" w:color="000000"/>
              <w:right w:val="single" w:sz="8" w:space="0" w:color="000000"/>
            </w:tcBorders>
            <w:shd w:fill="2AD2C9" w:val="clear"/>
            <w:tcMar>
              <w:left w:w="0" w:type="dxa"/>
              <w:bottom w:w="28" w:type="dxa"/>
              <w:right w:w="28" w:type="dxa"/>
            </w:tcMar>
            <w:vAlign w:val="center"/>
          </w:tcPr>
          <w:p>
            <w:pPr>
              <w:pStyle w:val="TableContents"/>
              <w:bidi w:val="0"/>
              <w:spacing w:before="0" w:after="283"/>
              <w:jc w:val="center"/>
              <w:rPr>
                <w:b/>
                <w:color w:val="FFFFFF"/>
                <w:sz w:val="16"/>
              </w:rPr>
            </w:pPr>
            <w:r>
              <w:rPr>
                <w:b/>
                <w:color w:val="FFFFFF"/>
                <w:sz w:val="16"/>
              </w:rPr>
              <w:t xml:space="preserve">Change % </w:t>
              <w:br/>
              <w:t>QoQ</w:t>
            </w:r>
          </w:p>
        </w:tc>
      </w:tr>
      <w:tr>
        <w:trPr/>
        <w:tc>
          <w:tcPr>
            <w:tcW w:w="5851"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color w:val="FFFFFF"/>
              </w:rPr>
            </w:pPr>
            <w:r>
              <w:rPr>
                <w:color w:val="FFFFFF"/>
              </w:rPr>
              <w:t> </w:t>
            </w:r>
            <w:r>
              <w:rPr>
                <w:color w:val="FFFFFF"/>
                <w:sz w:val="16"/>
              </w:rPr>
              <w:t>(S/ thousand)</w:t>
            </w:r>
          </w:p>
        </w:tc>
        <w:tc>
          <w:tcPr>
            <w:tcW w:w="2195" w:type="dxa"/>
            <w:vMerge w:val="continue"/>
            <w:tcBorders>
              <w:top w:val="single" w:sz="8" w:space="0" w:color="000000"/>
              <w:left w:val="single" w:sz="8" w:space="0" w:color="000000"/>
              <w:bottom w:val="single" w:sz="8" w:space="0" w:color="000000"/>
            </w:tcBorders>
            <w:shd w:fill="2AD2C9" w:val="clear"/>
            <w:tcMar>
              <w:bottom w:w="28" w:type="dxa"/>
            </w:tcMar>
            <w:vAlign w:val="center"/>
          </w:tcPr>
          <w:p>
            <w:pPr>
              <w:pStyle w:val="Normal"/>
              <w:bidi w:val="0"/>
              <w:jc w:val="left"/>
              <w:rPr/>
            </w:pPr>
            <w:r>
              <w:rPr/>
            </w:r>
          </w:p>
        </w:tc>
        <w:tc>
          <w:tcPr>
            <w:tcW w:w="1355" w:type="dxa"/>
            <w:vMerge w:val="continue"/>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Normal"/>
              <w:bidi w:val="0"/>
              <w:jc w:val="left"/>
              <w:rPr/>
            </w:pPr>
            <w:r>
              <w:rPr/>
            </w:r>
          </w:p>
        </w:tc>
        <w:tc>
          <w:tcPr>
            <w:tcW w:w="804" w:type="dxa"/>
            <w:vMerge w:val="continue"/>
            <w:tcBorders>
              <w:top w:val="single" w:sz="8" w:space="0" w:color="000000"/>
              <w:bottom w:val="single" w:sz="8" w:space="0" w:color="000000"/>
              <w:right w:val="single" w:sz="8" w:space="0" w:color="000000"/>
            </w:tcBorders>
            <w:shd w:fill="2AD2C9" w:val="clear"/>
            <w:tcMar>
              <w:left w:w="0" w:type="dxa"/>
              <w:bottom w:w="28" w:type="dxa"/>
              <w:right w:w="28" w:type="dxa"/>
            </w:tcMar>
            <w:vAlign w:val="center"/>
          </w:tcPr>
          <w:p>
            <w:pPr>
              <w:pStyle w:val="Normal"/>
              <w:bidi w:val="0"/>
              <w:jc w:val="left"/>
              <w:rPr/>
            </w:pPr>
            <w:r>
              <w:rPr/>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Market risk-weighted assets (5)</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1,715,934</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2,307,252</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34.5%</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Credit risk-weighted assets</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129,623,885</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128,912,504</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-0.5%</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Operational risk-weighted assets</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14,880,988</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15,407,799</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3.5%</w:t>
            </w:r>
          </w:p>
        </w:tc>
      </w:tr>
      <w:tr>
        <w:trPr/>
        <w:tc>
          <w:tcPr>
            <w:tcW w:w="5851"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Total</w:t>
            </w:r>
          </w:p>
        </w:tc>
        <w:tc>
          <w:tcPr>
            <w:tcW w:w="219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146,220,807</w:t>
            </w:r>
          </w:p>
        </w:tc>
        <w:tc>
          <w:tcPr>
            <w:tcW w:w="1355"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right"/>
              <w:rPr>
                <w:b/>
                <w:sz w:val="16"/>
              </w:rPr>
            </w:pPr>
            <w:r>
              <w:rPr>
                <w:b/>
                <w:sz w:val="16"/>
              </w:rPr>
              <w:t>146,627,555</w:t>
            </w:r>
          </w:p>
        </w:tc>
        <w:tc>
          <w:tcPr>
            <w:tcW w:w="804"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0.3%</w:t>
            </w:r>
          </w:p>
        </w:tc>
      </w:tr>
      <w:tr>
        <w:trPr/>
        <w:tc>
          <w:tcPr>
            <w:tcW w:w="5851" w:type="dxa"/>
            <w:tcBorders/>
            <w:shd w:fill="FFFFFF" w:val="clear"/>
            <w:tcMar>
              <w:top w:w="0" w:type="dxa"/>
              <w:left w:w="0" w:type="dxa"/>
            </w:tcMar>
            <w:vAlign w:val="center"/>
          </w:tcPr>
          <w:p>
            <w:pPr>
              <w:pStyle w:val="TableContents"/>
              <w:bidi w:val="0"/>
              <w:spacing w:before="0" w:after="283"/>
              <w:jc w:val="left"/>
              <w:rPr/>
            </w:pPr>
            <w:r>
              <w:rPr/>
              <w:t> </w:t>
            </w:r>
          </w:p>
        </w:tc>
        <w:tc>
          <w:tcPr>
            <w:tcW w:w="2195" w:type="dxa"/>
            <w:tcBorders/>
            <w:shd w:fill="FFFFFF" w:val="clear"/>
            <w:tcMar>
              <w:top w:w="0" w:type="dxa"/>
              <w:left w:w="0" w:type="dxa"/>
            </w:tcMar>
            <w:vAlign w:val="center"/>
          </w:tcPr>
          <w:p>
            <w:pPr>
              <w:pStyle w:val="TableContents"/>
              <w:bidi w:val="0"/>
              <w:spacing w:before="0" w:after="283"/>
              <w:jc w:val="center"/>
              <w:rPr/>
            </w:pPr>
            <w:r>
              <w:rPr/>
              <w:t> </w:t>
            </w:r>
          </w:p>
        </w:tc>
        <w:tc>
          <w:tcPr>
            <w:tcW w:w="1355" w:type="dxa"/>
            <w:tcBorders/>
            <w:tcMar>
              <w:top w:w="0" w:type="dxa"/>
              <w:left w:w="0" w:type="dxa"/>
            </w:tcMar>
            <w:vAlign w:val="center"/>
          </w:tcPr>
          <w:p>
            <w:pPr>
              <w:pStyle w:val="TableContents"/>
              <w:bidi w:val="0"/>
              <w:spacing w:before="0" w:after="283"/>
              <w:jc w:val="left"/>
              <w:rPr/>
            </w:pPr>
            <w:r>
              <w:rPr/>
              <w:t> </w:t>
            </w:r>
          </w:p>
        </w:tc>
        <w:tc>
          <w:tcPr>
            <w:tcW w:w="804" w:type="dxa"/>
            <w:tcBorders/>
            <w:tcMar>
              <w:top w:w="0" w:type="dxa"/>
              <w:left w:w="0" w:type="dxa"/>
            </w:tcMar>
            <w:vAlign w:val="center"/>
          </w:tcPr>
          <w:p>
            <w:pPr>
              <w:pStyle w:val="TableContents"/>
              <w:bidi w:val="0"/>
              <w:spacing w:before="0" w:after="283"/>
              <w:jc w:val="left"/>
              <w:rPr/>
            </w:pPr>
            <w:r>
              <w:rPr/>
              <w:t> </w:t>
            </w:r>
          </w:p>
        </w:tc>
      </w:tr>
      <w:tr>
        <w:trPr/>
        <w:tc>
          <w:tcPr>
            <w:tcW w:w="5851" w:type="dxa"/>
            <w:tcBorders>
              <w:top w:val="single" w:sz="8" w:space="0" w:color="000000"/>
              <w:left w:val="single" w:sz="8" w:space="0" w:color="000000"/>
            </w:tcBorders>
            <w:shd w:fill="2AD2C9" w:val="clear"/>
            <w:vAlign w:val="center"/>
          </w:tcPr>
          <w:p>
            <w:pPr>
              <w:pStyle w:val="TableContents"/>
              <w:bidi w:val="0"/>
              <w:spacing w:before="0" w:after="283"/>
              <w:jc w:val="left"/>
              <w:rPr>
                <w:b/>
                <w:color w:val="FFFFFF"/>
                <w:sz w:val="16"/>
              </w:rPr>
            </w:pPr>
            <w:r>
              <w:rPr>
                <w:b/>
                <w:color w:val="FFFFFF"/>
                <w:sz w:val="16"/>
              </w:rPr>
              <w:t>Capital requirement</w:t>
            </w:r>
          </w:p>
        </w:tc>
        <w:tc>
          <w:tcPr>
            <w:tcW w:w="2195" w:type="dxa"/>
            <w:vMerge w:val="restart"/>
            <w:tcBorders>
              <w:top w:val="single" w:sz="8" w:space="0" w:color="000000"/>
              <w:left w:val="single" w:sz="8" w:space="0" w:color="000000"/>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Mar 23</w:t>
            </w:r>
          </w:p>
        </w:tc>
        <w:tc>
          <w:tcPr>
            <w:tcW w:w="1355" w:type="dxa"/>
            <w:vMerge w:val="restart"/>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804" w:type="dxa"/>
            <w:vMerge w:val="restart"/>
            <w:tcBorders>
              <w:top w:val="single" w:sz="8" w:space="0" w:color="000000"/>
              <w:bottom w:val="single" w:sz="8" w:space="0" w:color="000000"/>
              <w:right w:val="single" w:sz="8" w:space="0" w:color="000000"/>
            </w:tcBorders>
            <w:shd w:fill="2AD2C9" w:val="clear"/>
            <w:tcMar>
              <w:left w:w="0" w:type="dxa"/>
              <w:bottom w:w="28" w:type="dxa"/>
              <w:right w:w="28" w:type="dxa"/>
            </w:tcMar>
            <w:vAlign w:val="center"/>
          </w:tcPr>
          <w:p>
            <w:pPr>
              <w:pStyle w:val="TableContents"/>
              <w:bidi w:val="0"/>
              <w:spacing w:before="0" w:after="283"/>
              <w:jc w:val="center"/>
              <w:rPr>
                <w:b/>
                <w:color w:val="FFFFFF"/>
                <w:sz w:val="16"/>
              </w:rPr>
            </w:pPr>
            <w:r>
              <w:rPr>
                <w:b/>
                <w:color w:val="FFFFFF"/>
                <w:sz w:val="16"/>
              </w:rPr>
              <w:t xml:space="preserve">Change % </w:t>
              <w:br/>
              <w:t>QoQ</w:t>
            </w:r>
          </w:p>
        </w:tc>
      </w:tr>
      <w:tr>
        <w:trPr/>
        <w:tc>
          <w:tcPr>
            <w:tcW w:w="5851"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color w:val="FFFFFF"/>
              </w:rPr>
            </w:pPr>
            <w:r>
              <w:rPr>
                <w:color w:val="FFFFFF"/>
              </w:rPr>
              <w:t> </w:t>
            </w:r>
            <w:r>
              <w:rPr>
                <w:color w:val="FFFFFF"/>
                <w:sz w:val="16"/>
              </w:rPr>
              <w:t>(S/ thousand)</w:t>
            </w:r>
          </w:p>
        </w:tc>
        <w:tc>
          <w:tcPr>
            <w:tcW w:w="2195" w:type="dxa"/>
            <w:vMerge w:val="continue"/>
            <w:tcBorders>
              <w:top w:val="single" w:sz="8" w:space="0" w:color="000000"/>
              <w:left w:val="single" w:sz="8" w:space="0" w:color="000000"/>
              <w:bottom w:val="single" w:sz="8" w:space="0" w:color="000000"/>
            </w:tcBorders>
            <w:shd w:fill="2AD2C9" w:val="clear"/>
            <w:tcMar>
              <w:bottom w:w="28" w:type="dxa"/>
            </w:tcMar>
            <w:vAlign w:val="center"/>
          </w:tcPr>
          <w:p>
            <w:pPr>
              <w:pStyle w:val="Normal"/>
              <w:bidi w:val="0"/>
              <w:jc w:val="left"/>
              <w:rPr/>
            </w:pPr>
            <w:r>
              <w:rPr/>
            </w:r>
          </w:p>
        </w:tc>
        <w:tc>
          <w:tcPr>
            <w:tcW w:w="1355" w:type="dxa"/>
            <w:vMerge w:val="continue"/>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Normal"/>
              <w:bidi w:val="0"/>
              <w:jc w:val="left"/>
              <w:rPr/>
            </w:pPr>
            <w:r>
              <w:rPr/>
            </w:r>
          </w:p>
        </w:tc>
        <w:tc>
          <w:tcPr>
            <w:tcW w:w="804" w:type="dxa"/>
            <w:vMerge w:val="continue"/>
            <w:tcBorders>
              <w:top w:val="single" w:sz="8" w:space="0" w:color="000000"/>
              <w:bottom w:val="single" w:sz="8" w:space="0" w:color="000000"/>
              <w:right w:val="single" w:sz="8" w:space="0" w:color="000000"/>
            </w:tcBorders>
            <w:shd w:fill="2AD2C9" w:val="clear"/>
            <w:tcMar>
              <w:left w:w="0" w:type="dxa"/>
              <w:bottom w:w="28" w:type="dxa"/>
              <w:right w:w="28" w:type="dxa"/>
            </w:tcMar>
            <w:vAlign w:val="center"/>
          </w:tcPr>
          <w:p>
            <w:pPr>
              <w:pStyle w:val="Normal"/>
              <w:bidi w:val="0"/>
              <w:jc w:val="left"/>
              <w:rPr/>
            </w:pPr>
            <w:r>
              <w:rPr/>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Market risk capital requirement  (5)</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171,589</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230,725</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34.5%</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Credit risk capital requirement</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11,018,030</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11,602,125</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5.3%</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Operational risk capital requirement </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1,488,062</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1,540,780</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3.5%</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Additional capital requirements</w:t>
            </w:r>
          </w:p>
        </w:tc>
        <w:tc>
          <w:tcPr>
            <w:tcW w:w="2195"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3,534,427</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3,494,025</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-1.1%</w:t>
            </w:r>
          </w:p>
        </w:tc>
      </w:tr>
      <w:tr>
        <w:trPr/>
        <w:tc>
          <w:tcPr>
            <w:tcW w:w="5851"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Total</w:t>
            </w:r>
          </w:p>
        </w:tc>
        <w:tc>
          <w:tcPr>
            <w:tcW w:w="219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16,212,108</w:t>
            </w:r>
          </w:p>
        </w:tc>
        <w:tc>
          <w:tcPr>
            <w:tcW w:w="1355"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right"/>
              <w:rPr>
                <w:b/>
                <w:sz w:val="16"/>
              </w:rPr>
            </w:pPr>
            <w:r>
              <w:rPr>
                <w:b/>
                <w:sz w:val="16"/>
              </w:rPr>
              <w:t>16,867,655</w:t>
            </w:r>
          </w:p>
        </w:tc>
        <w:tc>
          <w:tcPr>
            <w:tcW w:w="804"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4.0%</w:t>
            </w:r>
          </w:p>
        </w:tc>
      </w:tr>
      <w:tr>
        <w:trPr/>
        <w:tc>
          <w:tcPr>
            <w:tcW w:w="5851" w:type="dxa"/>
            <w:tcBorders/>
            <w:tcMar>
              <w:top w:w="0" w:type="dxa"/>
              <w:left w:w="0" w:type="dxa"/>
            </w:tcMar>
            <w:vAlign w:val="center"/>
          </w:tcPr>
          <w:p>
            <w:pPr>
              <w:pStyle w:val="TableContents"/>
              <w:bidi w:val="0"/>
              <w:spacing w:before="0" w:after="283"/>
              <w:jc w:val="left"/>
              <w:rPr/>
            </w:pPr>
            <w:r>
              <w:rPr/>
              <w:t> </w:t>
            </w:r>
          </w:p>
        </w:tc>
        <w:tc>
          <w:tcPr>
            <w:tcW w:w="2195" w:type="dxa"/>
            <w:tcBorders/>
            <w:tcMar>
              <w:top w:w="0" w:type="dxa"/>
              <w:left w:w="0" w:type="dxa"/>
            </w:tcMar>
            <w:vAlign w:val="center"/>
          </w:tcPr>
          <w:p>
            <w:pPr>
              <w:pStyle w:val="TableContents"/>
              <w:bidi w:val="0"/>
              <w:spacing w:before="0" w:after="283"/>
              <w:jc w:val="right"/>
              <w:rPr/>
            </w:pPr>
            <w:r>
              <w:rPr/>
              <w:t> </w:t>
            </w:r>
          </w:p>
        </w:tc>
        <w:tc>
          <w:tcPr>
            <w:tcW w:w="1355" w:type="dxa"/>
            <w:tcBorders/>
            <w:tcMar>
              <w:top w:w="0" w:type="dxa"/>
              <w:left w:w="0" w:type="dxa"/>
            </w:tcMar>
            <w:vAlign w:val="center"/>
          </w:tcPr>
          <w:p>
            <w:pPr>
              <w:pStyle w:val="TableContents"/>
              <w:bidi w:val="0"/>
              <w:spacing w:before="0" w:after="283"/>
              <w:jc w:val="left"/>
              <w:rPr/>
            </w:pPr>
            <w:r>
              <w:rPr/>
              <w:t> </w:t>
            </w:r>
          </w:p>
        </w:tc>
        <w:tc>
          <w:tcPr>
            <w:tcW w:w="804" w:type="dxa"/>
            <w:tcBorders/>
            <w:tcMar>
              <w:top w:w="0" w:type="dxa"/>
              <w:left w:w="0" w:type="dxa"/>
            </w:tcMar>
            <w:vAlign w:val="center"/>
          </w:tcPr>
          <w:p>
            <w:pPr>
              <w:pStyle w:val="TableContents"/>
              <w:bidi w:val="0"/>
              <w:spacing w:before="0" w:after="283"/>
              <w:jc w:val="left"/>
              <w:rPr/>
            </w:pPr>
            <w:r>
              <w:rPr/>
              <w:t> </w:t>
            </w:r>
          </w:p>
        </w:tc>
      </w:tr>
      <w:tr>
        <w:trPr/>
        <w:tc>
          <w:tcPr>
            <w:tcW w:w="5851" w:type="dxa"/>
            <w:tcBorders/>
            <w:tcMar>
              <w:top w:w="0" w:type="dxa"/>
              <w:left w:w="0" w:type="dxa"/>
            </w:tcMar>
            <w:vAlign w:val="center"/>
          </w:tcPr>
          <w:p>
            <w:pPr>
              <w:pStyle w:val="TableContents"/>
              <w:bidi w:val="0"/>
              <w:spacing w:before="0" w:after="283"/>
              <w:jc w:val="left"/>
              <w:rPr>
                <w:b/>
                <w:sz w:val="20"/>
              </w:rPr>
            </w:pPr>
            <w:r>
              <w:rPr>
                <w:b/>
                <w:sz w:val="20"/>
              </w:rPr>
              <w:t>Capital ratios under Local Regulation</w:t>
            </w:r>
          </w:p>
        </w:tc>
        <w:tc>
          <w:tcPr>
            <w:tcW w:w="2195" w:type="dxa"/>
            <w:tcBorders/>
            <w:tcMar>
              <w:top w:w="0" w:type="dxa"/>
              <w:left w:w="0" w:type="dxa"/>
            </w:tcMar>
            <w:vAlign w:val="center"/>
          </w:tcPr>
          <w:p>
            <w:pPr>
              <w:pStyle w:val="TableContents"/>
              <w:bidi w:val="0"/>
              <w:spacing w:before="0" w:after="283"/>
              <w:jc w:val="right"/>
              <w:rPr/>
            </w:pPr>
            <w:r>
              <w:rPr/>
              <w:t> </w:t>
            </w:r>
          </w:p>
        </w:tc>
        <w:tc>
          <w:tcPr>
            <w:tcW w:w="1355" w:type="dxa"/>
            <w:tcBorders/>
            <w:tcMar>
              <w:top w:w="0" w:type="dxa"/>
              <w:left w:w="0" w:type="dxa"/>
            </w:tcMar>
            <w:vAlign w:val="center"/>
          </w:tcPr>
          <w:p>
            <w:pPr>
              <w:pStyle w:val="TableContents"/>
              <w:bidi w:val="0"/>
              <w:spacing w:before="0" w:after="283"/>
              <w:jc w:val="left"/>
              <w:rPr/>
            </w:pPr>
            <w:r>
              <w:rPr/>
              <w:t> </w:t>
            </w:r>
          </w:p>
        </w:tc>
        <w:tc>
          <w:tcPr>
            <w:tcW w:w="804" w:type="dxa"/>
            <w:tcBorders/>
            <w:tcMar>
              <w:top w:w="0" w:type="dxa"/>
              <w:lef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tcMar>
            <w:vAlign w:val="center"/>
          </w:tcPr>
          <w:p>
            <w:pPr>
              <w:pStyle w:val="TableContents"/>
              <w:bidi w:val="0"/>
              <w:spacing w:before="0" w:after="283"/>
              <w:jc w:val="left"/>
              <w:rPr/>
            </w:pPr>
            <w:r>
              <w:rPr/>
              <w:t> </w:t>
            </w:r>
          </w:p>
        </w:tc>
        <w:tc>
          <w:tcPr>
            <w:tcW w:w="2195" w:type="dxa"/>
            <w:vMerge w:val="restart"/>
            <w:tcBorders>
              <w:top w:val="single" w:sz="8" w:space="0" w:color="000000"/>
              <w:left w:val="single" w:sz="8" w:space="0" w:color="000000"/>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Mar 23</w:t>
            </w:r>
          </w:p>
        </w:tc>
        <w:tc>
          <w:tcPr>
            <w:tcW w:w="1355" w:type="dxa"/>
            <w:vMerge w:val="restart"/>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804"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b/>
                <w:color w:val="FFFFFF"/>
                <w:sz w:val="16"/>
              </w:rPr>
            </w:pPr>
            <w:r>
              <w:rPr>
                <w:b/>
                <w:color w:val="FFFFFF"/>
                <w:sz w:val="16"/>
              </w:rPr>
              <w:t>Change</w:t>
            </w:r>
          </w:p>
        </w:tc>
      </w:tr>
      <w:tr>
        <w:trPr/>
        <w:tc>
          <w:tcPr>
            <w:tcW w:w="5851" w:type="dxa"/>
            <w:tcBorders/>
            <w:tcMar>
              <w:top w:w="0" w:type="dxa"/>
              <w:left w:w="0" w:type="dxa"/>
            </w:tcMar>
            <w:vAlign w:val="center"/>
          </w:tcPr>
          <w:p>
            <w:pPr>
              <w:pStyle w:val="TableContents"/>
              <w:bidi w:val="0"/>
              <w:spacing w:before="0" w:after="283"/>
              <w:jc w:val="left"/>
              <w:rPr/>
            </w:pPr>
            <w:r>
              <w:rPr/>
              <w:t> </w:t>
            </w:r>
          </w:p>
        </w:tc>
        <w:tc>
          <w:tcPr>
            <w:tcW w:w="2195" w:type="dxa"/>
            <w:vMerge w:val="continue"/>
            <w:tcBorders>
              <w:top w:val="single" w:sz="8" w:space="0" w:color="000000"/>
              <w:left w:val="single" w:sz="8" w:space="0" w:color="000000"/>
              <w:bottom w:val="single" w:sz="8" w:space="0" w:color="000000"/>
            </w:tcBorders>
            <w:shd w:fill="2AD2C9" w:val="clear"/>
            <w:tcMar>
              <w:bottom w:w="28" w:type="dxa"/>
            </w:tcMar>
            <w:vAlign w:val="center"/>
          </w:tcPr>
          <w:p>
            <w:pPr>
              <w:pStyle w:val="Normal"/>
              <w:bidi w:val="0"/>
              <w:jc w:val="left"/>
              <w:rPr/>
            </w:pPr>
            <w:r>
              <w:rPr/>
            </w:r>
          </w:p>
        </w:tc>
        <w:tc>
          <w:tcPr>
            <w:tcW w:w="1355" w:type="dxa"/>
            <w:vMerge w:val="continue"/>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Normal"/>
              <w:bidi w:val="0"/>
              <w:jc w:val="left"/>
              <w:rPr/>
            </w:pPr>
            <w:r>
              <w:rPr/>
            </w:r>
          </w:p>
        </w:tc>
        <w:tc>
          <w:tcPr>
            <w:tcW w:w="804"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b/>
                <w:color w:val="FFFFFF"/>
                <w:sz w:val="16"/>
              </w:rPr>
            </w:pPr>
            <w:r>
              <w:rPr>
                <w:b/>
                <w:color w:val="FFFFFF"/>
                <w:sz w:val="16"/>
              </w:rPr>
              <w:t>QoQ</w:t>
            </w:r>
          </w:p>
        </w:tc>
      </w:tr>
      <w:tr>
        <w:trPr/>
        <w:tc>
          <w:tcPr>
            <w:tcW w:w="5851" w:type="dxa"/>
            <w:tcBorders>
              <w:top w:val="single" w:sz="8" w:space="0" w:color="000000"/>
              <w:left w:val="single" w:sz="8" w:space="0" w:color="000000"/>
            </w:tcBorders>
            <w:shd w:fill="FFFFFF" w:val="clear"/>
            <w:vAlign w:val="center"/>
          </w:tcPr>
          <w:p>
            <w:pPr>
              <w:pStyle w:val="TableContents"/>
              <w:bidi w:val="0"/>
              <w:spacing w:before="0" w:after="283"/>
              <w:jc w:val="left"/>
              <w:rPr>
                <w:b/>
                <w:sz w:val="16"/>
              </w:rPr>
            </w:pPr>
            <w:r>
              <w:rPr>
                <w:b/>
                <w:sz w:val="16"/>
              </w:rPr>
              <w:t>Common Equity Tier 1 ratio</w:t>
            </w:r>
          </w:p>
        </w:tc>
        <w:tc>
          <w:tcPr>
            <w:tcW w:w="2195" w:type="dxa"/>
            <w:tcBorders>
              <w:left w:val="single" w:sz="8" w:space="0" w:color="000000"/>
            </w:tcBorders>
            <w:shd w:fill="FFFFFF" w:val="clear"/>
            <w:tcMar>
              <w:top w:w="0" w:type="dxa"/>
            </w:tcMar>
            <w:vAlign w:val="center"/>
          </w:tcPr>
          <w:p>
            <w:pPr>
              <w:pStyle w:val="TableContents"/>
              <w:bidi w:val="0"/>
              <w:spacing w:before="0" w:after="283"/>
              <w:jc w:val="center"/>
              <w:rPr>
                <w:sz w:val="16"/>
              </w:rPr>
            </w:pPr>
            <w:r>
              <w:rPr>
                <w:sz w:val="16"/>
              </w:rPr>
              <w:t>11.86%</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sz w:val="16"/>
              </w:rPr>
            </w:pPr>
            <w:r>
              <w:rPr>
                <w:sz w:val="16"/>
              </w:rPr>
              <w:t>12.75%</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89 bps</w:t>
            </w:r>
          </w:p>
        </w:tc>
      </w:tr>
      <w:tr>
        <w:trPr/>
        <w:tc>
          <w:tcPr>
            <w:tcW w:w="5851" w:type="dxa"/>
            <w:tcBorders>
              <w:left w:val="single" w:sz="8" w:space="0" w:color="000000"/>
            </w:tcBorders>
            <w:shd w:fill="FFFFFF" w:val="clear"/>
            <w:tcMar>
              <w:top w:w="0" w:type="dxa"/>
            </w:tcMar>
            <w:vAlign w:val="center"/>
          </w:tcPr>
          <w:p>
            <w:pPr>
              <w:pStyle w:val="TableContents"/>
              <w:bidi w:val="0"/>
              <w:spacing w:before="0" w:after="283"/>
              <w:jc w:val="left"/>
              <w:rPr>
                <w:b/>
                <w:sz w:val="16"/>
              </w:rPr>
            </w:pPr>
            <w:r>
              <w:rPr>
                <w:b/>
                <w:sz w:val="16"/>
              </w:rPr>
              <w:t>Tier 1 Capital ratio</w:t>
            </w:r>
          </w:p>
        </w:tc>
        <w:tc>
          <w:tcPr>
            <w:tcW w:w="2195" w:type="dxa"/>
            <w:tcBorders>
              <w:left w:val="single" w:sz="8" w:space="0" w:color="000000"/>
            </w:tcBorders>
            <w:shd w:fill="FFFFFF" w:val="clear"/>
            <w:tcMar>
              <w:top w:w="0" w:type="dxa"/>
            </w:tcMar>
            <w:vAlign w:val="center"/>
          </w:tcPr>
          <w:p>
            <w:pPr>
              <w:pStyle w:val="TableContents"/>
              <w:bidi w:val="0"/>
              <w:spacing w:before="0" w:after="283"/>
              <w:jc w:val="center"/>
              <w:rPr>
                <w:sz w:val="16"/>
              </w:rPr>
            </w:pPr>
            <w:r>
              <w:rPr>
                <w:sz w:val="16"/>
              </w:rPr>
              <w:t>11.86%</w:t>
            </w:r>
          </w:p>
        </w:tc>
        <w:tc>
          <w:tcPr>
            <w:tcW w:w="1355"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center"/>
              <w:rPr>
                <w:sz w:val="16"/>
              </w:rPr>
            </w:pPr>
            <w:r>
              <w:rPr>
                <w:sz w:val="16"/>
              </w:rPr>
              <w:t>12.75%</w:t>
            </w:r>
          </w:p>
        </w:tc>
        <w:tc>
          <w:tcPr>
            <w:tcW w:w="804"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89 bps</w:t>
            </w:r>
          </w:p>
        </w:tc>
      </w:tr>
      <w:tr>
        <w:trPr/>
        <w:tc>
          <w:tcPr>
            <w:tcW w:w="5851"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b/>
                <w:sz w:val="16"/>
              </w:rPr>
            </w:pPr>
            <w:r>
              <w:rPr>
                <w:b/>
                <w:sz w:val="16"/>
              </w:rPr>
              <w:t>Regulatory Global Capital ratio</w:t>
            </w:r>
          </w:p>
        </w:tc>
        <w:tc>
          <w:tcPr>
            <w:tcW w:w="21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center"/>
              <w:rPr>
                <w:sz w:val="16"/>
              </w:rPr>
            </w:pPr>
            <w:r>
              <w:rPr>
                <w:sz w:val="16"/>
              </w:rPr>
              <w:t>16.45%</w:t>
            </w:r>
          </w:p>
        </w:tc>
        <w:tc>
          <w:tcPr>
            <w:tcW w:w="1355"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center"/>
              <w:rPr>
                <w:sz w:val="16"/>
              </w:rPr>
            </w:pPr>
            <w:r>
              <w:rPr>
                <w:sz w:val="16"/>
              </w:rPr>
              <w:t>17.20%</w:t>
            </w:r>
          </w:p>
        </w:tc>
        <w:tc>
          <w:tcPr>
            <w:tcW w:w="804"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sz w:val="16"/>
              </w:rPr>
            </w:pPr>
            <w:r>
              <w:rPr>
                <w:sz w:val="16"/>
              </w:rPr>
              <w:t>75 bps</w:t>
            </w:r>
          </w:p>
        </w:tc>
      </w:tr>
    </w:tbl>
    <w:p>
      <w:pPr>
        <w:pStyle w:val="TextBody"/>
        <w:bidi w:val="0"/>
        <w:spacing w:before="0" w:after="0"/>
        <w:ind w:left="136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(1) Up to 1.25% of total risk-weighted assets.</w:t>
      </w:r>
    </w:p>
    <w:p>
      <w:pPr>
        <w:pStyle w:val="TextBody"/>
        <w:bidi w:val="0"/>
        <w:spacing w:before="0" w:after="0"/>
        <w:ind w:left="136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Common Equity Tier 1 = Capital Stock + Reserves + Accumulated earnings – Unrealized profits or losses - 100% deductions (investment in subsidiaries, goodwill, intangible assets and deferred tax assets based on future returns).</w:t>
      </w:r>
    </w:p>
    <w:p>
      <w:pPr>
        <w:pStyle w:val="TextBody"/>
        <w:bidi w:val="0"/>
        <w:spacing w:before="0" w:after="0"/>
        <w:ind w:left="136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Regulatory Tier 1 Capital = Common Equity Tier 1 + Tier 1 Subordinated Debt (Perpetual).</w:t>
      </w:r>
    </w:p>
    <w:p>
      <w:pPr>
        <w:pStyle w:val="TextBody"/>
        <w:bidi w:val="0"/>
        <w:spacing w:before="0" w:after="0"/>
        <w:ind w:left="136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Regulatory Tier 2 Capital = Subordinated Debt + Loan loss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8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27" descr=""/>
                          <pic:cNvPicPr>
                            <a:picLocks noChangeAspect="1" noChangeArrowheads="1"/>
                          </pic:cNvPicPr>
                        </pic:nvPicPr>
                        <pic:blipFill>
                          <a:blip r:embed="rId146"/>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Regulatory Capital and Capital Adequacy Ratios at Mibanco</w:t>
      </w:r>
      <w:r>
        <w:rPr>
          <w:rFonts w:ascii="Arial;Helvetica;Sans-Serif" w:hAnsi="Arial;Helvetica;Sans-Serif"/>
          <w:b w:val="false"/>
          <w:i w:val="false"/>
          <w:caps w:val="false"/>
          <w:smallCaps w:val="false"/>
          <w:sz w:val="20"/>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(under current regulation as of January 2023)</w:t>
      </w:r>
    </w:p>
    <w:p>
      <w:pPr>
        <w:pStyle w:val="TextBody"/>
        <w:bidi w:val="0"/>
        <w:spacing w:before="0" w:after="0"/>
        <w:ind w:left="0" w:right="0" w:hanging="0"/>
        <w:jc w:val="center"/>
        <w:rPr>
          <w:caps w:val="false"/>
          <w:smallCaps w:val="false"/>
        </w:rPr>
      </w:pPr>
      <w:r>
        <w:rPr>
          <w:caps w:val="false"/>
          <w:smallCaps w:val="false"/>
        </w:rPr>
        <w:t> </w:t>
      </w:r>
    </w:p>
    <w:tbl>
      <w:tblPr>
        <w:tblW w:w="8840" w:type="dxa"/>
        <w:jc w:val="center"/>
        <w:tblInd w:w="0" w:type="dxa"/>
        <w:tblLayout w:type="fixed"/>
        <w:tblCellMar>
          <w:top w:w="28" w:type="dxa"/>
          <w:left w:w="28" w:type="dxa"/>
          <w:bottom w:w="0" w:type="dxa"/>
          <w:right w:w="0" w:type="dxa"/>
        </w:tblCellMar>
      </w:tblPr>
      <w:tblGrid>
        <w:gridCol w:w="6395"/>
        <w:gridCol w:w="830"/>
        <w:gridCol w:w="830"/>
        <w:gridCol w:w="785"/>
      </w:tblGrid>
      <w:tr>
        <w:trPr/>
        <w:tc>
          <w:tcPr>
            <w:tcW w:w="6395" w:type="dxa"/>
            <w:tcBorders>
              <w:top w:val="single" w:sz="8" w:space="0" w:color="000000"/>
              <w:left w:val="single" w:sz="8" w:space="0" w:color="000000"/>
            </w:tcBorders>
            <w:shd w:fill="2AD2C9" w:val="clear"/>
            <w:vAlign w:val="center"/>
          </w:tcPr>
          <w:p>
            <w:pPr>
              <w:pStyle w:val="TableContents"/>
              <w:bidi w:val="0"/>
              <w:spacing w:before="0" w:after="283"/>
              <w:jc w:val="left"/>
              <w:rPr>
                <w:color w:val="FFFFFF"/>
              </w:rPr>
            </w:pPr>
            <w:r>
              <w:rPr>
                <w:color w:val="FFFFFF"/>
              </w:rPr>
              <w:t> </w:t>
            </w:r>
          </w:p>
        </w:tc>
        <w:tc>
          <w:tcPr>
            <w:tcW w:w="830" w:type="dxa"/>
            <w:vMerge w:val="restart"/>
            <w:tcBorders>
              <w:top w:val="single" w:sz="8" w:space="0" w:color="000000"/>
              <w:left w:val="single" w:sz="8" w:space="0" w:color="000000"/>
            </w:tcBorders>
            <w:shd w:fill="2AD2C9" w:val="clear"/>
            <w:vAlign w:val="center"/>
          </w:tcPr>
          <w:p>
            <w:pPr>
              <w:pStyle w:val="TableContents"/>
              <w:bidi w:val="0"/>
              <w:spacing w:before="0" w:after="283"/>
              <w:jc w:val="center"/>
              <w:rPr>
                <w:b/>
                <w:color w:val="FFFFFF"/>
                <w:sz w:val="16"/>
              </w:rPr>
            </w:pPr>
            <w:r>
              <w:rPr>
                <w:b/>
                <w:color w:val="FFFFFF"/>
                <w:sz w:val="16"/>
              </w:rPr>
              <w:t>Mar 23</w:t>
            </w:r>
          </w:p>
        </w:tc>
        <w:tc>
          <w:tcPr>
            <w:tcW w:w="830" w:type="dxa"/>
            <w:vMerge w:val="restart"/>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78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color w:val="FFFFFF"/>
              </w:rPr>
            </w:pPr>
            <w:r>
              <w:rPr>
                <w:color w:val="FFFFFF"/>
              </w:rPr>
              <w:t> </w:t>
            </w:r>
          </w:p>
        </w:tc>
      </w:tr>
      <w:tr>
        <w:trPr/>
        <w:tc>
          <w:tcPr>
            <w:tcW w:w="6395" w:type="dxa"/>
            <w:tcBorders>
              <w:left w:val="single" w:sz="8" w:space="0" w:color="000000"/>
            </w:tcBorders>
            <w:shd w:fill="2AD2C9" w:val="clear"/>
            <w:tcMar>
              <w:top w:w="0" w:type="dxa"/>
            </w:tcMar>
            <w:vAlign w:val="center"/>
          </w:tcPr>
          <w:p>
            <w:pPr>
              <w:pStyle w:val="TableContents"/>
              <w:bidi w:val="0"/>
              <w:spacing w:before="0" w:after="283"/>
              <w:jc w:val="left"/>
              <w:rPr>
                <w:b/>
                <w:color w:val="FFFFFF"/>
                <w:sz w:val="16"/>
              </w:rPr>
            </w:pPr>
            <w:r>
              <w:rPr>
                <w:b/>
                <w:color w:val="FFFFFF"/>
                <w:sz w:val="16"/>
              </w:rPr>
              <w:t>Regulatory Capital</w:t>
            </w:r>
          </w:p>
        </w:tc>
        <w:tc>
          <w:tcPr>
            <w:tcW w:w="830" w:type="dxa"/>
            <w:vMerge w:val="continue"/>
            <w:tcBorders>
              <w:top w:val="single" w:sz="8" w:space="0" w:color="000000"/>
              <w:left w:val="single" w:sz="8" w:space="0" w:color="000000"/>
            </w:tcBorders>
            <w:shd w:fill="2AD2C9" w:val="clear"/>
            <w:vAlign w:val="center"/>
          </w:tcPr>
          <w:p>
            <w:pPr>
              <w:pStyle w:val="Normal"/>
              <w:bidi w:val="0"/>
              <w:jc w:val="left"/>
              <w:rPr/>
            </w:pPr>
            <w:r>
              <w:rPr/>
            </w:r>
          </w:p>
        </w:tc>
        <w:tc>
          <w:tcPr>
            <w:tcW w:w="830" w:type="dxa"/>
            <w:vMerge w:val="continue"/>
            <w:tcBorders>
              <w:top w:val="single" w:sz="8" w:space="0" w:color="000000"/>
              <w:right w:val="single" w:sz="8" w:space="0" w:color="000000"/>
            </w:tcBorders>
            <w:shd w:fill="2AD2C9" w:val="clear"/>
            <w:tcMar>
              <w:left w:w="0" w:type="dxa"/>
              <w:right w:w="60" w:type="dxa"/>
            </w:tcMar>
            <w:vAlign w:val="center"/>
          </w:tcPr>
          <w:p>
            <w:pPr>
              <w:pStyle w:val="Normal"/>
              <w:bidi w:val="0"/>
              <w:jc w:val="left"/>
              <w:rPr/>
            </w:pPr>
            <w:r>
              <w:rPr/>
            </w:r>
          </w:p>
        </w:tc>
        <w:tc>
          <w:tcPr>
            <w:tcW w:w="785" w:type="dxa"/>
            <w:tcBorders>
              <w:right w:val="single" w:sz="8" w:space="0" w:color="000000"/>
            </w:tcBorders>
            <w:shd w:fill="2AD2C9" w:val="clear"/>
            <w:tcMar>
              <w:top w:w="0" w:type="dxa"/>
              <w:left w:w="0"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6395" w:type="dxa"/>
            <w:tcBorders>
              <w:left w:val="single" w:sz="8" w:space="0" w:color="000000"/>
            </w:tcBorders>
            <w:shd w:fill="2AD2C9" w:val="clear"/>
            <w:tcMar>
              <w:top w:w="0" w:type="dxa"/>
            </w:tcMar>
            <w:vAlign w:val="center"/>
          </w:tcPr>
          <w:p>
            <w:pPr>
              <w:pStyle w:val="TableContents"/>
              <w:bidi w:val="0"/>
              <w:spacing w:before="0" w:after="283"/>
              <w:jc w:val="left"/>
              <w:rPr>
                <w:color w:val="FFFFFF"/>
              </w:rPr>
            </w:pPr>
            <w:r>
              <w:rPr>
                <w:color w:val="FFFFFF"/>
              </w:rPr>
              <w:t> </w:t>
            </w:r>
            <w:r>
              <w:rPr>
                <w:color w:val="FFFFFF"/>
                <w:sz w:val="16"/>
              </w:rPr>
              <w:t>(S/ thousand)</w:t>
            </w:r>
          </w:p>
        </w:tc>
        <w:tc>
          <w:tcPr>
            <w:tcW w:w="830" w:type="dxa"/>
            <w:vMerge w:val="continue"/>
            <w:tcBorders>
              <w:top w:val="single" w:sz="8" w:space="0" w:color="000000"/>
              <w:left w:val="single" w:sz="8" w:space="0" w:color="000000"/>
            </w:tcBorders>
            <w:shd w:fill="2AD2C9" w:val="clear"/>
            <w:vAlign w:val="center"/>
          </w:tcPr>
          <w:p>
            <w:pPr>
              <w:pStyle w:val="Normal"/>
              <w:bidi w:val="0"/>
              <w:jc w:val="left"/>
              <w:rPr/>
            </w:pPr>
            <w:r>
              <w:rPr/>
            </w:r>
          </w:p>
        </w:tc>
        <w:tc>
          <w:tcPr>
            <w:tcW w:w="830" w:type="dxa"/>
            <w:vMerge w:val="continue"/>
            <w:tcBorders>
              <w:top w:val="single" w:sz="8" w:space="0" w:color="000000"/>
              <w:right w:val="single" w:sz="8" w:space="0" w:color="000000"/>
            </w:tcBorders>
            <w:shd w:fill="2AD2C9" w:val="clear"/>
            <w:tcMar>
              <w:left w:w="0" w:type="dxa"/>
              <w:right w:w="60" w:type="dxa"/>
            </w:tcMar>
            <w:vAlign w:val="center"/>
          </w:tcPr>
          <w:p>
            <w:pPr>
              <w:pStyle w:val="Normal"/>
              <w:bidi w:val="0"/>
              <w:jc w:val="left"/>
              <w:rPr/>
            </w:pPr>
            <w:r>
              <w:rPr/>
            </w:r>
          </w:p>
        </w:tc>
        <w:tc>
          <w:tcPr>
            <w:tcW w:w="785" w:type="dxa"/>
            <w:tcBorders>
              <w:right w:val="single" w:sz="8" w:space="0" w:color="000000"/>
            </w:tcBorders>
            <w:shd w:fill="2AD2C9" w:val="clear"/>
            <w:tcMar>
              <w:top w:w="0" w:type="dxa"/>
              <w:left w:w="0" w:type="dxa"/>
              <w:right w:w="28" w:type="dxa"/>
            </w:tcMar>
            <w:vAlign w:val="center"/>
          </w:tcPr>
          <w:p>
            <w:pPr>
              <w:pStyle w:val="TableContents"/>
              <w:bidi w:val="0"/>
              <w:spacing w:before="0" w:after="283"/>
              <w:jc w:val="center"/>
              <w:rPr>
                <w:b/>
                <w:color w:val="FFFFFF"/>
                <w:sz w:val="16"/>
              </w:rPr>
            </w:pPr>
            <w:r>
              <w:rPr>
                <w:b/>
                <w:color w:val="FFFFFF"/>
                <w:sz w:val="16"/>
              </w:rPr>
              <w:t>QoQ</w:t>
            </w:r>
          </w:p>
        </w:tc>
      </w:tr>
      <w:tr>
        <w:trPr/>
        <w:tc>
          <w:tcPr>
            <w:tcW w:w="6395" w:type="dxa"/>
            <w:tcBorders>
              <w:top w:val="single" w:sz="8" w:space="0" w:color="000000"/>
              <w:left w:val="single" w:sz="8" w:space="0" w:color="000000"/>
            </w:tcBorders>
            <w:shd w:fill="FFFFFF" w:val="clear"/>
            <w:vAlign w:val="center"/>
          </w:tcPr>
          <w:p>
            <w:pPr>
              <w:pStyle w:val="TableContents"/>
              <w:bidi w:val="0"/>
              <w:spacing w:before="0" w:after="283"/>
              <w:jc w:val="left"/>
              <w:rPr>
                <w:sz w:val="16"/>
              </w:rPr>
            </w:pPr>
            <w:r>
              <w:rPr>
                <w:sz w:val="16"/>
              </w:rPr>
              <w:t>Capital Stock</w:t>
            </w:r>
          </w:p>
        </w:tc>
        <w:tc>
          <w:tcPr>
            <w:tcW w:w="830" w:type="dxa"/>
            <w:tcBorders>
              <w:top w:val="single" w:sz="8" w:space="0" w:color="000000"/>
              <w:left w:val="single" w:sz="8" w:space="0" w:color="000000"/>
            </w:tcBorders>
            <w:shd w:fill="FFFFFF" w:val="clear"/>
            <w:vAlign w:val="center"/>
          </w:tcPr>
          <w:p>
            <w:pPr>
              <w:pStyle w:val="TableContents"/>
              <w:bidi w:val="0"/>
              <w:spacing w:before="0" w:after="283"/>
              <w:jc w:val="right"/>
              <w:rPr>
                <w:sz w:val="16"/>
              </w:rPr>
            </w:pPr>
            <w:r>
              <w:rPr>
                <w:sz w:val="16"/>
              </w:rPr>
              <w:t>1,840,606</w:t>
            </w:r>
          </w:p>
        </w:tc>
        <w:tc>
          <w:tcPr>
            <w:tcW w:w="830" w:type="dxa"/>
            <w:tcBorders>
              <w:top w:val="single" w:sz="8" w:space="0" w:color="000000"/>
              <w:right w:val="single" w:sz="8" w:space="0" w:color="000000"/>
            </w:tcBorders>
            <w:shd w:fill="FFFFFF" w:val="clear"/>
            <w:tcMar>
              <w:left w:w="0" w:type="dxa"/>
              <w:right w:w="60" w:type="dxa"/>
            </w:tcMar>
            <w:vAlign w:val="center"/>
          </w:tcPr>
          <w:p>
            <w:pPr>
              <w:pStyle w:val="TableContents"/>
              <w:bidi w:val="0"/>
              <w:spacing w:before="0" w:after="283"/>
              <w:jc w:val="right"/>
              <w:rPr>
                <w:sz w:val="16"/>
              </w:rPr>
            </w:pPr>
            <w:r>
              <w:rPr>
                <w:sz w:val="16"/>
              </w:rPr>
              <w:t>1,840,606</w:t>
            </w:r>
          </w:p>
        </w:tc>
        <w:tc>
          <w:tcPr>
            <w:tcW w:w="785" w:type="dxa"/>
            <w:tcBorders>
              <w:top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center"/>
              <w:rPr>
                <w:sz w:val="16"/>
              </w:rPr>
            </w:pPr>
            <w:r>
              <w:rPr>
                <w:sz w:val="16"/>
              </w:rPr>
              <w:t>0.0%</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Reserves</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308,056</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308,056</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0.0%</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Accumulated earnings</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556,972</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611,151</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9.7%</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Loan loss reserves</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168,965</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170,901</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1.1%</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Perpetual subordinated debt</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0</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0</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N/A</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Subordinated debt</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179,000</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173,000</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-3.4%</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Unrealized Profit or Losses</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-15,467</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-4,727</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-69.4%</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Investment in subsidiaries and others, net of unrealized profit and net income in subsidiaries</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-281</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-275</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-2.0%</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Intangibles</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-135,202</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-138,239</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2.2%</w:t>
            </w:r>
          </w:p>
        </w:tc>
      </w:tr>
      <w:tr>
        <w:trPr/>
        <w:tc>
          <w:tcPr>
            <w:tcW w:w="63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sz w:val="16"/>
              </w:rPr>
            </w:pPr>
            <w:r>
              <w:rPr>
                <w:sz w:val="16"/>
              </w:rPr>
              <w:t>Goodwill</w:t>
            </w:r>
          </w:p>
        </w:tc>
        <w:tc>
          <w:tcPr>
            <w:tcW w:w="83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sz w:val="16"/>
              </w:rPr>
            </w:pPr>
            <w:r>
              <w:rPr>
                <w:sz w:val="16"/>
              </w:rPr>
              <w:t>-139,180</w:t>
            </w:r>
          </w:p>
        </w:tc>
        <w:tc>
          <w:tcPr>
            <w:tcW w:w="830"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sz w:val="16"/>
              </w:rPr>
            </w:pPr>
            <w:r>
              <w:rPr>
                <w:sz w:val="16"/>
              </w:rPr>
              <w:t>-139,180</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0.0%</w:t>
            </w:r>
          </w:p>
        </w:tc>
      </w:tr>
      <w:tr>
        <w:trPr/>
        <w:tc>
          <w:tcPr>
            <w:tcW w:w="63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b/>
                <w:sz w:val="16"/>
              </w:rPr>
            </w:pPr>
            <w:r>
              <w:rPr>
                <w:b/>
                <w:sz w:val="16"/>
              </w:rPr>
              <w:t>Total Regulatory Capital</w:t>
            </w:r>
          </w:p>
        </w:tc>
        <w:tc>
          <w:tcPr>
            <w:tcW w:w="83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b/>
                <w:sz w:val="16"/>
              </w:rPr>
            </w:pPr>
            <w:r>
              <w:rPr>
                <w:b/>
                <w:sz w:val="16"/>
              </w:rPr>
              <w:t>2,763,469</w:t>
            </w:r>
          </w:p>
        </w:tc>
        <w:tc>
          <w:tcPr>
            <w:tcW w:w="830"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b/>
                <w:sz w:val="16"/>
              </w:rPr>
            </w:pPr>
            <w:r>
              <w:rPr>
                <w:b/>
                <w:sz w:val="16"/>
              </w:rPr>
              <w:t>2,821,292</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2.1%</w:t>
            </w:r>
          </w:p>
        </w:tc>
      </w:tr>
      <w:tr>
        <w:trPr/>
        <w:tc>
          <w:tcPr>
            <w:tcW w:w="63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b/>
                <w:sz w:val="16"/>
              </w:rPr>
            </w:pPr>
            <w:r>
              <w:rPr>
                <w:b/>
                <w:sz w:val="16"/>
              </w:rPr>
              <w:t>Tier Common Equity (2)</w:t>
            </w:r>
          </w:p>
        </w:tc>
        <w:tc>
          <w:tcPr>
            <w:tcW w:w="83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b/>
                <w:sz w:val="16"/>
              </w:rPr>
            </w:pPr>
            <w:r>
              <w:rPr>
                <w:b/>
                <w:sz w:val="16"/>
              </w:rPr>
              <w:t>2,415,504</w:t>
            </w:r>
          </w:p>
        </w:tc>
        <w:tc>
          <w:tcPr>
            <w:tcW w:w="830"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b/>
                <w:sz w:val="16"/>
              </w:rPr>
            </w:pPr>
            <w:r>
              <w:rPr>
                <w:b/>
                <w:sz w:val="16"/>
              </w:rPr>
              <w:t>2,477,391</w:t>
            </w:r>
          </w:p>
        </w:tc>
        <w:tc>
          <w:tcPr>
            <w:tcW w:w="785"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b/>
                <w:sz w:val="16"/>
              </w:rPr>
            </w:pPr>
            <w:r>
              <w:rPr>
                <w:b/>
                <w:sz w:val="16"/>
              </w:rPr>
              <w:t>2.6%</w:t>
            </w:r>
          </w:p>
        </w:tc>
      </w:tr>
      <w:tr>
        <w:trPr/>
        <w:tc>
          <w:tcPr>
            <w:tcW w:w="63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b/>
                <w:sz w:val="16"/>
              </w:rPr>
            </w:pPr>
            <w:r>
              <w:rPr>
                <w:b/>
                <w:sz w:val="16"/>
              </w:rPr>
              <w:t>Regulatory Tier 1 Capital (3)</w:t>
            </w:r>
          </w:p>
        </w:tc>
        <w:tc>
          <w:tcPr>
            <w:tcW w:w="83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b/>
                <w:sz w:val="16"/>
              </w:rPr>
            </w:pPr>
            <w:r>
              <w:rPr>
                <w:b/>
                <w:sz w:val="16"/>
              </w:rPr>
              <w:t>2,415,504</w:t>
            </w:r>
          </w:p>
        </w:tc>
        <w:tc>
          <w:tcPr>
            <w:tcW w:w="830"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b/>
                <w:sz w:val="16"/>
              </w:rPr>
            </w:pPr>
            <w:r>
              <w:rPr>
                <w:b/>
                <w:sz w:val="16"/>
              </w:rPr>
              <w:t>2,477,391</w:t>
            </w:r>
          </w:p>
        </w:tc>
        <w:tc>
          <w:tcPr>
            <w:tcW w:w="785"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b/>
                <w:sz w:val="16"/>
              </w:rPr>
            </w:pPr>
            <w:r>
              <w:rPr>
                <w:b/>
                <w:sz w:val="16"/>
              </w:rPr>
              <w:t>2.6%</w:t>
            </w:r>
          </w:p>
        </w:tc>
      </w:tr>
      <w:tr>
        <w:trPr/>
        <w:tc>
          <w:tcPr>
            <w:tcW w:w="639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b/>
                <w:sz w:val="16"/>
              </w:rPr>
            </w:pPr>
            <w:r>
              <w:rPr>
                <w:b/>
                <w:sz w:val="16"/>
              </w:rPr>
              <w:t>Regulatory Tier 2 Capital (4)</w:t>
            </w:r>
          </w:p>
        </w:tc>
        <w:tc>
          <w:tcPr>
            <w:tcW w:w="83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b/>
                <w:sz w:val="16"/>
              </w:rPr>
            </w:pPr>
            <w:r>
              <w:rPr>
                <w:b/>
                <w:sz w:val="16"/>
              </w:rPr>
              <w:t>347,965</w:t>
            </w:r>
          </w:p>
        </w:tc>
        <w:tc>
          <w:tcPr>
            <w:tcW w:w="830"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b/>
                <w:sz w:val="16"/>
              </w:rPr>
            </w:pPr>
            <w:r>
              <w:rPr>
                <w:b/>
                <w:sz w:val="16"/>
              </w:rPr>
              <w:t>343,901</w:t>
            </w:r>
          </w:p>
        </w:tc>
        <w:tc>
          <w:tcPr>
            <w:tcW w:w="785"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b/>
                <w:sz w:val="16"/>
              </w:rPr>
            </w:pPr>
            <w:r>
              <w:rPr>
                <w:b/>
                <w:sz w:val="16"/>
              </w:rPr>
              <w:t>-1.2%</w:t>
            </w:r>
          </w:p>
        </w:tc>
      </w:tr>
      <w:tr>
        <w:trPr/>
        <w:tc>
          <w:tcPr>
            <w:tcW w:w="6395" w:type="dxa"/>
            <w:tcBorders/>
            <w:shd w:fill="FFFFFF" w:val="clear"/>
            <w:tcMar>
              <w:top w:w="0" w:type="dxa"/>
              <w:lef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tcMar>
            <w:vAlign w:val="center"/>
          </w:tcPr>
          <w:p>
            <w:pPr>
              <w:pStyle w:val="TableContents"/>
              <w:bidi w:val="0"/>
              <w:spacing w:before="0" w:after="283"/>
              <w:jc w:val="center"/>
              <w:rPr/>
            </w:pPr>
            <w:r>
              <w:rPr/>
              <w:t> </w:t>
            </w:r>
          </w:p>
        </w:tc>
        <w:tc>
          <w:tcPr>
            <w:tcW w:w="785" w:type="dxa"/>
            <w:tcBorders/>
            <w:shd w:fill="FFFFFF" w:val="clear"/>
            <w:tcMar>
              <w:top w:w="0" w:type="dxa"/>
              <w:left w:w="0" w:type="dxa"/>
            </w:tcMar>
            <w:vAlign w:val="center"/>
          </w:tcPr>
          <w:p>
            <w:pPr>
              <w:pStyle w:val="TableContents"/>
              <w:bidi w:val="0"/>
              <w:spacing w:before="0" w:after="283"/>
              <w:jc w:val="center"/>
              <w:rPr/>
            </w:pPr>
            <w:r>
              <w:rPr/>
              <w:t> </w:t>
            </w:r>
          </w:p>
        </w:tc>
      </w:tr>
      <w:tr>
        <w:trPr/>
        <w:tc>
          <w:tcPr>
            <w:tcW w:w="6395" w:type="dxa"/>
            <w:tcBorders>
              <w:top w:val="single" w:sz="8" w:space="0" w:color="000000"/>
              <w:left w:val="single" w:sz="8" w:space="0" w:color="000000"/>
            </w:tcBorders>
            <w:shd w:fill="2AD2C9" w:val="clear"/>
            <w:vAlign w:val="center"/>
          </w:tcPr>
          <w:p>
            <w:pPr>
              <w:pStyle w:val="TableContents"/>
              <w:bidi w:val="0"/>
              <w:spacing w:before="0" w:after="283"/>
              <w:jc w:val="left"/>
              <w:rPr>
                <w:b/>
                <w:color w:val="FFFFFF"/>
                <w:sz w:val="16"/>
              </w:rPr>
            </w:pPr>
            <w:r>
              <w:rPr>
                <w:b/>
                <w:color w:val="FFFFFF"/>
                <w:sz w:val="16"/>
              </w:rPr>
              <w:t>Total risk-weighted assets</w:t>
            </w:r>
          </w:p>
        </w:tc>
        <w:tc>
          <w:tcPr>
            <w:tcW w:w="830" w:type="dxa"/>
            <w:vMerge w:val="restart"/>
            <w:tcBorders>
              <w:top w:val="single" w:sz="8" w:space="0" w:color="000000"/>
              <w:left w:val="single" w:sz="8" w:space="0" w:color="000000"/>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Mar 23</w:t>
            </w:r>
          </w:p>
        </w:tc>
        <w:tc>
          <w:tcPr>
            <w:tcW w:w="830" w:type="dxa"/>
            <w:vMerge w:val="restart"/>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78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639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color w:val="FFFFFF"/>
              </w:rPr>
            </w:pPr>
            <w:r>
              <w:rPr>
                <w:color w:val="FFFFFF"/>
              </w:rPr>
              <w:t> </w:t>
            </w:r>
            <w:r>
              <w:rPr>
                <w:color w:val="FFFFFF"/>
                <w:sz w:val="16"/>
              </w:rPr>
              <w:t>(S/ thousand)</w:t>
            </w:r>
          </w:p>
        </w:tc>
        <w:tc>
          <w:tcPr>
            <w:tcW w:w="830" w:type="dxa"/>
            <w:vMerge w:val="continue"/>
            <w:tcBorders>
              <w:top w:val="single" w:sz="8" w:space="0" w:color="000000"/>
              <w:left w:val="single" w:sz="8" w:space="0" w:color="000000"/>
              <w:bottom w:val="single" w:sz="8" w:space="0" w:color="000000"/>
            </w:tcBorders>
            <w:shd w:fill="2AD2C9" w:val="clear"/>
            <w:tcMar>
              <w:bottom w:w="28" w:type="dxa"/>
            </w:tcMar>
            <w:vAlign w:val="center"/>
          </w:tcPr>
          <w:p>
            <w:pPr>
              <w:pStyle w:val="Normal"/>
              <w:bidi w:val="0"/>
              <w:jc w:val="left"/>
              <w:rPr/>
            </w:pPr>
            <w:r>
              <w:rPr/>
            </w:r>
          </w:p>
        </w:tc>
        <w:tc>
          <w:tcPr>
            <w:tcW w:w="830" w:type="dxa"/>
            <w:vMerge w:val="continue"/>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Normal"/>
              <w:bidi w:val="0"/>
              <w:jc w:val="left"/>
              <w:rPr/>
            </w:pPr>
            <w:r>
              <w:rPr/>
            </w:r>
          </w:p>
        </w:tc>
        <w:tc>
          <w:tcPr>
            <w:tcW w:w="78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b/>
                <w:color w:val="FFFFFF"/>
                <w:sz w:val="16"/>
              </w:rPr>
            </w:pPr>
            <w:r>
              <w:rPr>
                <w:b/>
                <w:color w:val="FFFFFF"/>
                <w:sz w:val="16"/>
              </w:rPr>
              <w:t>QoQ</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Market risk-weighted assets </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141,441</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181,227</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28.1%</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Credit risk-weighted assets</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13,160,337</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13,372,354</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1.6%</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Operational risk-weighted assets</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1,427,428</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1,470,726</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3.0%</w:t>
            </w:r>
          </w:p>
        </w:tc>
      </w:tr>
      <w:tr>
        <w:trPr/>
        <w:tc>
          <w:tcPr>
            <w:tcW w:w="639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Total</w:t>
            </w:r>
          </w:p>
        </w:tc>
        <w:tc>
          <w:tcPr>
            <w:tcW w:w="830"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14,729,206</w:t>
            </w:r>
          </w:p>
        </w:tc>
        <w:tc>
          <w:tcPr>
            <w:tcW w:w="830"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right"/>
              <w:rPr>
                <w:b/>
                <w:sz w:val="16"/>
              </w:rPr>
            </w:pPr>
            <w:r>
              <w:rPr>
                <w:b/>
                <w:sz w:val="16"/>
              </w:rPr>
              <w:t>15,024,307</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2.0%</w:t>
            </w:r>
          </w:p>
        </w:tc>
      </w:tr>
      <w:tr>
        <w:trPr/>
        <w:tc>
          <w:tcPr>
            <w:tcW w:w="6395" w:type="dxa"/>
            <w:tcBorders/>
            <w:shd w:fill="FFFFFF" w:val="clear"/>
            <w:tcMar>
              <w:top w:w="0" w:type="dxa"/>
              <w:lef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tcMar>
            <w:vAlign w:val="center"/>
          </w:tcPr>
          <w:p>
            <w:pPr>
              <w:pStyle w:val="TableContents"/>
              <w:bidi w:val="0"/>
              <w:spacing w:before="0" w:after="283"/>
              <w:jc w:val="center"/>
              <w:rPr/>
            </w:pPr>
            <w:r>
              <w:rPr/>
              <w:t> </w:t>
            </w:r>
          </w:p>
        </w:tc>
        <w:tc>
          <w:tcPr>
            <w:tcW w:w="785" w:type="dxa"/>
            <w:tcBorders/>
            <w:shd w:fill="FFFFFF" w:val="clear"/>
            <w:tcMar>
              <w:top w:w="0" w:type="dxa"/>
              <w:left w:w="0" w:type="dxa"/>
            </w:tcMar>
            <w:vAlign w:val="center"/>
          </w:tcPr>
          <w:p>
            <w:pPr>
              <w:pStyle w:val="TableContents"/>
              <w:bidi w:val="0"/>
              <w:spacing w:before="0" w:after="283"/>
              <w:jc w:val="center"/>
              <w:rPr/>
            </w:pPr>
            <w:r>
              <w:rPr/>
              <w:t> </w:t>
            </w:r>
          </w:p>
        </w:tc>
      </w:tr>
      <w:tr>
        <w:trPr/>
        <w:tc>
          <w:tcPr>
            <w:tcW w:w="6395" w:type="dxa"/>
            <w:tcBorders>
              <w:top w:val="single" w:sz="8" w:space="0" w:color="000000"/>
              <w:left w:val="single" w:sz="8" w:space="0" w:color="000000"/>
            </w:tcBorders>
            <w:shd w:fill="2AD2C9" w:val="clear"/>
            <w:vAlign w:val="center"/>
          </w:tcPr>
          <w:p>
            <w:pPr>
              <w:pStyle w:val="TableContents"/>
              <w:bidi w:val="0"/>
              <w:spacing w:before="0" w:after="283"/>
              <w:jc w:val="left"/>
              <w:rPr>
                <w:b/>
                <w:color w:val="FFFFFF"/>
                <w:sz w:val="16"/>
              </w:rPr>
            </w:pPr>
            <w:r>
              <w:rPr>
                <w:b/>
                <w:color w:val="FFFFFF"/>
                <w:sz w:val="16"/>
              </w:rPr>
              <w:t>Capital requirement </w:t>
            </w:r>
          </w:p>
        </w:tc>
        <w:tc>
          <w:tcPr>
            <w:tcW w:w="830" w:type="dxa"/>
            <w:vMerge w:val="restart"/>
            <w:tcBorders>
              <w:top w:val="single" w:sz="8" w:space="0" w:color="000000"/>
              <w:left w:val="single" w:sz="8" w:space="0" w:color="000000"/>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Mar 23</w:t>
            </w:r>
          </w:p>
        </w:tc>
        <w:tc>
          <w:tcPr>
            <w:tcW w:w="830" w:type="dxa"/>
            <w:vMerge w:val="restart"/>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78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639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color w:val="FFFFFF"/>
              </w:rPr>
            </w:pPr>
            <w:r>
              <w:rPr>
                <w:color w:val="FFFFFF"/>
              </w:rPr>
              <w:t> </w:t>
            </w:r>
            <w:r>
              <w:rPr>
                <w:color w:val="FFFFFF"/>
                <w:sz w:val="16"/>
              </w:rPr>
              <w:t>(S/ thousand)</w:t>
            </w:r>
          </w:p>
        </w:tc>
        <w:tc>
          <w:tcPr>
            <w:tcW w:w="830" w:type="dxa"/>
            <w:vMerge w:val="continue"/>
            <w:tcBorders>
              <w:top w:val="single" w:sz="8" w:space="0" w:color="000000"/>
              <w:left w:val="single" w:sz="8" w:space="0" w:color="000000"/>
              <w:bottom w:val="single" w:sz="8" w:space="0" w:color="000000"/>
            </w:tcBorders>
            <w:shd w:fill="2AD2C9" w:val="clear"/>
            <w:tcMar>
              <w:bottom w:w="28" w:type="dxa"/>
            </w:tcMar>
            <w:vAlign w:val="center"/>
          </w:tcPr>
          <w:p>
            <w:pPr>
              <w:pStyle w:val="Normal"/>
              <w:bidi w:val="0"/>
              <w:jc w:val="left"/>
              <w:rPr/>
            </w:pPr>
            <w:r>
              <w:rPr/>
            </w:r>
          </w:p>
        </w:tc>
        <w:tc>
          <w:tcPr>
            <w:tcW w:w="830" w:type="dxa"/>
            <w:vMerge w:val="continue"/>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Normal"/>
              <w:bidi w:val="0"/>
              <w:jc w:val="left"/>
              <w:rPr/>
            </w:pPr>
            <w:r>
              <w:rPr/>
            </w:r>
          </w:p>
        </w:tc>
        <w:tc>
          <w:tcPr>
            <w:tcW w:w="78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b/>
                <w:color w:val="FFFFFF"/>
                <w:sz w:val="16"/>
              </w:rPr>
            </w:pPr>
            <w:r>
              <w:rPr>
                <w:b/>
                <w:color w:val="FFFFFF"/>
                <w:sz w:val="16"/>
              </w:rPr>
              <w:t>QoQ</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Market risk capital requirement (5)</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14,144</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18,123</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28.1%</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Credit risk capital requirement </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1,118,629</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1,203,512</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7.6%</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Operational risk capital requirement </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142,743</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147,073</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3.0%</w:t>
            </w:r>
          </w:p>
        </w:tc>
      </w:tr>
      <w:tr>
        <w:trPr/>
        <w:tc>
          <w:tcPr>
            <w:tcW w:w="639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Additional capital requirements</w:t>
            </w:r>
          </w:p>
        </w:tc>
        <w:tc>
          <w:tcPr>
            <w:tcW w:w="830" w:type="dxa"/>
            <w:tcBorders>
              <w:left w:val="single" w:sz="8" w:space="0" w:color="000000"/>
            </w:tcBorders>
            <w:shd w:fill="FFFFFF" w:val="clear"/>
            <w:tcMar>
              <w:top w:w="0" w:type="dxa"/>
            </w:tcMar>
            <w:vAlign w:val="center"/>
          </w:tcPr>
          <w:p>
            <w:pPr>
              <w:pStyle w:val="TableContents"/>
              <w:bidi w:val="0"/>
              <w:spacing w:before="0" w:after="283"/>
              <w:jc w:val="right"/>
              <w:rPr>
                <w:sz w:val="16"/>
              </w:rPr>
            </w:pPr>
            <w:r>
              <w:rPr>
                <w:sz w:val="16"/>
              </w:rPr>
              <w:t>398,603</w:t>
            </w:r>
          </w:p>
        </w:tc>
        <w:tc>
          <w:tcPr>
            <w:tcW w:w="83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sz w:val="16"/>
              </w:rPr>
            </w:pPr>
            <w:r>
              <w:rPr>
                <w:sz w:val="16"/>
              </w:rPr>
              <w:t>405,891</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1.8%</w:t>
            </w:r>
          </w:p>
        </w:tc>
      </w:tr>
      <w:tr>
        <w:trPr/>
        <w:tc>
          <w:tcPr>
            <w:tcW w:w="639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Total</w:t>
            </w:r>
          </w:p>
        </w:tc>
        <w:tc>
          <w:tcPr>
            <w:tcW w:w="830"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1,674,118</w:t>
            </w:r>
          </w:p>
        </w:tc>
        <w:tc>
          <w:tcPr>
            <w:tcW w:w="830"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right"/>
              <w:rPr>
                <w:b/>
                <w:sz w:val="16"/>
              </w:rPr>
            </w:pPr>
            <w:r>
              <w:rPr>
                <w:b/>
                <w:sz w:val="16"/>
              </w:rPr>
              <w:t>1,774,599</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6.0%</w:t>
            </w:r>
          </w:p>
        </w:tc>
      </w:tr>
      <w:tr>
        <w:trPr/>
        <w:tc>
          <w:tcPr>
            <w:tcW w:w="6395" w:type="dxa"/>
            <w:tcBorders/>
            <w:tcMar>
              <w:top w:w="0" w:type="dxa"/>
              <w:left w:w="0" w:type="dxa"/>
            </w:tcMar>
            <w:vAlign w:val="center"/>
          </w:tcPr>
          <w:p>
            <w:pPr>
              <w:pStyle w:val="TableContents"/>
              <w:bidi w:val="0"/>
              <w:spacing w:before="0" w:after="283"/>
              <w:jc w:val="left"/>
              <w:rPr/>
            </w:pPr>
            <w:r>
              <w:rPr/>
              <w:t> </w:t>
            </w:r>
          </w:p>
        </w:tc>
        <w:tc>
          <w:tcPr>
            <w:tcW w:w="830" w:type="dxa"/>
            <w:tcBorders/>
            <w:tcMar>
              <w:top w:w="0" w:type="dxa"/>
              <w:left w:w="0" w:type="dxa"/>
            </w:tcMar>
            <w:vAlign w:val="center"/>
          </w:tcPr>
          <w:p>
            <w:pPr>
              <w:pStyle w:val="TableContents"/>
              <w:bidi w:val="0"/>
              <w:spacing w:before="0" w:after="283"/>
              <w:jc w:val="right"/>
              <w:rPr/>
            </w:pPr>
            <w:r>
              <w:rPr/>
              <w:t> </w:t>
            </w:r>
          </w:p>
        </w:tc>
        <w:tc>
          <w:tcPr>
            <w:tcW w:w="830" w:type="dxa"/>
            <w:tcBorders/>
            <w:tcMar>
              <w:top w:w="0" w:type="dxa"/>
              <w:left w:w="0" w:type="dxa"/>
            </w:tcMar>
            <w:vAlign w:val="center"/>
          </w:tcPr>
          <w:p>
            <w:pPr>
              <w:pStyle w:val="TableContents"/>
              <w:bidi w:val="0"/>
              <w:spacing w:before="0" w:after="283"/>
              <w:jc w:val="right"/>
              <w:rPr/>
            </w:pPr>
            <w:r>
              <w:rPr/>
              <w:t> </w:t>
            </w:r>
          </w:p>
        </w:tc>
        <w:tc>
          <w:tcPr>
            <w:tcW w:w="785" w:type="dxa"/>
            <w:tcBorders/>
            <w:tcMar>
              <w:top w:w="0" w:type="dxa"/>
              <w:left w:w="0" w:type="dxa"/>
            </w:tcMar>
            <w:vAlign w:val="center"/>
          </w:tcPr>
          <w:p>
            <w:pPr>
              <w:pStyle w:val="TableContents"/>
              <w:bidi w:val="0"/>
              <w:spacing w:before="0" w:after="283"/>
              <w:jc w:val="right"/>
              <w:rPr/>
            </w:pPr>
            <w:r>
              <w:rPr/>
              <w:t> </w:t>
            </w:r>
          </w:p>
        </w:tc>
      </w:tr>
      <w:tr>
        <w:trPr/>
        <w:tc>
          <w:tcPr>
            <w:tcW w:w="6395" w:type="dxa"/>
            <w:tcBorders/>
            <w:tcMar>
              <w:top w:w="0" w:type="dxa"/>
              <w:left w:w="0" w:type="dxa"/>
            </w:tcMar>
            <w:vAlign w:val="center"/>
          </w:tcPr>
          <w:p>
            <w:pPr>
              <w:pStyle w:val="TableContents"/>
              <w:bidi w:val="0"/>
              <w:spacing w:before="0" w:after="283"/>
              <w:jc w:val="left"/>
              <w:rPr>
                <w:b/>
                <w:sz w:val="20"/>
              </w:rPr>
            </w:pPr>
            <w:r>
              <w:rPr>
                <w:b/>
                <w:sz w:val="20"/>
              </w:rPr>
              <w:t>Capital ratios under Local Regulation</w:t>
            </w:r>
          </w:p>
        </w:tc>
        <w:tc>
          <w:tcPr>
            <w:tcW w:w="830" w:type="dxa"/>
            <w:tcBorders/>
            <w:tcMar>
              <w:top w:w="0" w:type="dxa"/>
              <w:left w:w="0" w:type="dxa"/>
            </w:tcMar>
            <w:vAlign w:val="center"/>
          </w:tcPr>
          <w:p>
            <w:pPr>
              <w:pStyle w:val="TableContents"/>
              <w:bidi w:val="0"/>
              <w:spacing w:before="0" w:after="283"/>
              <w:jc w:val="right"/>
              <w:rPr/>
            </w:pPr>
            <w:r>
              <w:rPr/>
              <w:t> </w:t>
            </w:r>
          </w:p>
        </w:tc>
        <w:tc>
          <w:tcPr>
            <w:tcW w:w="830" w:type="dxa"/>
            <w:tcBorders/>
            <w:tcMar>
              <w:top w:w="0" w:type="dxa"/>
              <w:left w:w="0" w:type="dxa"/>
            </w:tcMar>
            <w:vAlign w:val="center"/>
          </w:tcPr>
          <w:p>
            <w:pPr>
              <w:pStyle w:val="TableContents"/>
              <w:bidi w:val="0"/>
              <w:spacing w:before="0" w:after="283"/>
              <w:jc w:val="right"/>
              <w:rPr/>
            </w:pPr>
            <w:r>
              <w:rPr/>
              <w:t> </w:t>
            </w:r>
          </w:p>
        </w:tc>
        <w:tc>
          <w:tcPr>
            <w:tcW w:w="785" w:type="dxa"/>
            <w:tcBorders/>
            <w:tcMar>
              <w:top w:w="0" w:type="dxa"/>
              <w:left w:w="0" w:type="dxa"/>
            </w:tcMar>
            <w:vAlign w:val="center"/>
          </w:tcPr>
          <w:p>
            <w:pPr>
              <w:pStyle w:val="TableContents"/>
              <w:bidi w:val="0"/>
              <w:spacing w:before="0" w:after="283"/>
              <w:jc w:val="right"/>
              <w:rPr/>
            </w:pPr>
            <w:r>
              <w:rPr/>
              <w:t> </w:t>
            </w:r>
          </w:p>
        </w:tc>
      </w:tr>
      <w:tr>
        <w:trPr/>
        <w:tc>
          <w:tcPr>
            <w:tcW w:w="6395" w:type="dxa"/>
            <w:tcBorders/>
            <w:tcMar>
              <w:top w:w="0" w:type="dxa"/>
              <w:left w:w="0" w:type="dxa"/>
            </w:tcMar>
            <w:vAlign w:val="center"/>
          </w:tcPr>
          <w:p>
            <w:pPr>
              <w:pStyle w:val="TableContents"/>
              <w:bidi w:val="0"/>
              <w:spacing w:before="0" w:after="283"/>
              <w:jc w:val="left"/>
              <w:rPr/>
            </w:pPr>
            <w:r>
              <w:rPr/>
              <w:t> </w:t>
            </w:r>
          </w:p>
        </w:tc>
        <w:tc>
          <w:tcPr>
            <w:tcW w:w="830" w:type="dxa"/>
            <w:vMerge w:val="restart"/>
            <w:tcBorders>
              <w:top w:val="single" w:sz="8" w:space="0" w:color="000000"/>
              <w:left w:val="single" w:sz="8" w:space="0" w:color="000000"/>
            </w:tcBorders>
            <w:shd w:fill="2AD2C9" w:val="clear"/>
            <w:vAlign w:val="center"/>
          </w:tcPr>
          <w:p>
            <w:pPr>
              <w:pStyle w:val="TableContents"/>
              <w:bidi w:val="0"/>
              <w:spacing w:before="0" w:after="283"/>
              <w:jc w:val="center"/>
              <w:rPr>
                <w:b/>
                <w:color w:val="FFFFFF"/>
                <w:sz w:val="16"/>
              </w:rPr>
            </w:pPr>
            <w:r>
              <w:rPr>
                <w:b/>
                <w:color w:val="FFFFFF"/>
                <w:sz w:val="16"/>
              </w:rPr>
              <w:t>Mar 23</w:t>
            </w:r>
          </w:p>
        </w:tc>
        <w:tc>
          <w:tcPr>
            <w:tcW w:w="830" w:type="dxa"/>
            <w:vMerge w:val="restart"/>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78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b/>
                <w:color w:val="FFFFFF"/>
                <w:sz w:val="16"/>
              </w:rPr>
            </w:pPr>
            <w:r>
              <w:rPr>
                <w:b/>
                <w:color w:val="FFFFFF"/>
                <w:sz w:val="16"/>
              </w:rPr>
              <w:t>Change</w:t>
            </w:r>
          </w:p>
        </w:tc>
      </w:tr>
      <w:tr>
        <w:trPr/>
        <w:tc>
          <w:tcPr>
            <w:tcW w:w="6395" w:type="dxa"/>
            <w:tcBorders/>
            <w:tcMar>
              <w:top w:w="0" w:type="dxa"/>
              <w:left w:w="0" w:type="dxa"/>
            </w:tcMar>
            <w:vAlign w:val="center"/>
          </w:tcPr>
          <w:p>
            <w:pPr>
              <w:pStyle w:val="TableContents"/>
              <w:bidi w:val="0"/>
              <w:spacing w:before="0" w:after="283"/>
              <w:jc w:val="left"/>
              <w:rPr/>
            </w:pPr>
            <w:r>
              <w:rPr/>
              <w:t> </w:t>
            </w:r>
          </w:p>
        </w:tc>
        <w:tc>
          <w:tcPr>
            <w:tcW w:w="830" w:type="dxa"/>
            <w:vMerge w:val="continue"/>
            <w:tcBorders>
              <w:top w:val="single" w:sz="8" w:space="0" w:color="000000"/>
              <w:left w:val="single" w:sz="8" w:space="0" w:color="000000"/>
            </w:tcBorders>
            <w:shd w:fill="2AD2C9" w:val="clear"/>
            <w:vAlign w:val="center"/>
          </w:tcPr>
          <w:p>
            <w:pPr>
              <w:pStyle w:val="Normal"/>
              <w:bidi w:val="0"/>
              <w:jc w:val="left"/>
              <w:rPr/>
            </w:pPr>
            <w:r>
              <w:rPr/>
            </w:r>
          </w:p>
        </w:tc>
        <w:tc>
          <w:tcPr>
            <w:tcW w:w="830" w:type="dxa"/>
            <w:vMerge w:val="continue"/>
            <w:tcBorders>
              <w:top w:val="single" w:sz="8" w:space="0" w:color="000000"/>
              <w:right w:val="single" w:sz="8" w:space="0" w:color="000000"/>
            </w:tcBorders>
            <w:shd w:fill="2AD2C9" w:val="clear"/>
            <w:tcMar>
              <w:left w:w="0" w:type="dxa"/>
              <w:right w:w="60" w:type="dxa"/>
            </w:tcMar>
            <w:vAlign w:val="center"/>
          </w:tcPr>
          <w:p>
            <w:pPr>
              <w:pStyle w:val="Normal"/>
              <w:bidi w:val="0"/>
              <w:jc w:val="left"/>
              <w:rPr/>
            </w:pPr>
            <w:r>
              <w:rPr/>
            </w:r>
          </w:p>
        </w:tc>
        <w:tc>
          <w:tcPr>
            <w:tcW w:w="78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b/>
                <w:color w:val="FFFFFF"/>
                <w:sz w:val="16"/>
              </w:rPr>
            </w:pPr>
            <w:r>
              <w:rPr>
                <w:b/>
                <w:color w:val="FFFFFF"/>
                <w:sz w:val="16"/>
              </w:rPr>
              <w:t>QoQ</w:t>
            </w:r>
          </w:p>
        </w:tc>
      </w:tr>
      <w:tr>
        <w:trPr/>
        <w:tc>
          <w:tcPr>
            <w:tcW w:w="6395" w:type="dxa"/>
            <w:tcBorders>
              <w:top w:val="single" w:sz="8" w:space="0" w:color="000000"/>
              <w:left w:val="single" w:sz="8" w:space="0" w:color="000000"/>
            </w:tcBorders>
            <w:vAlign w:val="center"/>
          </w:tcPr>
          <w:p>
            <w:pPr>
              <w:pStyle w:val="TableContents"/>
              <w:bidi w:val="0"/>
              <w:spacing w:before="0" w:after="283"/>
              <w:jc w:val="left"/>
              <w:rPr>
                <w:b/>
                <w:sz w:val="16"/>
              </w:rPr>
            </w:pPr>
            <w:r>
              <w:rPr>
                <w:b/>
                <w:sz w:val="16"/>
              </w:rPr>
              <w:t>Common Equity Tier 1 Ratio</w:t>
            </w:r>
          </w:p>
        </w:tc>
        <w:tc>
          <w:tcPr>
            <w:tcW w:w="830" w:type="dxa"/>
            <w:tcBorders>
              <w:top w:val="single" w:sz="8" w:space="0" w:color="000000"/>
              <w:left w:val="single" w:sz="8" w:space="0" w:color="000000"/>
            </w:tcBorders>
            <w:vAlign w:val="center"/>
          </w:tcPr>
          <w:p>
            <w:pPr>
              <w:pStyle w:val="TableContents"/>
              <w:bidi w:val="0"/>
              <w:spacing w:before="0" w:after="283"/>
              <w:jc w:val="center"/>
              <w:rPr>
                <w:sz w:val="16"/>
              </w:rPr>
            </w:pPr>
            <w:r>
              <w:rPr>
                <w:sz w:val="16"/>
              </w:rPr>
              <w:t>16.40%</w:t>
            </w:r>
          </w:p>
        </w:tc>
        <w:tc>
          <w:tcPr>
            <w:tcW w:w="830" w:type="dxa"/>
            <w:tcBorders>
              <w:top w:val="single" w:sz="8" w:space="0" w:color="000000"/>
              <w:right w:val="single" w:sz="8" w:space="0" w:color="000000"/>
            </w:tcBorders>
            <w:tcMar>
              <w:left w:w="0" w:type="dxa"/>
              <w:right w:w="60" w:type="dxa"/>
            </w:tcMar>
            <w:vAlign w:val="center"/>
          </w:tcPr>
          <w:p>
            <w:pPr>
              <w:pStyle w:val="TableContents"/>
              <w:bidi w:val="0"/>
              <w:spacing w:before="0" w:after="283"/>
              <w:jc w:val="center"/>
              <w:rPr>
                <w:sz w:val="16"/>
              </w:rPr>
            </w:pPr>
            <w:r>
              <w:rPr>
                <w:sz w:val="16"/>
              </w:rPr>
              <w:t>16.49%</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pPr>
            <w:r>
              <w:rPr/>
              <w:t> </w:t>
            </w:r>
            <w:r>
              <w:rPr>
                <w:sz w:val="16"/>
              </w:rPr>
              <w:t>9 bps </w:t>
            </w:r>
          </w:p>
        </w:tc>
      </w:tr>
      <w:tr>
        <w:trPr/>
        <w:tc>
          <w:tcPr>
            <w:tcW w:w="6395" w:type="dxa"/>
            <w:tcBorders>
              <w:left w:val="single" w:sz="8" w:space="0" w:color="000000"/>
            </w:tcBorders>
            <w:tcMar>
              <w:top w:w="0" w:type="dxa"/>
            </w:tcMar>
            <w:vAlign w:val="center"/>
          </w:tcPr>
          <w:p>
            <w:pPr>
              <w:pStyle w:val="TableContents"/>
              <w:bidi w:val="0"/>
              <w:spacing w:before="0" w:after="283"/>
              <w:jc w:val="left"/>
              <w:rPr>
                <w:b/>
                <w:sz w:val="16"/>
              </w:rPr>
            </w:pPr>
            <w:r>
              <w:rPr>
                <w:b/>
                <w:sz w:val="16"/>
              </w:rPr>
              <w:t>Tier 1 Capital ratio</w:t>
            </w:r>
          </w:p>
        </w:tc>
        <w:tc>
          <w:tcPr>
            <w:tcW w:w="830" w:type="dxa"/>
            <w:tcBorders>
              <w:left w:val="single" w:sz="8" w:space="0" w:color="000000"/>
            </w:tcBorders>
            <w:tcMar>
              <w:top w:w="0" w:type="dxa"/>
            </w:tcMar>
            <w:vAlign w:val="center"/>
          </w:tcPr>
          <w:p>
            <w:pPr>
              <w:pStyle w:val="TableContents"/>
              <w:bidi w:val="0"/>
              <w:spacing w:before="0" w:after="283"/>
              <w:jc w:val="center"/>
              <w:rPr>
                <w:sz w:val="16"/>
              </w:rPr>
            </w:pPr>
            <w:r>
              <w:rPr>
                <w:sz w:val="16"/>
              </w:rPr>
              <w:t>16.40%</w:t>
            </w:r>
          </w:p>
        </w:tc>
        <w:tc>
          <w:tcPr>
            <w:tcW w:w="830" w:type="dxa"/>
            <w:tcBorders>
              <w:right w:val="single" w:sz="8" w:space="0" w:color="000000"/>
            </w:tcBorders>
            <w:tcMar>
              <w:top w:w="0" w:type="dxa"/>
              <w:left w:w="0" w:type="dxa"/>
              <w:right w:w="60" w:type="dxa"/>
            </w:tcMar>
            <w:vAlign w:val="center"/>
          </w:tcPr>
          <w:p>
            <w:pPr>
              <w:pStyle w:val="TableContents"/>
              <w:bidi w:val="0"/>
              <w:spacing w:before="0" w:after="283"/>
              <w:jc w:val="center"/>
              <w:rPr>
                <w:sz w:val="16"/>
              </w:rPr>
            </w:pPr>
            <w:r>
              <w:rPr>
                <w:sz w:val="16"/>
              </w:rPr>
              <w:t>16.49%</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pPr>
            <w:r>
              <w:rPr/>
              <w:t> </w:t>
            </w:r>
            <w:r>
              <w:rPr>
                <w:sz w:val="16"/>
              </w:rPr>
              <w:t>9 bps </w:t>
            </w:r>
          </w:p>
        </w:tc>
      </w:tr>
      <w:tr>
        <w:trPr/>
        <w:tc>
          <w:tcPr>
            <w:tcW w:w="639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b/>
                <w:sz w:val="16"/>
              </w:rPr>
            </w:pPr>
            <w:r>
              <w:rPr>
                <w:b/>
                <w:sz w:val="16"/>
              </w:rPr>
              <w:t>Regulatory Global Capital Ratio </w:t>
            </w:r>
          </w:p>
        </w:tc>
        <w:tc>
          <w:tcPr>
            <w:tcW w:w="83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center"/>
              <w:rPr>
                <w:sz w:val="16"/>
              </w:rPr>
            </w:pPr>
            <w:r>
              <w:rPr>
                <w:sz w:val="16"/>
              </w:rPr>
              <w:t>18.76%</w:t>
            </w:r>
          </w:p>
        </w:tc>
        <w:tc>
          <w:tcPr>
            <w:tcW w:w="830"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center"/>
              <w:rPr>
                <w:sz w:val="16"/>
              </w:rPr>
            </w:pPr>
            <w:r>
              <w:rPr>
                <w:sz w:val="16"/>
              </w:rPr>
              <w:t>18.78%</w:t>
            </w:r>
          </w:p>
        </w:tc>
        <w:tc>
          <w:tcPr>
            <w:tcW w:w="785"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pPr>
            <w:r>
              <w:rPr/>
              <w:t> </w:t>
            </w:r>
            <w:r>
              <w:rPr>
                <w:sz w:val="16"/>
              </w:rPr>
              <w:t>2 bps </w:t>
            </w:r>
          </w:p>
        </w:tc>
      </w:tr>
    </w:tbl>
    <w:p>
      <w:pPr>
        <w:pStyle w:val="TextBody"/>
        <w:bidi w:val="0"/>
        <w:spacing w:before="0" w:after="0"/>
        <w:ind w:left="68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Up to 1.25% of total risk-weighted assets. </w:t>
      </w:r>
    </w:p>
    <w:p>
      <w:pPr>
        <w:pStyle w:val="TextBody"/>
        <w:bidi w:val="0"/>
        <w:spacing w:before="0" w:after="0"/>
        <w:ind w:left="68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Common Equity Tier 1 = Capital Stock + Reserves + Accumulated earnings – Unrealized profits or losses - 100% deductions (investment in subsidiaries, goodwill, intangible assets and deferred tax assets based on future returns). </w:t>
      </w:r>
    </w:p>
    <w:p>
      <w:pPr>
        <w:pStyle w:val="TextBody"/>
        <w:bidi w:val="0"/>
        <w:spacing w:before="0" w:after="0"/>
        <w:ind w:left="68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Regulatory Tier 1 Capital = Common Equity Tier 1 + Tier 1 Subordinated Debt (Perpetual). </w:t>
      </w:r>
    </w:p>
    <w:p>
      <w:pPr>
        <w:pStyle w:val="TextBody"/>
        <w:bidi w:val="0"/>
        <w:spacing w:before="0" w:after="0"/>
        <w:ind w:left="68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Regulatory Tier 2 Capital = Subordinated Debt + Loan loss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8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8" descr=""/>
                          <pic:cNvPicPr>
                            <a:picLocks noChangeAspect="1" noChangeArrowheads="1"/>
                          </pic:cNvPicPr>
                        </pic:nvPicPr>
                        <pic:blipFill>
                          <a:blip r:embed="rId147"/>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Common Equity Tier 1 IFRS</w:t>
      </w:r>
      <w:r>
        <w:rPr>
          <w:rFonts w:ascii="Arial;Helvetica;Sans-Serif" w:hAnsi="Arial;Helvetica;Sans-Serif"/>
          <w:b w:val="false"/>
          <w:i w:val="false"/>
          <w:caps w:val="false"/>
          <w:smallCaps w:val="false"/>
          <w:sz w:val="20"/>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BCP Stand-alone</w:t>
      </w:r>
    </w:p>
    <w:p>
      <w:pPr>
        <w:pStyle w:val="TextBody"/>
        <w:bidi w:val="0"/>
        <w:spacing w:before="0" w:after="0"/>
        <w:ind w:left="0" w:right="0" w:hanging="0"/>
        <w:jc w:val="center"/>
        <w:rPr>
          <w:caps w:val="false"/>
          <w:smallCaps w:val="false"/>
        </w:rPr>
      </w:pPr>
      <w:r>
        <w:rPr>
          <w:caps w:val="false"/>
          <w:smallCaps w:val="false"/>
        </w:rPr>
        <w:t> </w:t>
      </w:r>
    </w:p>
    <w:tbl>
      <w:tblPr>
        <w:tblW w:w="8865" w:type="dxa"/>
        <w:jc w:val="center"/>
        <w:tblInd w:w="0" w:type="dxa"/>
        <w:tblLayout w:type="fixed"/>
        <w:tblCellMar>
          <w:top w:w="28" w:type="dxa"/>
          <w:left w:w="28" w:type="dxa"/>
          <w:bottom w:w="0" w:type="dxa"/>
          <w:right w:w="0" w:type="dxa"/>
        </w:tblCellMar>
      </w:tblPr>
      <w:tblGrid>
        <w:gridCol w:w="2105"/>
        <w:gridCol w:w="1610"/>
        <w:gridCol w:w="1790"/>
        <w:gridCol w:w="1790"/>
        <w:gridCol w:w="785"/>
        <w:gridCol w:w="785"/>
      </w:tblGrid>
      <w:tr>
        <w:trPr/>
        <w:tc>
          <w:tcPr>
            <w:tcW w:w="2105" w:type="dxa"/>
            <w:tcBorders>
              <w:top w:val="single" w:sz="8" w:space="0" w:color="000000"/>
              <w:left w:val="single" w:sz="8" w:space="0" w:color="000000"/>
            </w:tcBorders>
            <w:shd w:fill="2AD2C9" w:val="clear"/>
            <w:vAlign w:val="center"/>
          </w:tcPr>
          <w:p>
            <w:pPr>
              <w:pStyle w:val="TableContents"/>
              <w:bidi w:val="0"/>
              <w:spacing w:before="0" w:after="283"/>
              <w:jc w:val="left"/>
              <w:rPr>
                <w:b/>
                <w:color w:val="FFFFFF"/>
                <w:sz w:val="16"/>
              </w:rPr>
            </w:pPr>
            <w:r>
              <w:rPr>
                <w:b/>
                <w:color w:val="FFFFFF"/>
                <w:sz w:val="16"/>
              </w:rPr>
              <w:t>Common Equity Tier 1 IFRS</w:t>
            </w:r>
          </w:p>
        </w:tc>
        <w:tc>
          <w:tcPr>
            <w:tcW w:w="1610" w:type="dxa"/>
            <w:vMerge w:val="restart"/>
            <w:tcBorders>
              <w:top w:val="single" w:sz="8" w:space="0" w:color="000000"/>
              <w:left w:val="single" w:sz="8" w:space="0" w:color="000000"/>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Jun 22</w:t>
            </w:r>
          </w:p>
        </w:tc>
        <w:tc>
          <w:tcPr>
            <w:tcW w:w="1790" w:type="dxa"/>
            <w:vMerge w:val="restart"/>
            <w:tcBorders>
              <w:top w:val="single" w:sz="8" w:space="0" w:color="000000"/>
              <w:bottom w:val="single" w:sz="8" w:space="0" w:color="000000"/>
            </w:tcBorders>
            <w:shd w:fill="2AD2C9" w:val="clear"/>
            <w:tcMar>
              <w:left w:w="0" w:type="dxa"/>
              <w:bottom w:w="28" w:type="dxa"/>
            </w:tcMar>
            <w:vAlign w:val="center"/>
          </w:tcPr>
          <w:p>
            <w:pPr>
              <w:pStyle w:val="TableContents"/>
              <w:bidi w:val="0"/>
              <w:spacing w:before="0" w:after="283"/>
              <w:jc w:val="center"/>
              <w:rPr>
                <w:b/>
                <w:color w:val="FFFFFF"/>
                <w:sz w:val="16"/>
              </w:rPr>
            </w:pPr>
            <w:r>
              <w:rPr>
                <w:b/>
                <w:color w:val="FFFFFF"/>
                <w:sz w:val="16"/>
              </w:rPr>
              <w:t>Mar 23</w:t>
            </w:r>
          </w:p>
        </w:tc>
        <w:tc>
          <w:tcPr>
            <w:tcW w:w="1790" w:type="dxa"/>
            <w:vMerge w:val="restart"/>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78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78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210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color w:val="FFFFFF"/>
                <w:sz w:val="16"/>
              </w:rPr>
            </w:pPr>
            <w:r>
              <w:rPr>
                <w:color w:val="FFFFFF"/>
                <w:sz w:val="16"/>
              </w:rPr>
              <w:t>(S/ thousand)</w:t>
            </w:r>
          </w:p>
        </w:tc>
        <w:tc>
          <w:tcPr>
            <w:tcW w:w="1610" w:type="dxa"/>
            <w:vMerge w:val="continue"/>
            <w:tcBorders>
              <w:top w:val="single" w:sz="8" w:space="0" w:color="000000"/>
              <w:left w:val="single" w:sz="8" w:space="0" w:color="000000"/>
              <w:bottom w:val="single" w:sz="8" w:space="0" w:color="000000"/>
            </w:tcBorders>
            <w:shd w:fill="2AD2C9" w:val="clear"/>
            <w:tcMar>
              <w:bottom w:w="28" w:type="dxa"/>
            </w:tcMar>
            <w:vAlign w:val="center"/>
          </w:tcPr>
          <w:p>
            <w:pPr>
              <w:pStyle w:val="Normal"/>
              <w:bidi w:val="0"/>
              <w:jc w:val="left"/>
              <w:rPr/>
            </w:pPr>
            <w:r>
              <w:rPr/>
            </w:r>
          </w:p>
        </w:tc>
        <w:tc>
          <w:tcPr>
            <w:tcW w:w="1790" w:type="dxa"/>
            <w:vMerge w:val="continue"/>
            <w:tcBorders>
              <w:top w:val="single" w:sz="8" w:space="0" w:color="000000"/>
              <w:bottom w:val="single" w:sz="8" w:space="0" w:color="000000"/>
            </w:tcBorders>
            <w:shd w:fill="2AD2C9" w:val="clear"/>
            <w:tcMar>
              <w:left w:w="0" w:type="dxa"/>
              <w:bottom w:w="28" w:type="dxa"/>
            </w:tcMar>
            <w:vAlign w:val="center"/>
          </w:tcPr>
          <w:p>
            <w:pPr>
              <w:pStyle w:val="Normal"/>
              <w:bidi w:val="0"/>
              <w:jc w:val="left"/>
              <w:rPr/>
            </w:pPr>
            <w:r>
              <w:rPr/>
            </w:r>
          </w:p>
        </w:tc>
        <w:tc>
          <w:tcPr>
            <w:tcW w:w="1790" w:type="dxa"/>
            <w:vMerge w:val="continue"/>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Normal"/>
              <w:bidi w:val="0"/>
              <w:jc w:val="left"/>
              <w:rPr/>
            </w:pPr>
            <w:r>
              <w:rPr/>
            </w:r>
          </w:p>
        </w:tc>
        <w:tc>
          <w:tcPr>
            <w:tcW w:w="78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b/>
                <w:color w:val="FFFFFF"/>
                <w:sz w:val="16"/>
              </w:rPr>
            </w:pPr>
            <w:r>
              <w:rPr>
                <w:b/>
                <w:color w:val="FFFFFF"/>
                <w:sz w:val="16"/>
              </w:rPr>
              <w:t>QoQ</w:t>
            </w:r>
          </w:p>
        </w:tc>
        <w:tc>
          <w:tcPr>
            <w:tcW w:w="78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b/>
                <w:color w:val="FFFFFF"/>
                <w:sz w:val="16"/>
              </w:rPr>
            </w:pPr>
            <w:r>
              <w:rPr>
                <w:b/>
                <w:color w:val="FFFFFF"/>
                <w:sz w:val="16"/>
              </w:rPr>
              <w:t>YoY</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Capital and reserves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19,181,019</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19,499,813</w:t>
            </w:r>
          </w:p>
        </w:tc>
        <w:tc>
          <w:tcPr>
            <w:tcW w:w="179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19,500,292</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0.0%</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1.7%</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Retained earnings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2,897,372</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2,746,522</w:t>
            </w:r>
          </w:p>
        </w:tc>
        <w:tc>
          <w:tcPr>
            <w:tcW w:w="179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4,000,489</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45.7%</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38.1%</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Unrealized gains (losses)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(1,089,747)</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(467,041)</w:t>
            </w:r>
          </w:p>
        </w:tc>
        <w:tc>
          <w:tcPr>
            <w:tcW w:w="1790"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right"/>
              <w:rPr/>
            </w:pPr>
            <w:r>
              <w:rPr/>
              <w:t>               </w:t>
            </w:r>
            <w:r>
              <w:rPr>
                <w:sz w:val="16"/>
              </w:rPr>
              <w:t>(274,021)</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-41.3%</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-74.9%</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Goodwill and intangibles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(1,312,578)</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(1,454,205)</w:t>
            </w:r>
          </w:p>
        </w:tc>
        <w:tc>
          <w:tcPr>
            <w:tcW w:w="1790"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right"/>
              <w:rPr/>
            </w:pPr>
            <w:r>
              <w:rPr/>
              <w:t>           </w:t>
            </w:r>
            <w:r>
              <w:rPr>
                <w:sz w:val="16"/>
              </w:rPr>
              <w:t>(1,516,702)</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4.3%</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15.6%</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Investments in subsidiaries </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(2,515,685)</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(2,736,368)</w:t>
            </w:r>
          </w:p>
        </w:tc>
        <w:tc>
          <w:tcPr>
            <w:tcW w:w="1790"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right"/>
              <w:rPr/>
            </w:pPr>
            <w:r>
              <w:rPr/>
              <w:t>           </w:t>
            </w:r>
            <w:r>
              <w:rPr>
                <w:sz w:val="16"/>
              </w:rPr>
              <w:t>(2,800,043)</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2.3%</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11.3%</w:t>
            </w:r>
          </w:p>
        </w:tc>
      </w:tr>
      <w:tr>
        <w:trPr/>
        <w:tc>
          <w:tcPr>
            <w:tcW w:w="210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Total</w:t>
            </w:r>
          </w:p>
        </w:tc>
        <w:tc>
          <w:tcPr>
            <w:tcW w:w="1610"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17,160,382</w:t>
            </w:r>
          </w:p>
        </w:tc>
        <w:tc>
          <w:tcPr>
            <w:tcW w:w="1790" w:type="dxa"/>
            <w:tcBorders>
              <w:top w:val="single" w:sz="8" w:space="0" w:color="000000"/>
              <w:bottom w:val="single" w:sz="8" w:space="0" w:color="000000"/>
            </w:tcBorders>
            <w:shd w:fill="FFFFFF" w:val="clear"/>
            <w:tcMar>
              <w:left w:w="0" w:type="dxa"/>
              <w:bottom w:w="28" w:type="dxa"/>
            </w:tcMar>
            <w:vAlign w:val="center"/>
          </w:tcPr>
          <w:p>
            <w:pPr>
              <w:pStyle w:val="TableContents"/>
              <w:bidi w:val="0"/>
              <w:spacing w:before="0" w:after="283"/>
              <w:jc w:val="right"/>
              <w:rPr/>
            </w:pPr>
            <w:r>
              <w:rPr/>
              <w:t>           </w:t>
            </w:r>
            <w:r>
              <w:rPr>
                <w:b/>
                <w:sz w:val="16"/>
              </w:rPr>
              <w:t>17,588,721</w:t>
            </w:r>
          </w:p>
        </w:tc>
        <w:tc>
          <w:tcPr>
            <w:tcW w:w="1790"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right"/>
              <w:rPr/>
            </w:pPr>
            <w:r>
              <w:rPr/>
              <w:t>           </w:t>
            </w:r>
            <w:r>
              <w:rPr>
                <w:b/>
                <w:sz w:val="16"/>
              </w:rPr>
              <w:t>18,910,015</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7.5%</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10.2%</w:t>
            </w:r>
          </w:p>
        </w:tc>
      </w:tr>
      <w:tr>
        <w:trPr/>
        <w:tc>
          <w:tcPr>
            <w:tcW w:w="2105" w:type="dxa"/>
            <w:tcBorders/>
            <w:shd w:fill="FFFFFF" w:val="clear"/>
            <w:tcMar>
              <w:top w:w="0" w:type="dxa"/>
              <w:left w:w="0" w:type="dxa"/>
            </w:tcMar>
            <w:vAlign w:val="center"/>
          </w:tcPr>
          <w:p>
            <w:pPr>
              <w:pStyle w:val="TableContents"/>
              <w:bidi w:val="0"/>
              <w:spacing w:before="0" w:after="283"/>
              <w:jc w:val="left"/>
              <w:rPr/>
            </w:pPr>
            <w:r>
              <w:rPr/>
              <w:t> </w:t>
            </w:r>
          </w:p>
        </w:tc>
        <w:tc>
          <w:tcPr>
            <w:tcW w:w="1610" w:type="dxa"/>
            <w:tcBorders/>
            <w:shd w:fill="FFFFFF" w:val="clear"/>
            <w:tcMar>
              <w:top w:w="0" w:type="dxa"/>
              <w:left w:w="0" w:type="dxa"/>
            </w:tcMar>
            <w:vAlign w:val="center"/>
          </w:tcPr>
          <w:p>
            <w:pPr>
              <w:pStyle w:val="TableContents"/>
              <w:bidi w:val="0"/>
              <w:spacing w:before="0" w:after="283"/>
              <w:jc w:val="right"/>
              <w:rPr/>
            </w:pPr>
            <w:r>
              <w:rPr/>
              <w:t> </w:t>
            </w:r>
          </w:p>
        </w:tc>
        <w:tc>
          <w:tcPr>
            <w:tcW w:w="1790" w:type="dxa"/>
            <w:tcBorders/>
            <w:shd w:fill="FFFFFF" w:val="clear"/>
            <w:tcMar>
              <w:top w:w="0" w:type="dxa"/>
              <w:left w:w="0" w:type="dxa"/>
            </w:tcMar>
            <w:vAlign w:val="center"/>
          </w:tcPr>
          <w:p>
            <w:pPr>
              <w:pStyle w:val="TableContents"/>
              <w:bidi w:val="0"/>
              <w:spacing w:before="0" w:after="283"/>
              <w:jc w:val="right"/>
              <w:rPr/>
            </w:pPr>
            <w:r>
              <w:rPr/>
              <w:t> </w:t>
            </w:r>
          </w:p>
        </w:tc>
        <w:tc>
          <w:tcPr>
            <w:tcW w:w="1790" w:type="dxa"/>
            <w:tcBorders/>
            <w:shd w:fill="FFFFFF" w:val="clear"/>
            <w:tcMar>
              <w:top w:w="0" w:type="dxa"/>
              <w:left w:w="0" w:type="dxa"/>
            </w:tcMar>
            <w:vAlign w:val="center"/>
          </w:tcPr>
          <w:p>
            <w:pPr>
              <w:pStyle w:val="TableContents"/>
              <w:bidi w:val="0"/>
              <w:spacing w:before="0" w:after="283"/>
              <w:jc w:val="right"/>
              <w:rPr/>
            </w:pPr>
            <w:r>
              <w:rPr/>
              <w:t> </w:t>
            </w:r>
          </w:p>
        </w:tc>
        <w:tc>
          <w:tcPr>
            <w:tcW w:w="785" w:type="dxa"/>
            <w:tcBorders/>
            <w:shd w:fill="FFFFFF" w:val="clear"/>
            <w:tcMar>
              <w:top w:w="0" w:type="dxa"/>
              <w:left w:w="0" w:type="dxa"/>
            </w:tcMar>
            <w:vAlign w:val="center"/>
          </w:tcPr>
          <w:p>
            <w:pPr>
              <w:pStyle w:val="TableContents"/>
              <w:bidi w:val="0"/>
              <w:spacing w:before="0" w:after="283"/>
              <w:jc w:val="center"/>
              <w:rPr/>
            </w:pPr>
            <w:r>
              <w:rPr/>
              <w:t> </w:t>
            </w:r>
          </w:p>
        </w:tc>
        <w:tc>
          <w:tcPr>
            <w:tcW w:w="785" w:type="dxa"/>
            <w:tcBorders/>
            <w:shd w:fill="FFFFFF" w:val="clear"/>
            <w:tcMar>
              <w:top w:w="0" w:type="dxa"/>
              <w:left w:w="0" w:type="dxa"/>
            </w:tcMar>
            <w:vAlign w:val="center"/>
          </w:tcPr>
          <w:p>
            <w:pPr>
              <w:pStyle w:val="TableContents"/>
              <w:bidi w:val="0"/>
              <w:spacing w:before="0" w:after="283"/>
              <w:jc w:val="center"/>
              <w:rPr/>
            </w:pPr>
            <w:r>
              <w:rPr/>
              <w:t> </w:t>
            </w:r>
          </w:p>
        </w:tc>
      </w:tr>
      <w:tr>
        <w:trPr/>
        <w:tc>
          <w:tcPr>
            <w:tcW w:w="210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Adjusted RWAs IFRS</w:t>
            </w:r>
          </w:p>
        </w:tc>
        <w:tc>
          <w:tcPr>
            <w:tcW w:w="1610"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148,337,779</w:t>
            </w:r>
          </w:p>
        </w:tc>
        <w:tc>
          <w:tcPr>
            <w:tcW w:w="1790" w:type="dxa"/>
            <w:tcBorders>
              <w:top w:val="single" w:sz="8" w:space="0" w:color="000000"/>
              <w:bottom w:val="single" w:sz="8" w:space="0" w:color="000000"/>
            </w:tcBorders>
            <w:shd w:fill="FFFFFF" w:val="clear"/>
            <w:tcMar>
              <w:left w:w="0" w:type="dxa"/>
              <w:bottom w:w="28" w:type="dxa"/>
            </w:tcMar>
            <w:vAlign w:val="center"/>
          </w:tcPr>
          <w:p>
            <w:pPr>
              <w:pStyle w:val="TableContents"/>
              <w:bidi w:val="0"/>
              <w:spacing w:before="0" w:after="283"/>
              <w:jc w:val="right"/>
              <w:rPr/>
            </w:pPr>
            <w:r>
              <w:rPr/>
              <w:t>        </w:t>
            </w:r>
            <w:r>
              <w:rPr>
                <w:b/>
                <w:sz w:val="16"/>
              </w:rPr>
              <w:t>147,477,433</w:t>
            </w:r>
          </w:p>
        </w:tc>
        <w:tc>
          <w:tcPr>
            <w:tcW w:w="1790"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right"/>
              <w:rPr/>
            </w:pPr>
            <w:r>
              <w:rPr/>
              <w:t>        </w:t>
            </w:r>
            <w:r>
              <w:rPr>
                <w:b/>
                <w:sz w:val="16"/>
              </w:rPr>
              <w:t>147,805,770</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0.2%</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-0.4%</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Adjusted Credit RWAs IFRS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132,793,731</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130,880,511</w:t>
            </w:r>
          </w:p>
        </w:tc>
        <w:tc>
          <w:tcPr>
            <w:tcW w:w="179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130,090,719</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-0.6%</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-2.0%</w:t>
            </w:r>
          </w:p>
        </w:tc>
      </w:tr>
      <w:tr>
        <w:trPr/>
        <w:tc>
          <w:tcPr>
            <w:tcW w:w="210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sz w:val="16"/>
              </w:rPr>
            </w:pPr>
            <w:r>
              <w:rPr>
                <w:sz w:val="16"/>
              </w:rPr>
              <w:t>Others</w:t>
            </w:r>
          </w:p>
        </w:tc>
        <w:tc>
          <w:tcPr>
            <w:tcW w:w="161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pPr>
            <w:r>
              <w:rPr/>
              <w:t>        </w:t>
            </w:r>
            <w:r>
              <w:rPr>
                <w:sz w:val="16"/>
              </w:rPr>
              <w:t>15,544,047</w:t>
            </w:r>
          </w:p>
        </w:tc>
        <w:tc>
          <w:tcPr>
            <w:tcW w:w="1790" w:type="dxa"/>
            <w:tcBorders>
              <w:bottom w:val="single" w:sz="8" w:space="0" w:color="000000"/>
            </w:tcBorders>
            <w:shd w:fill="FFFFFF" w:val="clear"/>
            <w:tcMar>
              <w:top w:w="0" w:type="dxa"/>
              <w:left w:w="0" w:type="dxa"/>
              <w:bottom w:w="28" w:type="dxa"/>
            </w:tcMar>
            <w:vAlign w:val="center"/>
          </w:tcPr>
          <w:p>
            <w:pPr>
              <w:pStyle w:val="TableContents"/>
              <w:bidi w:val="0"/>
              <w:spacing w:before="0" w:after="283"/>
              <w:jc w:val="right"/>
              <w:rPr/>
            </w:pPr>
            <w:r>
              <w:rPr/>
              <w:t>           </w:t>
            </w:r>
            <w:r>
              <w:rPr>
                <w:sz w:val="16"/>
              </w:rPr>
              <w:t>16,596,922</w:t>
            </w:r>
          </w:p>
        </w:tc>
        <w:tc>
          <w:tcPr>
            <w:tcW w:w="1790"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pPr>
            <w:r>
              <w:rPr/>
              <w:t>           </w:t>
            </w:r>
            <w:r>
              <w:rPr>
                <w:sz w:val="16"/>
              </w:rPr>
              <w:t>17,715,052</w:t>
            </w:r>
          </w:p>
        </w:tc>
        <w:tc>
          <w:tcPr>
            <w:tcW w:w="785"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sz w:val="16"/>
              </w:rPr>
            </w:pPr>
            <w:r>
              <w:rPr>
                <w:sz w:val="16"/>
              </w:rPr>
              <w:t>6.7%</w:t>
            </w:r>
          </w:p>
        </w:tc>
        <w:tc>
          <w:tcPr>
            <w:tcW w:w="785"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sz w:val="16"/>
              </w:rPr>
            </w:pPr>
            <w:r>
              <w:rPr>
                <w:sz w:val="16"/>
              </w:rPr>
              <w:t>14.0%</w:t>
            </w:r>
          </w:p>
        </w:tc>
      </w:tr>
      <w:tr>
        <w:trPr/>
        <w:tc>
          <w:tcPr>
            <w:tcW w:w="2105" w:type="dxa"/>
            <w:tcBorders/>
            <w:tcMar>
              <w:top w:w="0" w:type="dxa"/>
              <w:left w:w="0" w:type="dxa"/>
            </w:tcMar>
            <w:vAlign w:val="center"/>
          </w:tcPr>
          <w:p>
            <w:pPr>
              <w:pStyle w:val="TableContents"/>
              <w:bidi w:val="0"/>
              <w:spacing w:before="0" w:after="283"/>
              <w:jc w:val="left"/>
              <w:rPr/>
            </w:pPr>
            <w:r>
              <w:rPr/>
              <w:t> </w:t>
            </w:r>
          </w:p>
        </w:tc>
        <w:tc>
          <w:tcPr>
            <w:tcW w:w="1610" w:type="dxa"/>
            <w:tcBorders/>
            <w:shd w:fill="FFFFFF" w:val="clear"/>
            <w:tcMar>
              <w:top w:w="0" w:type="dxa"/>
              <w:lef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tcMar>
            <w:vAlign w:val="center"/>
          </w:tcPr>
          <w:p>
            <w:pPr>
              <w:pStyle w:val="TableContents"/>
              <w:bidi w:val="0"/>
              <w:spacing w:before="0" w:after="283"/>
              <w:jc w:val="left"/>
              <w:rPr/>
            </w:pPr>
            <w:r>
              <w:rPr/>
              <w:t> </w:t>
            </w:r>
          </w:p>
        </w:tc>
      </w:tr>
      <w:tr>
        <w:trPr/>
        <w:tc>
          <w:tcPr>
            <w:tcW w:w="210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CET1 ratio IFRS</w:t>
            </w:r>
          </w:p>
        </w:tc>
        <w:tc>
          <w:tcPr>
            <w:tcW w:w="1610"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11.57%</w:t>
            </w:r>
          </w:p>
        </w:tc>
        <w:tc>
          <w:tcPr>
            <w:tcW w:w="1790" w:type="dxa"/>
            <w:tcBorders>
              <w:top w:val="single" w:sz="8" w:space="0" w:color="000000"/>
              <w:bottom w:val="single" w:sz="8" w:space="0" w:color="000000"/>
            </w:tcBorders>
            <w:shd w:fill="FFFFFF" w:val="clear"/>
            <w:tcMar>
              <w:left w:w="0" w:type="dxa"/>
              <w:bottom w:w="28" w:type="dxa"/>
            </w:tcMar>
            <w:vAlign w:val="center"/>
          </w:tcPr>
          <w:p>
            <w:pPr>
              <w:pStyle w:val="TableContents"/>
              <w:bidi w:val="0"/>
              <w:spacing w:before="0" w:after="283"/>
              <w:jc w:val="right"/>
              <w:rPr>
                <w:b/>
                <w:sz w:val="16"/>
              </w:rPr>
            </w:pPr>
            <w:r>
              <w:rPr>
                <w:b/>
                <w:sz w:val="16"/>
              </w:rPr>
              <w:t>11.93%</w:t>
            </w:r>
          </w:p>
        </w:tc>
        <w:tc>
          <w:tcPr>
            <w:tcW w:w="1790"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right"/>
              <w:rPr>
                <w:b/>
                <w:sz w:val="16"/>
              </w:rPr>
            </w:pPr>
            <w:r>
              <w:rPr>
                <w:b/>
                <w:sz w:val="16"/>
              </w:rPr>
              <w:t>12.79%</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right"/>
              <w:rPr/>
            </w:pPr>
            <w:r>
              <w:rPr/>
              <w:t> </w:t>
            </w:r>
            <w:r>
              <w:rPr>
                <w:b/>
                <w:sz w:val="16"/>
              </w:rPr>
              <w:t>87 bps </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right"/>
              <w:rPr/>
            </w:pPr>
            <w:r>
              <w:rPr/>
              <w:t> </w:t>
            </w:r>
            <w:r>
              <w:rPr>
                <w:b/>
                <w:sz w:val="16"/>
              </w:rPr>
              <w:t>123 bps </w:t>
            </w:r>
          </w:p>
        </w:tc>
      </w:tr>
      <w:tr>
        <w:trPr/>
        <w:tc>
          <w:tcPr>
            <w:tcW w:w="2105" w:type="dxa"/>
            <w:tcBorders/>
            <w:shd w:fill="FFFFFF" w:val="clear"/>
            <w:tcMar>
              <w:top w:w="0" w:type="dxa"/>
              <w:left w:w="0" w:type="dxa"/>
            </w:tcMar>
            <w:vAlign w:val="center"/>
          </w:tcPr>
          <w:p>
            <w:pPr>
              <w:pStyle w:val="TableContents"/>
              <w:bidi w:val="0"/>
              <w:spacing w:before="0" w:after="283"/>
              <w:jc w:val="left"/>
              <w:rPr/>
            </w:pPr>
            <w:r>
              <w:rPr/>
              <w:t> </w:t>
            </w:r>
          </w:p>
        </w:tc>
        <w:tc>
          <w:tcPr>
            <w:tcW w:w="1610" w:type="dxa"/>
            <w:tcBorders/>
            <w:shd w:fill="FFFFFF" w:val="clear"/>
            <w:tcMar>
              <w:top w:w="0" w:type="dxa"/>
              <w:lef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tcMar>
            <w:vAlign w:val="center"/>
          </w:tcPr>
          <w:p>
            <w:pPr>
              <w:pStyle w:val="TableContents"/>
              <w:bidi w:val="0"/>
              <w:spacing w:before="0" w:after="283"/>
              <w:jc w:val="left"/>
              <w:rPr/>
            </w:pPr>
            <w:r>
              <w:rPr/>
              <w:t> </w:t>
            </w:r>
          </w:p>
        </w:tc>
      </w:tr>
      <w:tr>
        <w:trPr/>
        <w:tc>
          <w:tcPr>
            <w:tcW w:w="8865" w:type="dxa"/>
            <w:gridSpan w:val="6"/>
            <w:tcBorders/>
            <w:shd w:fill="FFFFFF" w:val="clear"/>
            <w:tcMar>
              <w:top w:w="0" w:type="dxa"/>
              <w:left w:w="0" w:type="dxa"/>
            </w:tcMar>
            <w:vAlign w:val="center"/>
          </w:tcPr>
          <w:p>
            <w:pPr>
              <w:pStyle w:val="TableContents"/>
              <w:bidi w:val="0"/>
              <w:spacing w:before="0" w:after="283"/>
              <w:jc w:val="center"/>
              <w:rPr>
                <w:b/>
                <w:sz w:val="20"/>
              </w:rPr>
            </w:pPr>
            <w:r>
              <w:rPr>
                <w:b/>
                <w:sz w:val="20"/>
              </w:rPr>
              <w:t>Mibanco</w:t>
            </w:r>
          </w:p>
        </w:tc>
      </w:tr>
      <w:tr>
        <w:trPr/>
        <w:tc>
          <w:tcPr>
            <w:tcW w:w="2105" w:type="dxa"/>
            <w:tcBorders/>
            <w:shd w:fill="FFFFFF" w:val="clear"/>
            <w:tcMar>
              <w:top w:w="0" w:type="dxa"/>
              <w:left w:w="0" w:type="dxa"/>
            </w:tcMar>
            <w:vAlign w:val="center"/>
          </w:tcPr>
          <w:p>
            <w:pPr>
              <w:pStyle w:val="TableContents"/>
              <w:bidi w:val="0"/>
              <w:spacing w:before="0" w:after="283"/>
              <w:jc w:val="left"/>
              <w:rPr/>
            </w:pPr>
            <w:r>
              <w:rPr/>
              <w:t> </w:t>
            </w:r>
          </w:p>
        </w:tc>
        <w:tc>
          <w:tcPr>
            <w:tcW w:w="1610" w:type="dxa"/>
            <w:tcBorders/>
            <w:shd w:fill="FFFFFF" w:val="clear"/>
            <w:tcMar>
              <w:top w:w="0" w:type="dxa"/>
              <w:lef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tcMar>
            <w:vAlign w:val="center"/>
          </w:tcPr>
          <w:p>
            <w:pPr>
              <w:pStyle w:val="TableContents"/>
              <w:bidi w:val="0"/>
              <w:spacing w:before="0" w:after="283"/>
              <w:jc w:val="left"/>
              <w:rPr/>
            </w:pPr>
            <w:r>
              <w:rPr/>
              <w:t> </w:t>
            </w:r>
          </w:p>
        </w:tc>
      </w:tr>
      <w:tr>
        <w:trPr/>
        <w:tc>
          <w:tcPr>
            <w:tcW w:w="2105" w:type="dxa"/>
            <w:tcBorders>
              <w:top w:val="single" w:sz="8" w:space="0" w:color="000000"/>
              <w:left w:val="single" w:sz="8" w:space="0" w:color="000000"/>
            </w:tcBorders>
            <w:shd w:fill="2AD2C9" w:val="clear"/>
            <w:vAlign w:val="center"/>
          </w:tcPr>
          <w:p>
            <w:pPr>
              <w:pStyle w:val="TableContents"/>
              <w:bidi w:val="0"/>
              <w:spacing w:before="0" w:after="283"/>
              <w:jc w:val="left"/>
              <w:rPr>
                <w:b/>
                <w:color w:val="FFFFFF"/>
                <w:sz w:val="16"/>
              </w:rPr>
            </w:pPr>
            <w:r>
              <w:rPr>
                <w:b/>
                <w:color w:val="FFFFFF"/>
                <w:sz w:val="16"/>
              </w:rPr>
              <w:t>Common Equity Tier 1 IFRS</w:t>
            </w:r>
          </w:p>
        </w:tc>
        <w:tc>
          <w:tcPr>
            <w:tcW w:w="1610" w:type="dxa"/>
            <w:vMerge w:val="restart"/>
            <w:tcBorders>
              <w:top w:val="single" w:sz="8" w:space="0" w:color="000000"/>
              <w:left w:val="single" w:sz="8" w:space="0" w:color="000000"/>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Jun 22</w:t>
            </w:r>
          </w:p>
        </w:tc>
        <w:tc>
          <w:tcPr>
            <w:tcW w:w="1790" w:type="dxa"/>
            <w:vMerge w:val="restart"/>
            <w:tcBorders>
              <w:top w:val="single" w:sz="8" w:space="0" w:color="000000"/>
              <w:bottom w:val="single" w:sz="8" w:space="0" w:color="000000"/>
            </w:tcBorders>
            <w:shd w:fill="2AD2C9" w:val="clear"/>
            <w:tcMar>
              <w:left w:w="0" w:type="dxa"/>
              <w:bottom w:w="28" w:type="dxa"/>
            </w:tcMar>
            <w:vAlign w:val="center"/>
          </w:tcPr>
          <w:p>
            <w:pPr>
              <w:pStyle w:val="TableContents"/>
              <w:bidi w:val="0"/>
              <w:spacing w:before="0" w:after="283"/>
              <w:jc w:val="center"/>
              <w:rPr>
                <w:b/>
                <w:color w:val="FFFFFF"/>
                <w:sz w:val="16"/>
              </w:rPr>
            </w:pPr>
            <w:r>
              <w:rPr>
                <w:b/>
                <w:color w:val="FFFFFF"/>
                <w:sz w:val="16"/>
              </w:rPr>
              <w:t>Mar 23</w:t>
            </w:r>
          </w:p>
        </w:tc>
        <w:tc>
          <w:tcPr>
            <w:tcW w:w="1790" w:type="dxa"/>
            <w:vMerge w:val="restart"/>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78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785" w:type="dxa"/>
            <w:tcBorders>
              <w:top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210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color w:val="FFFFFF"/>
                <w:sz w:val="16"/>
              </w:rPr>
            </w:pPr>
            <w:r>
              <w:rPr>
                <w:color w:val="FFFFFF"/>
                <w:sz w:val="16"/>
              </w:rPr>
              <w:t>(S/ thousand)</w:t>
            </w:r>
          </w:p>
        </w:tc>
        <w:tc>
          <w:tcPr>
            <w:tcW w:w="1610" w:type="dxa"/>
            <w:vMerge w:val="continue"/>
            <w:tcBorders>
              <w:top w:val="single" w:sz="8" w:space="0" w:color="000000"/>
              <w:left w:val="single" w:sz="8" w:space="0" w:color="000000"/>
              <w:bottom w:val="single" w:sz="8" w:space="0" w:color="000000"/>
            </w:tcBorders>
            <w:shd w:fill="2AD2C9" w:val="clear"/>
            <w:tcMar>
              <w:bottom w:w="28" w:type="dxa"/>
            </w:tcMar>
            <w:vAlign w:val="center"/>
          </w:tcPr>
          <w:p>
            <w:pPr>
              <w:pStyle w:val="Normal"/>
              <w:bidi w:val="0"/>
              <w:jc w:val="left"/>
              <w:rPr/>
            </w:pPr>
            <w:r>
              <w:rPr/>
            </w:r>
          </w:p>
        </w:tc>
        <w:tc>
          <w:tcPr>
            <w:tcW w:w="1790" w:type="dxa"/>
            <w:vMerge w:val="continue"/>
            <w:tcBorders>
              <w:top w:val="single" w:sz="8" w:space="0" w:color="000000"/>
              <w:bottom w:val="single" w:sz="8" w:space="0" w:color="000000"/>
            </w:tcBorders>
            <w:shd w:fill="2AD2C9" w:val="clear"/>
            <w:tcMar>
              <w:left w:w="0" w:type="dxa"/>
              <w:bottom w:w="28" w:type="dxa"/>
            </w:tcMar>
            <w:vAlign w:val="center"/>
          </w:tcPr>
          <w:p>
            <w:pPr>
              <w:pStyle w:val="Normal"/>
              <w:bidi w:val="0"/>
              <w:jc w:val="left"/>
              <w:rPr/>
            </w:pPr>
            <w:r>
              <w:rPr/>
            </w:r>
          </w:p>
        </w:tc>
        <w:tc>
          <w:tcPr>
            <w:tcW w:w="1790" w:type="dxa"/>
            <w:vMerge w:val="continue"/>
            <w:tcBorders>
              <w:top w:val="single" w:sz="8" w:space="0" w:color="000000"/>
              <w:bottom w:val="single" w:sz="8" w:space="0" w:color="000000"/>
              <w:right w:val="single" w:sz="8" w:space="0" w:color="000000"/>
            </w:tcBorders>
            <w:shd w:fill="2AD2C9" w:val="clear"/>
            <w:tcMar>
              <w:left w:w="0" w:type="dxa"/>
              <w:bottom w:w="28" w:type="dxa"/>
              <w:right w:w="60" w:type="dxa"/>
            </w:tcMar>
            <w:vAlign w:val="center"/>
          </w:tcPr>
          <w:p>
            <w:pPr>
              <w:pStyle w:val="Normal"/>
              <w:bidi w:val="0"/>
              <w:jc w:val="left"/>
              <w:rPr/>
            </w:pPr>
            <w:r>
              <w:rPr/>
            </w:r>
          </w:p>
        </w:tc>
        <w:tc>
          <w:tcPr>
            <w:tcW w:w="78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b/>
                <w:color w:val="FFFFFF"/>
                <w:sz w:val="16"/>
              </w:rPr>
            </w:pPr>
            <w:r>
              <w:rPr>
                <w:b/>
                <w:color w:val="FFFFFF"/>
                <w:sz w:val="16"/>
              </w:rPr>
              <w:t>QoQ</w:t>
            </w:r>
          </w:p>
        </w:tc>
        <w:tc>
          <w:tcPr>
            <w:tcW w:w="785"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b/>
                <w:color w:val="FFFFFF"/>
                <w:sz w:val="16"/>
              </w:rPr>
            </w:pPr>
            <w:r>
              <w:rPr>
                <w:b/>
                <w:color w:val="FFFFFF"/>
                <w:sz w:val="16"/>
              </w:rPr>
              <w:t>YoY</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Capital and reserves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2,632,956</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2,676,791</w:t>
            </w:r>
          </w:p>
        </w:tc>
        <w:tc>
          <w:tcPr>
            <w:tcW w:w="179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2,676,791</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0.0%</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1.7%</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Retained earnings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(32,701)</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140,612</w:t>
            </w:r>
          </w:p>
        </w:tc>
        <w:tc>
          <w:tcPr>
            <w:tcW w:w="179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206,920</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47.2%</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N/A</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Unrealized gains (losses)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(13,045)</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(16,118)</w:t>
            </w:r>
          </w:p>
        </w:tc>
        <w:tc>
          <w:tcPr>
            <w:tcW w:w="1790"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right"/>
              <w:rPr/>
            </w:pPr>
            <w:r>
              <w:rPr/>
              <w:t>                   </w:t>
            </w:r>
            <w:r>
              <w:rPr>
                <w:sz w:val="16"/>
              </w:rPr>
              <w:t>(5,399)</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-66.5%</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-58.6%</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Goodwill and intangibles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(332,258)</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(342,684)</w:t>
            </w:r>
          </w:p>
        </w:tc>
        <w:tc>
          <w:tcPr>
            <w:tcW w:w="1790"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right"/>
              <w:rPr/>
            </w:pPr>
            <w:r>
              <w:rPr/>
              <w:t>               </w:t>
            </w:r>
            <w:r>
              <w:rPr>
                <w:sz w:val="16"/>
              </w:rPr>
              <w:t>(344,323)</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0.5%</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3.6%</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Investments in subsidiaries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(241)</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(281)</w:t>
            </w:r>
          </w:p>
        </w:tc>
        <w:tc>
          <w:tcPr>
            <w:tcW w:w="1790"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right"/>
              <w:rPr/>
            </w:pPr>
            <w:r>
              <w:rPr/>
              <w:t>                       </w:t>
            </w:r>
            <w:r>
              <w:rPr>
                <w:sz w:val="16"/>
              </w:rPr>
              <w:t>(275)</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-2.0%</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14.4%</w:t>
            </w:r>
          </w:p>
        </w:tc>
      </w:tr>
      <w:tr>
        <w:trPr/>
        <w:tc>
          <w:tcPr>
            <w:tcW w:w="210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Total</w:t>
            </w:r>
          </w:p>
        </w:tc>
        <w:tc>
          <w:tcPr>
            <w:tcW w:w="1610"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2,254,711</w:t>
            </w:r>
          </w:p>
        </w:tc>
        <w:tc>
          <w:tcPr>
            <w:tcW w:w="1790" w:type="dxa"/>
            <w:tcBorders>
              <w:top w:val="single" w:sz="8" w:space="0" w:color="000000"/>
              <w:bottom w:val="single" w:sz="8" w:space="0" w:color="000000"/>
            </w:tcBorders>
            <w:shd w:fill="FFFFFF" w:val="clear"/>
            <w:tcMar>
              <w:left w:w="0" w:type="dxa"/>
              <w:bottom w:w="28" w:type="dxa"/>
            </w:tcMar>
            <w:vAlign w:val="center"/>
          </w:tcPr>
          <w:p>
            <w:pPr>
              <w:pStyle w:val="TableContents"/>
              <w:bidi w:val="0"/>
              <w:spacing w:before="0" w:after="283"/>
              <w:jc w:val="right"/>
              <w:rPr/>
            </w:pPr>
            <w:r>
              <w:rPr/>
              <w:t>             </w:t>
            </w:r>
            <w:r>
              <w:rPr>
                <w:b/>
                <w:sz w:val="16"/>
              </w:rPr>
              <w:t>2,458,321</w:t>
            </w:r>
          </w:p>
        </w:tc>
        <w:tc>
          <w:tcPr>
            <w:tcW w:w="1790"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right"/>
              <w:rPr/>
            </w:pPr>
            <w:r>
              <w:rPr/>
              <w:t>             </w:t>
            </w:r>
            <w:r>
              <w:rPr>
                <w:b/>
                <w:sz w:val="16"/>
              </w:rPr>
              <w:t>2,533,715</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3.1%</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12.4%</w:t>
            </w:r>
          </w:p>
        </w:tc>
      </w:tr>
      <w:tr>
        <w:trPr/>
        <w:tc>
          <w:tcPr>
            <w:tcW w:w="2105" w:type="dxa"/>
            <w:tcBorders/>
            <w:shd w:fill="FFFFFF" w:val="clear"/>
            <w:tcMar>
              <w:top w:w="0" w:type="dxa"/>
              <w:left w:w="0" w:type="dxa"/>
            </w:tcMar>
            <w:vAlign w:val="center"/>
          </w:tcPr>
          <w:p>
            <w:pPr>
              <w:pStyle w:val="TableContents"/>
              <w:bidi w:val="0"/>
              <w:spacing w:before="0" w:after="283"/>
              <w:jc w:val="left"/>
              <w:rPr/>
            </w:pPr>
            <w:r>
              <w:rPr/>
              <w:t> </w:t>
            </w:r>
          </w:p>
        </w:tc>
        <w:tc>
          <w:tcPr>
            <w:tcW w:w="1610" w:type="dxa"/>
            <w:tcBorders/>
            <w:shd w:fill="FFFFFF" w:val="clear"/>
            <w:tcMar>
              <w:top w:w="0" w:type="dxa"/>
              <w:left w:w="0" w:type="dxa"/>
            </w:tcMar>
            <w:vAlign w:val="center"/>
          </w:tcPr>
          <w:p>
            <w:pPr>
              <w:pStyle w:val="TableContents"/>
              <w:bidi w:val="0"/>
              <w:spacing w:before="0" w:after="283"/>
              <w:jc w:val="right"/>
              <w:rPr/>
            </w:pPr>
            <w:r>
              <w:rPr/>
              <w:t> </w:t>
            </w:r>
          </w:p>
        </w:tc>
        <w:tc>
          <w:tcPr>
            <w:tcW w:w="1790" w:type="dxa"/>
            <w:tcBorders/>
            <w:shd w:fill="FFFFFF" w:val="clear"/>
            <w:tcMar>
              <w:top w:w="0" w:type="dxa"/>
              <w:left w:w="0" w:type="dxa"/>
            </w:tcMar>
            <w:vAlign w:val="center"/>
          </w:tcPr>
          <w:p>
            <w:pPr>
              <w:pStyle w:val="TableContents"/>
              <w:bidi w:val="0"/>
              <w:spacing w:before="0" w:after="283"/>
              <w:jc w:val="right"/>
              <w:rPr/>
            </w:pPr>
            <w:r>
              <w:rPr/>
              <w:t> </w:t>
            </w:r>
          </w:p>
        </w:tc>
        <w:tc>
          <w:tcPr>
            <w:tcW w:w="1790" w:type="dxa"/>
            <w:tcBorders/>
            <w:shd w:fill="FFFFFF" w:val="clear"/>
            <w:tcMar>
              <w:top w:w="0" w:type="dxa"/>
              <w:left w:w="0" w:type="dxa"/>
            </w:tcMar>
            <w:vAlign w:val="center"/>
          </w:tcPr>
          <w:p>
            <w:pPr>
              <w:pStyle w:val="TableContents"/>
              <w:bidi w:val="0"/>
              <w:spacing w:before="0" w:after="283"/>
              <w:jc w:val="right"/>
              <w:rPr/>
            </w:pPr>
            <w:r>
              <w:rPr/>
              <w:t> </w:t>
            </w:r>
          </w:p>
        </w:tc>
        <w:tc>
          <w:tcPr>
            <w:tcW w:w="785" w:type="dxa"/>
            <w:tcBorders/>
            <w:shd w:fill="FFFFFF" w:val="clear"/>
            <w:tcMar>
              <w:top w:w="0" w:type="dxa"/>
              <w:left w:w="0" w:type="dxa"/>
            </w:tcMar>
            <w:vAlign w:val="center"/>
          </w:tcPr>
          <w:p>
            <w:pPr>
              <w:pStyle w:val="TableContents"/>
              <w:bidi w:val="0"/>
              <w:spacing w:before="0" w:after="283"/>
              <w:jc w:val="center"/>
              <w:rPr/>
            </w:pPr>
            <w:r>
              <w:rPr/>
              <w:t> </w:t>
            </w:r>
          </w:p>
        </w:tc>
        <w:tc>
          <w:tcPr>
            <w:tcW w:w="785" w:type="dxa"/>
            <w:tcBorders/>
            <w:shd w:fill="FFFFFF" w:val="clear"/>
            <w:tcMar>
              <w:top w:w="0" w:type="dxa"/>
              <w:left w:w="0" w:type="dxa"/>
            </w:tcMar>
            <w:vAlign w:val="center"/>
          </w:tcPr>
          <w:p>
            <w:pPr>
              <w:pStyle w:val="TableContents"/>
              <w:bidi w:val="0"/>
              <w:spacing w:before="0" w:after="283"/>
              <w:jc w:val="center"/>
              <w:rPr/>
            </w:pPr>
            <w:r>
              <w:rPr/>
              <w:t> </w:t>
            </w:r>
          </w:p>
        </w:tc>
      </w:tr>
      <w:tr>
        <w:trPr/>
        <w:tc>
          <w:tcPr>
            <w:tcW w:w="210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Adjusted RWAs IFRS</w:t>
            </w:r>
          </w:p>
        </w:tc>
        <w:tc>
          <w:tcPr>
            <w:tcW w:w="1610"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14,787,084</w:t>
            </w:r>
          </w:p>
        </w:tc>
        <w:tc>
          <w:tcPr>
            <w:tcW w:w="1790" w:type="dxa"/>
            <w:tcBorders>
              <w:top w:val="single" w:sz="8" w:space="0" w:color="000000"/>
              <w:bottom w:val="single" w:sz="8" w:space="0" w:color="000000"/>
            </w:tcBorders>
            <w:shd w:fill="FFFFFF" w:val="clear"/>
            <w:tcMar>
              <w:left w:w="0" w:type="dxa"/>
              <w:bottom w:w="28" w:type="dxa"/>
            </w:tcMar>
            <w:vAlign w:val="center"/>
          </w:tcPr>
          <w:p>
            <w:pPr>
              <w:pStyle w:val="TableContents"/>
              <w:bidi w:val="0"/>
              <w:spacing w:before="0" w:after="283"/>
              <w:jc w:val="right"/>
              <w:rPr/>
            </w:pPr>
            <w:r>
              <w:rPr/>
              <w:t>           </w:t>
            </w:r>
            <w:r>
              <w:rPr>
                <w:b/>
                <w:sz w:val="16"/>
              </w:rPr>
              <w:t>15,005,498</w:t>
            </w:r>
          </w:p>
        </w:tc>
        <w:tc>
          <w:tcPr>
            <w:tcW w:w="1790"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right"/>
              <w:rPr/>
            </w:pPr>
            <w:r>
              <w:rPr/>
              <w:t>           </w:t>
            </w:r>
            <w:r>
              <w:rPr>
                <w:b/>
                <w:sz w:val="16"/>
              </w:rPr>
              <w:t>15,271,513</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1.8%</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center"/>
              <w:rPr>
                <w:b/>
                <w:sz w:val="16"/>
              </w:rPr>
            </w:pPr>
            <w:r>
              <w:rPr>
                <w:b/>
                <w:sz w:val="16"/>
              </w:rPr>
              <w:t>3.3%</w:t>
            </w:r>
          </w:p>
        </w:tc>
      </w:tr>
      <w:tr>
        <w:trPr/>
        <w:tc>
          <w:tcPr>
            <w:tcW w:w="2105"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Adjusted Credit RWAs IFRS</w:t>
            </w:r>
          </w:p>
        </w:tc>
        <w:tc>
          <w:tcPr>
            <w:tcW w:w="1610" w:type="dxa"/>
            <w:tcBorders>
              <w:left w:val="single" w:sz="8" w:space="0" w:color="000000"/>
            </w:tcBorders>
            <w:shd w:fill="FFFFFF" w:val="clear"/>
            <w:tcMar>
              <w:top w:w="0" w:type="dxa"/>
            </w:tcMar>
            <w:vAlign w:val="center"/>
          </w:tcPr>
          <w:p>
            <w:pPr>
              <w:pStyle w:val="TableContents"/>
              <w:bidi w:val="0"/>
              <w:spacing w:before="0" w:after="283"/>
              <w:jc w:val="right"/>
              <w:rPr/>
            </w:pPr>
            <w:r>
              <w:rPr/>
              <w:t>        </w:t>
            </w:r>
            <w:r>
              <w:rPr>
                <w:sz w:val="16"/>
              </w:rPr>
              <w:t>12,732,383</w:t>
            </w:r>
          </w:p>
        </w:tc>
        <w:tc>
          <w:tcPr>
            <w:tcW w:w="1790" w:type="dxa"/>
            <w:tcBorders/>
            <w:shd w:fill="FFFFFF" w:val="clear"/>
            <w:tcMar>
              <w:top w:w="0" w:type="dxa"/>
              <w:left w:w="0" w:type="dxa"/>
            </w:tcMar>
            <w:vAlign w:val="center"/>
          </w:tcPr>
          <w:p>
            <w:pPr>
              <w:pStyle w:val="TableContents"/>
              <w:bidi w:val="0"/>
              <w:spacing w:before="0" w:after="283"/>
              <w:jc w:val="right"/>
              <w:rPr/>
            </w:pPr>
            <w:r>
              <w:rPr/>
              <w:t>           </w:t>
            </w:r>
            <w:r>
              <w:rPr>
                <w:sz w:val="16"/>
              </w:rPr>
              <w:t>13,422,514</w:t>
            </w:r>
          </w:p>
        </w:tc>
        <w:tc>
          <w:tcPr>
            <w:tcW w:w="1790" w:type="dxa"/>
            <w:tcBorders>
              <w:right w:val="single" w:sz="8" w:space="0" w:color="000000"/>
            </w:tcBorders>
            <w:shd w:fill="FFFFFF" w:val="clear"/>
            <w:tcMar>
              <w:top w:w="0" w:type="dxa"/>
              <w:left w:w="0" w:type="dxa"/>
              <w:right w:w="60" w:type="dxa"/>
            </w:tcMar>
            <w:vAlign w:val="center"/>
          </w:tcPr>
          <w:p>
            <w:pPr>
              <w:pStyle w:val="TableContents"/>
              <w:bidi w:val="0"/>
              <w:spacing w:before="0" w:after="283"/>
              <w:jc w:val="right"/>
              <w:rPr/>
            </w:pPr>
            <w:r>
              <w:rPr/>
              <w:t>           </w:t>
            </w:r>
            <w:r>
              <w:rPr>
                <w:sz w:val="16"/>
              </w:rPr>
              <w:t>13,602,081</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1.3%</w:t>
            </w:r>
          </w:p>
        </w:tc>
        <w:tc>
          <w:tcPr>
            <w:tcW w:w="785"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6.8%</w:t>
            </w:r>
          </w:p>
        </w:tc>
      </w:tr>
      <w:tr>
        <w:trPr/>
        <w:tc>
          <w:tcPr>
            <w:tcW w:w="210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sz w:val="16"/>
              </w:rPr>
            </w:pPr>
            <w:r>
              <w:rPr>
                <w:sz w:val="16"/>
              </w:rPr>
              <w:t>Others</w:t>
            </w:r>
          </w:p>
        </w:tc>
        <w:tc>
          <w:tcPr>
            <w:tcW w:w="161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right"/>
              <w:rPr/>
            </w:pPr>
            <w:r>
              <w:rPr/>
              <w:t>          </w:t>
            </w:r>
            <w:r>
              <w:rPr>
                <w:sz w:val="16"/>
              </w:rPr>
              <w:t>2,054,701</w:t>
            </w:r>
          </w:p>
        </w:tc>
        <w:tc>
          <w:tcPr>
            <w:tcW w:w="1790" w:type="dxa"/>
            <w:tcBorders>
              <w:bottom w:val="single" w:sz="8" w:space="0" w:color="000000"/>
            </w:tcBorders>
            <w:shd w:fill="FFFFFF" w:val="clear"/>
            <w:tcMar>
              <w:top w:w="0" w:type="dxa"/>
              <w:left w:w="0" w:type="dxa"/>
              <w:bottom w:w="28" w:type="dxa"/>
            </w:tcMar>
            <w:vAlign w:val="center"/>
          </w:tcPr>
          <w:p>
            <w:pPr>
              <w:pStyle w:val="TableContents"/>
              <w:bidi w:val="0"/>
              <w:spacing w:before="0" w:after="283"/>
              <w:jc w:val="right"/>
              <w:rPr/>
            </w:pPr>
            <w:r>
              <w:rPr/>
              <w:t>             </w:t>
            </w:r>
            <w:r>
              <w:rPr>
                <w:sz w:val="16"/>
              </w:rPr>
              <w:t>1,582,984</w:t>
            </w:r>
          </w:p>
        </w:tc>
        <w:tc>
          <w:tcPr>
            <w:tcW w:w="1790"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pPr>
            <w:r>
              <w:rPr/>
              <w:t>             </w:t>
            </w:r>
            <w:r>
              <w:rPr>
                <w:sz w:val="16"/>
              </w:rPr>
              <w:t>1,669,432</w:t>
            </w:r>
          </w:p>
        </w:tc>
        <w:tc>
          <w:tcPr>
            <w:tcW w:w="785"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sz w:val="16"/>
              </w:rPr>
            </w:pPr>
            <w:r>
              <w:rPr>
                <w:sz w:val="16"/>
              </w:rPr>
              <w:t>5.5%</w:t>
            </w:r>
          </w:p>
        </w:tc>
        <w:tc>
          <w:tcPr>
            <w:tcW w:w="785"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sz w:val="16"/>
              </w:rPr>
            </w:pPr>
            <w:r>
              <w:rPr>
                <w:sz w:val="16"/>
              </w:rPr>
              <w:t>-18.8%</w:t>
            </w:r>
          </w:p>
        </w:tc>
      </w:tr>
      <w:tr>
        <w:trPr/>
        <w:tc>
          <w:tcPr>
            <w:tcW w:w="2105" w:type="dxa"/>
            <w:tcBorders/>
            <w:tcMar>
              <w:top w:w="0" w:type="dxa"/>
              <w:left w:w="0" w:type="dxa"/>
            </w:tcMar>
            <w:vAlign w:val="center"/>
          </w:tcPr>
          <w:p>
            <w:pPr>
              <w:pStyle w:val="TableContents"/>
              <w:bidi w:val="0"/>
              <w:spacing w:before="0" w:after="283"/>
              <w:jc w:val="left"/>
              <w:rPr/>
            </w:pPr>
            <w:r>
              <w:rPr/>
              <w:t> </w:t>
            </w:r>
          </w:p>
        </w:tc>
        <w:tc>
          <w:tcPr>
            <w:tcW w:w="1610" w:type="dxa"/>
            <w:tcBorders/>
            <w:shd w:fill="FFFFFF" w:val="clear"/>
            <w:tcMar>
              <w:top w:w="0" w:type="dxa"/>
              <w:lef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tcMar>
            <w:vAlign w:val="center"/>
          </w:tcPr>
          <w:p>
            <w:pPr>
              <w:pStyle w:val="TableContents"/>
              <w:bidi w:val="0"/>
              <w:spacing w:before="0" w:after="283"/>
              <w:jc w:val="left"/>
              <w:rPr/>
            </w:pPr>
            <w:r>
              <w:rPr/>
              <w:t> </w:t>
            </w:r>
          </w:p>
        </w:tc>
      </w:tr>
      <w:tr>
        <w:trPr/>
        <w:tc>
          <w:tcPr>
            <w:tcW w:w="2105"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left"/>
              <w:rPr>
                <w:b/>
                <w:sz w:val="16"/>
              </w:rPr>
            </w:pPr>
            <w:r>
              <w:rPr>
                <w:b/>
                <w:sz w:val="16"/>
              </w:rPr>
              <w:t>CET1 ratio IFRS</w:t>
            </w:r>
          </w:p>
        </w:tc>
        <w:tc>
          <w:tcPr>
            <w:tcW w:w="1610" w:type="dxa"/>
            <w:tcBorders>
              <w:top w:val="single" w:sz="8" w:space="0" w:color="000000"/>
              <w:left w:val="single" w:sz="8" w:space="0" w:color="000000"/>
              <w:bottom w:val="single" w:sz="8" w:space="0" w:color="000000"/>
            </w:tcBorders>
            <w:shd w:fill="FFFFFF" w:val="clear"/>
            <w:tcMar>
              <w:bottom w:w="28" w:type="dxa"/>
            </w:tcMar>
            <w:vAlign w:val="center"/>
          </w:tcPr>
          <w:p>
            <w:pPr>
              <w:pStyle w:val="TableContents"/>
              <w:bidi w:val="0"/>
              <w:spacing w:before="0" w:after="283"/>
              <w:jc w:val="right"/>
              <w:rPr>
                <w:b/>
                <w:sz w:val="16"/>
              </w:rPr>
            </w:pPr>
            <w:r>
              <w:rPr>
                <w:b/>
                <w:sz w:val="16"/>
              </w:rPr>
              <w:t>15.25%</w:t>
            </w:r>
          </w:p>
        </w:tc>
        <w:tc>
          <w:tcPr>
            <w:tcW w:w="1790" w:type="dxa"/>
            <w:tcBorders>
              <w:top w:val="single" w:sz="8" w:space="0" w:color="000000"/>
              <w:bottom w:val="single" w:sz="8" w:space="0" w:color="000000"/>
            </w:tcBorders>
            <w:shd w:fill="FFFFFF" w:val="clear"/>
            <w:tcMar>
              <w:left w:w="0" w:type="dxa"/>
              <w:bottom w:w="28" w:type="dxa"/>
            </w:tcMar>
            <w:vAlign w:val="center"/>
          </w:tcPr>
          <w:p>
            <w:pPr>
              <w:pStyle w:val="TableContents"/>
              <w:bidi w:val="0"/>
              <w:spacing w:before="0" w:after="283"/>
              <w:jc w:val="right"/>
              <w:rPr>
                <w:b/>
                <w:sz w:val="16"/>
              </w:rPr>
            </w:pPr>
            <w:r>
              <w:rPr>
                <w:b/>
                <w:sz w:val="16"/>
              </w:rPr>
              <w:t>16.38%</w:t>
            </w:r>
          </w:p>
        </w:tc>
        <w:tc>
          <w:tcPr>
            <w:tcW w:w="1790" w:type="dxa"/>
            <w:tcBorders>
              <w:top w:val="single" w:sz="8" w:space="0" w:color="000000"/>
              <w:bottom w:val="single" w:sz="8" w:space="0" w:color="000000"/>
              <w:right w:val="single" w:sz="8" w:space="0" w:color="000000"/>
            </w:tcBorders>
            <w:shd w:fill="FFFFFF" w:val="clear"/>
            <w:tcMar>
              <w:left w:w="0" w:type="dxa"/>
              <w:bottom w:w="28" w:type="dxa"/>
              <w:right w:w="60" w:type="dxa"/>
            </w:tcMar>
            <w:vAlign w:val="center"/>
          </w:tcPr>
          <w:p>
            <w:pPr>
              <w:pStyle w:val="TableContents"/>
              <w:bidi w:val="0"/>
              <w:spacing w:before="0" w:after="283"/>
              <w:jc w:val="right"/>
              <w:rPr>
                <w:b/>
                <w:sz w:val="16"/>
              </w:rPr>
            </w:pPr>
            <w:r>
              <w:rPr>
                <w:b/>
                <w:sz w:val="16"/>
              </w:rPr>
              <w:t>16.59%</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right"/>
              <w:rPr/>
            </w:pPr>
            <w:r>
              <w:rPr/>
              <w:t> </w:t>
            </w:r>
            <w:r>
              <w:rPr>
                <w:b/>
                <w:sz w:val="16"/>
              </w:rPr>
              <w:t>21 bps </w:t>
            </w:r>
          </w:p>
        </w:tc>
        <w:tc>
          <w:tcPr>
            <w:tcW w:w="785" w:type="dxa"/>
            <w:tcBorders>
              <w:top w:val="single" w:sz="8" w:space="0" w:color="000000"/>
              <w:bottom w:val="single" w:sz="8" w:space="0" w:color="000000"/>
              <w:right w:val="single" w:sz="8" w:space="0" w:color="000000"/>
            </w:tcBorders>
            <w:shd w:fill="FFFFFF" w:val="clear"/>
            <w:tcMar>
              <w:left w:w="0" w:type="dxa"/>
              <w:bottom w:w="28" w:type="dxa"/>
              <w:right w:w="28" w:type="dxa"/>
            </w:tcMar>
            <w:vAlign w:val="center"/>
          </w:tcPr>
          <w:p>
            <w:pPr>
              <w:pStyle w:val="TableContents"/>
              <w:bidi w:val="0"/>
              <w:spacing w:before="0" w:after="283"/>
              <w:jc w:val="right"/>
              <w:rPr/>
            </w:pPr>
            <w:r>
              <w:rPr/>
              <w:t> </w:t>
            </w:r>
            <w:r>
              <w:rPr>
                <w:b/>
                <w:sz w:val="16"/>
              </w:rPr>
              <w:t>134 bps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8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29" descr=""/>
                          <pic:cNvPicPr>
                            <a:picLocks noChangeAspect="1" noChangeArrowheads="1"/>
                          </pic:cNvPicPr>
                        </pic:nvPicPr>
                        <pic:blipFill>
                          <a:blip r:embed="rId14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2F5496"/>
          <w:sz w:val="20"/>
        </w:rPr>
      </w:pPr>
      <w:r>
        <w:rPr>
          <w:rFonts w:ascii="Arial;Helvetica;Sans-Serif" w:hAnsi="Arial;Helvetica;Sans-Serif"/>
          <w:b/>
          <w:i w:val="false"/>
          <w:caps w:val="false"/>
          <w:smallCaps w:val="false"/>
          <w:color w:val="2F5496"/>
          <w:sz w:val="20"/>
        </w:rPr>
        <w:t>12.</w:t>
      </w:r>
      <w:r>
        <w:rPr>
          <w:rFonts w:ascii="Arial;Helvetica;Sans-Serif" w:hAnsi="Arial;Helvetica;Sans-Serif"/>
          <w:b/>
          <w:i w:val="false"/>
          <w:caps w:val="false"/>
          <w:smallCaps w:val="false"/>
          <w:color w:val="000000"/>
          <w:sz w:val="20"/>
        </w:rPr>
        <w:t>6. Financial Statements and Ratios by Business</w:t>
      </w:r>
    </w:p>
    <w:p>
      <w:pPr>
        <w:pStyle w:val="TextBody"/>
        <w:bidi w:val="0"/>
        <w:spacing w:before="0" w:after="0"/>
        <w:ind w:left="0" w:right="0" w:hanging="0"/>
        <w:jc w:val="left"/>
        <w:rPr>
          <w:caps w:val="false"/>
          <w:smallCaps w:val="false"/>
          <w:color w:val="2F5496"/>
        </w:rPr>
      </w:pPr>
      <w:r>
        <w:rPr>
          <w:caps w:val="false"/>
          <w:smallCaps w:val="false"/>
          <w:color w:val="2F5496"/>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12.6.1. Credicorp Consolidated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CREDICORP LTD. AND SUBSIDIARIES</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CONSOLIDATED STATEMENT OF FINANCIAL POSITION</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S/  thousands, IFRS)</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981"/>
        <w:gridCol w:w="1295"/>
        <w:gridCol w:w="1298"/>
        <w:gridCol w:w="1535"/>
        <w:gridCol w:w="1535"/>
        <w:gridCol w:w="1535"/>
        <w:gridCol w:w="512"/>
        <w:gridCol w:w="514"/>
      </w:tblGrid>
      <w:tr>
        <w:trPr/>
        <w:tc>
          <w:tcPr>
            <w:tcW w:w="1981" w:type="dxa"/>
            <w:tcBorders/>
            <w:shd w:fill="FFFFFF" w:val="clear"/>
            <w:vAlign w:val="center"/>
          </w:tcPr>
          <w:p>
            <w:pPr>
              <w:pStyle w:val="TableContents"/>
              <w:bidi w:val="0"/>
              <w:spacing w:before="0" w:after="283"/>
              <w:jc w:val="center"/>
              <w:rPr/>
            </w:pPr>
            <w:r>
              <w:rPr/>
              <w:t> </w:t>
            </w:r>
          </w:p>
        </w:tc>
        <w:tc>
          <w:tcPr>
            <w:tcW w:w="1295" w:type="dxa"/>
            <w:tcBorders/>
            <w:shd w:fill="FFFFFF" w:val="clear"/>
            <w:vAlign w:val="center"/>
          </w:tcPr>
          <w:p>
            <w:pPr>
              <w:pStyle w:val="TableContents"/>
              <w:bidi w:val="0"/>
              <w:spacing w:before="0" w:after="283"/>
              <w:jc w:val="center"/>
              <w:rPr/>
            </w:pPr>
            <w:r>
              <w:rPr/>
              <w:t> </w:t>
            </w:r>
          </w:p>
        </w:tc>
        <w:tc>
          <w:tcPr>
            <w:tcW w:w="1298" w:type="dxa"/>
            <w:tcBorders/>
            <w:shd w:fill="FFFFFF" w:val="clear"/>
            <w:vAlign w:val="center"/>
          </w:tcPr>
          <w:p>
            <w:pPr>
              <w:pStyle w:val="TableContents"/>
              <w:bidi w:val="0"/>
              <w:spacing w:before="0" w:after="283"/>
              <w:jc w:val="center"/>
              <w:rPr/>
            </w:pPr>
            <w:r>
              <w:rPr/>
              <w:t> </w:t>
            </w:r>
          </w:p>
        </w:tc>
        <w:tc>
          <w:tcPr>
            <w:tcW w:w="4605" w:type="dxa"/>
            <w:gridSpan w:val="3"/>
            <w:tcBorders>
              <w:top w:val="single" w:sz="8" w:space="0" w:color="000000"/>
              <w:left w:val="single" w:sz="8" w:space="0" w:color="000000"/>
              <w:right w:val="single" w:sz="8" w:space="0" w:color="000000"/>
            </w:tcBorders>
            <w:shd w:fill="2AD2C9" w:val="clear"/>
            <w:tcMar>
              <w:top w:w="28" w:type="dxa"/>
              <w:left w:w="28" w:type="dxa"/>
              <w:right w:w="60" w:type="dxa"/>
            </w:tcMar>
            <w:vAlign w:val="center"/>
          </w:tcPr>
          <w:p>
            <w:pPr>
              <w:pStyle w:val="TableContents"/>
              <w:bidi w:val="0"/>
              <w:spacing w:before="0" w:after="283"/>
              <w:jc w:val="center"/>
              <w:rPr>
                <w:b/>
                <w:color w:val="FFFFFF"/>
                <w:sz w:val="16"/>
              </w:rPr>
            </w:pPr>
            <w:r>
              <w:rPr>
                <w:b/>
                <w:color w:val="FFFFFF"/>
                <w:sz w:val="16"/>
              </w:rPr>
              <w:t>As of</w:t>
            </w:r>
          </w:p>
        </w:tc>
        <w:tc>
          <w:tcPr>
            <w:tcW w:w="1026" w:type="dxa"/>
            <w:gridSpan w:val="2"/>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4574" w:type="dxa"/>
            <w:gridSpan w:val="3"/>
            <w:tcBorders/>
            <w:shd w:fill="FFFFFF" w:val="clear"/>
            <w:vAlign w:val="center"/>
          </w:tcPr>
          <w:p>
            <w:pPr>
              <w:pStyle w:val="TableContents"/>
              <w:bidi w:val="0"/>
              <w:spacing w:before="0" w:after="283"/>
              <w:jc w:val="left"/>
              <w:rPr>
                <w:color w:val="FF0000"/>
              </w:rPr>
            </w:pPr>
            <w:r>
              <w:rPr>
                <w:color w:val="FF0000"/>
              </w:rPr>
              <w:t> </w:t>
            </w:r>
          </w:p>
        </w:tc>
        <w:tc>
          <w:tcPr>
            <w:tcW w:w="1535"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Jun 22</w:t>
            </w:r>
          </w:p>
        </w:tc>
        <w:tc>
          <w:tcPr>
            <w:tcW w:w="1535" w:type="dxa"/>
            <w:tcBorders/>
            <w:shd w:fill="2AD2C9" w:val="clear"/>
            <w:vAlign w:val="center"/>
          </w:tcPr>
          <w:p>
            <w:pPr>
              <w:pStyle w:val="TableContents"/>
              <w:bidi w:val="0"/>
              <w:spacing w:before="0" w:after="283"/>
              <w:jc w:val="center"/>
              <w:rPr>
                <w:b/>
                <w:color w:val="FFFFFF"/>
                <w:sz w:val="16"/>
              </w:rPr>
            </w:pPr>
            <w:r>
              <w:rPr>
                <w:b/>
                <w:color w:val="FFFFFF"/>
                <w:sz w:val="16"/>
              </w:rPr>
              <w:t>Mar 23</w:t>
            </w:r>
          </w:p>
        </w:tc>
        <w:tc>
          <w:tcPr>
            <w:tcW w:w="1535" w:type="dxa"/>
            <w:tcBorders>
              <w:right w:val="single" w:sz="8" w:space="0" w:color="000000"/>
            </w:tcBorders>
            <w:shd w:fill="2AD2C9" w:val="clear"/>
            <w:tcMar>
              <w:right w:w="60" w:type="dxa"/>
            </w:tcMar>
            <w:vAlign w:val="center"/>
          </w:tcPr>
          <w:p>
            <w:pPr>
              <w:pStyle w:val="TableContents"/>
              <w:bidi w:val="0"/>
              <w:spacing w:before="0" w:after="283"/>
              <w:jc w:val="center"/>
              <w:rPr>
                <w:b/>
                <w:color w:val="FFFFFF"/>
                <w:sz w:val="16"/>
              </w:rPr>
            </w:pPr>
            <w:r>
              <w:rPr>
                <w:b/>
                <w:color w:val="FFFFFF"/>
                <w:sz w:val="16"/>
              </w:rPr>
              <w:t>Jun 23</w:t>
            </w:r>
          </w:p>
        </w:tc>
        <w:tc>
          <w:tcPr>
            <w:tcW w:w="512"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QoQ</w:t>
            </w:r>
          </w:p>
        </w:tc>
        <w:tc>
          <w:tcPr>
            <w:tcW w:w="514"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YoY</w:t>
            </w:r>
          </w:p>
        </w:tc>
      </w:tr>
      <w:tr>
        <w:trPr/>
        <w:tc>
          <w:tcPr>
            <w:tcW w:w="4574" w:type="dxa"/>
            <w:gridSpan w:val="3"/>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bidi w:val="0"/>
              <w:spacing w:before="0" w:after="283"/>
              <w:jc w:val="left"/>
              <w:rPr>
                <w:b/>
                <w:sz w:val="16"/>
              </w:rPr>
            </w:pPr>
            <w:r>
              <w:rPr>
                <w:b/>
                <w:sz w:val="16"/>
              </w:rPr>
              <w:t>ASSETS</w:t>
            </w:r>
          </w:p>
        </w:tc>
        <w:tc>
          <w:tcPr>
            <w:tcW w:w="1535" w:type="dxa"/>
            <w:tcBorders>
              <w:top w:val="single" w:sz="8" w:space="0" w:color="000000"/>
            </w:tcBorders>
            <w:tcMar>
              <w:top w:w="28" w:type="dxa"/>
            </w:tcMar>
            <w:vAlign w:val="center"/>
          </w:tcPr>
          <w:p>
            <w:pPr>
              <w:pStyle w:val="TableContents"/>
              <w:bidi w:val="0"/>
              <w:spacing w:before="0" w:after="283"/>
              <w:jc w:val="left"/>
              <w:rPr/>
            </w:pPr>
            <w:r>
              <w:rPr/>
              <w:t> </w:t>
            </w:r>
          </w:p>
        </w:tc>
        <w:tc>
          <w:tcPr>
            <w:tcW w:w="1535" w:type="dxa"/>
            <w:tcBorders>
              <w:top w:val="single" w:sz="8" w:space="0" w:color="000000"/>
            </w:tcBorders>
            <w:tcMar>
              <w:top w:w="28" w:type="dxa"/>
            </w:tcMar>
            <w:vAlign w:val="center"/>
          </w:tcPr>
          <w:p>
            <w:pPr>
              <w:pStyle w:val="TableContents"/>
              <w:bidi w:val="0"/>
              <w:spacing w:before="0" w:after="283"/>
              <w:jc w:val="left"/>
              <w:rPr/>
            </w:pPr>
            <w:r>
              <w:rPr/>
              <w:t> </w:t>
            </w:r>
          </w:p>
        </w:tc>
        <w:tc>
          <w:tcPr>
            <w:tcW w:w="1535" w:type="dxa"/>
            <w:tcBorders>
              <w:top w:val="single" w:sz="8" w:space="0" w:color="000000"/>
              <w:right w:val="single" w:sz="8" w:space="0" w:color="000000"/>
            </w:tcBorders>
            <w:tcMar>
              <w:top w:w="28" w:type="dxa"/>
              <w:right w:w="60" w:type="dxa"/>
            </w:tcM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Cash and due from banks </w:t>
            </w:r>
          </w:p>
        </w:tc>
        <w:tc>
          <w:tcPr>
            <w:tcW w:w="15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1535" w:type="dxa"/>
            <w:tcBorders>
              <w:right w:val="single" w:sz="8" w:space="0" w:color="000000"/>
            </w:tcBorders>
            <w:tcMar>
              <w:right w:w="60" w:type="dxa"/>
            </w:tcM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Non-interest bearing</w:t>
            </w:r>
          </w:p>
        </w:tc>
        <w:tc>
          <w:tcPr>
            <w:tcW w:w="1535" w:type="dxa"/>
            <w:tcBorders/>
            <w:vAlign w:val="center"/>
          </w:tcPr>
          <w:p>
            <w:pPr>
              <w:pStyle w:val="TableContents"/>
              <w:bidi w:val="0"/>
              <w:spacing w:before="0" w:after="283"/>
              <w:jc w:val="right"/>
              <w:rPr/>
            </w:pPr>
            <w:r>
              <w:rPr/>
              <w:t>       </w:t>
            </w:r>
            <w:r>
              <w:rPr>
                <w:sz w:val="16"/>
              </w:rPr>
              <w:t>7,017,129</w:t>
            </w:r>
          </w:p>
        </w:tc>
        <w:tc>
          <w:tcPr>
            <w:tcW w:w="1535" w:type="dxa"/>
            <w:tcBorders/>
            <w:vAlign w:val="center"/>
          </w:tcPr>
          <w:p>
            <w:pPr>
              <w:pStyle w:val="TableContents"/>
              <w:bidi w:val="0"/>
              <w:spacing w:before="0" w:after="283"/>
              <w:jc w:val="right"/>
              <w:rPr/>
            </w:pPr>
            <w:r>
              <w:rPr/>
              <w:t>       </w:t>
            </w:r>
            <w:r>
              <w:rPr>
                <w:sz w:val="16"/>
              </w:rPr>
              <w:t>6,946,112</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7,154,236</w:t>
            </w:r>
          </w:p>
        </w:tc>
        <w:tc>
          <w:tcPr>
            <w:tcW w:w="512" w:type="dxa"/>
            <w:tcBorders/>
            <w:shd w:fill="FFFFFF" w:val="clear"/>
            <w:vAlign w:val="center"/>
          </w:tcPr>
          <w:p>
            <w:pPr>
              <w:pStyle w:val="TableContents"/>
              <w:bidi w:val="0"/>
              <w:spacing w:before="0" w:after="283"/>
              <w:jc w:val="center"/>
              <w:rPr>
                <w:sz w:val="16"/>
              </w:rPr>
            </w:pPr>
            <w:r>
              <w:rPr>
                <w:sz w:val="16"/>
              </w:rPr>
              <w:t>3.0%</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2.0%</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Interest bearing</w:t>
            </w:r>
          </w:p>
        </w:tc>
        <w:tc>
          <w:tcPr>
            <w:tcW w:w="1535" w:type="dxa"/>
            <w:tcBorders/>
            <w:vAlign w:val="center"/>
          </w:tcPr>
          <w:p>
            <w:pPr>
              <w:pStyle w:val="TableContents"/>
              <w:bidi w:val="0"/>
              <w:spacing w:before="0" w:after="283"/>
              <w:jc w:val="right"/>
              <w:rPr/>
            </w:pPr>
            <w:r>
              <w:rPr/>
              <w:t>     </w:t>
            </w:r>
            <w:r>
              <w:rPr>
                <w:sz w:val="16"/>
              </w:rPr>
              <w:t>23,831,465</w:t>
            </w:r>
          </w:p>
        </w:tc>
        <w:tc>
          <w:tcPr>
            <w:tcW w:w="1535" w:type="dxa"/>
            <w:tcBorders/>
            <w:vAlign w:val="center"/>
          </w:tcPr>
          <w:p>
            <w:pPr>
              <w:pStyle w:val="TableContents"/>
              <w:bidi w:val="0"/>
              <w:spacing w:before="0" w:after="283"/>
              <w:jc w:val="right"/>
              <w:rPr/>
            </w:pPr>
            <w:r>
              <w:rPr/>
              <w:t>     </w:t>
            </w:r>
            <w:r>
              <w:rPr>
                <w:sz w:val="16"/>
              </w:rPr>
              <w:t>28,158,941</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26,036,894</w:t>
            </w:r>
          </w:p>
        </w:tc>
        <w:tc>
          <w:tcPr>
            <w:tcW w:w="512" w:type="dxa"/>
            <w:tcBorders/>
            <w:shd w:fill="FFFFFF" w:val="clear"/>
            <w:vAlign w:val="center"/>
          </w:tcPr>
          <w:p>
            <w:pPr>
              <w:pStyle w:val="TableContents"/>
              <w:bidi w:val="0"/>
              <w:spacing w:before="0" w:after="283"/>
              <w:jc w:val="center"/>
              <w:rPr>
                <w:sz w:val="16"/>
              </w:rPr>
            </w:pPr>
            <w:r>
              <w:rPr>
                <w:sz w:val="16"/>
              </w:rPr>
              <w:t>-7.5%</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9.3%</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Total cash and due from banks</w:t>
            </w:r>
          </w:p>
        </w:tc>
        <w:tc>
          <w:tcPr>
            <w:tcW w:w="1535" w:type="dxa"/>
            <w:tcBorders/>
            <w:vAlign w:val="center"/>
          </w:tcPr>
          <w:p>
            <w:pPr>
              <w:pStyle w:val="TableContents"/>
              <w:bidi w:val="0"/>
              <w:spacing w:before="0" w:after="283"/>
              <w:jc w:val="right"/>
              <w:rPr/>
            </w:pPr>
            <w:r>
              <w:rPr/>
              <w:t>     </w:t>
            </w:r>
            <w:r>
              <w:rPr>
                <w:b/>
                <w:sz w:val="16"/>
              </w:rPr>
              <w:t>30,848,594</w:t>
            </w:r>
          </w:p>
        </w:tc>
        <w:tc>
          <w:tcPr>
            <w:tcW w:w="1535" w:type="dxa"/>
            <w:tcBorders/>
            <w:vAlign w:val="center"/>
          </w:tcPr>
          <w:p>
            <w:pPr>
              <w:pStyle w:val="TableContents"/>
              <w:bidi w:val="0"/>
              <w:spacing w:before="0" w:after="283"/>
              <w:jc w:val="right"/>
              <w:rPr/>
            </w:pPr>
            <w:r>
              <w:rPr/>
              <w:t>     </w:t>
            </w:r>
            <w:r>
              <w:rPr>
                <w:b/>
                <w:sz w:val="16"/>
              </w:rPr>
              <w:t>35,105,053</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33,191,130</w:t>
            </w:r>
          </w:p>
        </w:tc>
        <w:tc>
          <w:tcPr>
            <w:tcW w:w="512" w:type="dxa"/>
            <w:tcBorders/>
            <w:shd w:fill="FFFFFF" w:val="clear"/>
            <w:vAlign w:val="center"/>
          </w:tcPr>
          <w:p>
            <w:pPr>
              <w:pStyle w:val="TableContents"/>
              <w:bidi w:val="0"/>
              <w:spacing w:before="0" w:after="283"/>
              <w:jc w:val="center"/>
              <w:rPr>
                <w:b/>
                <w:sz w:val="16"/>
              </w:rPr>
            </w:pPr>
            <w:r>
              <w:rPr>
                <w:b/>
                <w:sz w:val="16"/>
              </w:rPr>
              <w:t>-5.5%</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7.6%</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Cash collateral, reverse repurchase agreements and securities borrowing </w:t>
            </w:r>
          </w:p>
        </w:tc>
        <w:tc>
          <w:tcPr>
            <w:tcW w:w="1535" w:type="dxa"/>
            <w:tcBorders/>
            <w:vAlign w:val="center"/>
          </w:tcPr>
          <w:p>
            <w:pPr>
              <w:pStyle w:val="TableContents"/>
              <w:bidi w:val="0"/>
              <w:spacing w:before="0" w:after="283"/>
              <w:jc w:val="right"/>
              <w:rPr/>
            </w:pPr>
            <w:r>
              <w:rPr/>
              <w:t>       </w:t>
            </w:r>
            <w:r>
              <w:rPr>
                <w:sz w:val="16"/>
              </w:rPr>
              <w:t>2,046,209</w:t>
            </w:r>
          </w:p>
        </w:tc>
        <w:tc>
          <w:tcPr>
            <w:tcW w:w="1535" w:type="dxa"/>
            <w:tcBorders/>
            <w:vAlign w:val="center"/>
          </w:tcPr>
          <w:p>
            <w:pPr>
              <w:pStyle w:val="TableContents"/>
              <w:bidi w:val="0"/>
              <w:spacing w:before="0" w:after="283"/>
              <w:jc w:val="right"/>
              <w:rPr/>
            </w:pPr>
            <w:r>
              <w:rPr/>
              <w:t>       </w:t>
            </w:r>
            <w:r>
              <w:rPr>
                <w:sz w:val="16"/>
              </w:rPr>
              <w:t>1,468,180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1,863,243</w:t>
            </w:r>
          </w:p>
        </w:tc>
        <w:tc>
          <w:tcPr>
            <w:tcW w:w="512" w:type="dxa"/>
            <w:tcBorders/>
            <w:shd w:fill="FFFFFF" w:val="clear"/>
            <w:vAlign w:val="center"/>
          </w:tcPr>
          <w:p>
            <w:pPr>
              <w:pStyle w:val="TableContents"/>
              <w:bidi w:val="0"/>
              <w:spacing w:before="0" w:after="283"/>
              <w:jc w:val="center"/>
              <w:rPr>
                <w:sz w:val="16"/>
              </w:rPr>
            </w:pPr>
            <w:r>
              <w:rPr>
                <w:sz w:val="16"/>
              </w:rPr>
              <w:t>26.9%</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-8.9%</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Fair value through profit or loss investments </w:t>
            </w:r>
          </w:p>
        </w:tc>
        <w:tc>
          <w:tcPr>
            <w:tcW w:w="1535" w:type="dxa"/>
            <w:tcBorders/>
            <w:vAlign w:val="center"/>
          </w:tcPr>
          <w:p>
            <w:pPr>
              <w:pStyle w:val="TableContents"/>
              <w:bidi w:val="0"/>
              <w:spacing w:before="0" w:after="283"/>
              <w:jc w:val="right"/>
              <w:rPr/>
            </w:pPr>
            <w:r>
              <w:rPr/>
              <w:t>       </w:t>
            </w:r>
            <w:r>
              <w:rPr>
                <w:sz w:val="16"/>
              </w:rPr>
              <w:t>4,187,000</w:t>
            </w:r>
          </w:p>
        </w:tc>
        <w:tc>
          <w:tcPr>
            <w:tcW w:w="1535" w:type="dxa"/>
            <w:tcBorders/>
            <w:vAlign w:val="center"/>
          </w:tcPr>
          <w:p>
            <w:pPr>
              <w:pStyle w:val="TableContents"/>
              <w:bidi w:val="0"/>
              <w:spacing w:before="0" w:after="283"/>
              <w:jc w:val="right"/>
              <w:rPr/>
            </w:pPr>
            <w:r>
              <w:rPr/>
              <w:t>       </w:t>
            </w:r>
            <w:r>
              <w:rPr>
                <w:sz w:val="16"/>
              </w:rPr>
              <w:t>4,080,266</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4,508,563</w:t>
            </w:r>
          </w:p>
        </w:tc>
        <w:tc>
          <w:tcPr>
            <w:tcW w:w="512" w:type="dxa"/>
            <w:tcBorders/>
            <w:shd w:fill="FFFFFF" w:val="clear"/>
            <w:vAlign w:val="center"/>
          </w:tcPr>
          <w:p>
            <w:pPr>
              <w:pStyle w:val="TableContents"/>
              <w:bidi w:val="0"/>
              <w:spacing w:before="0" w:after="283"/>
              <w:jc w:val="center"/>
              <w:rPr>
                <w:sz w:val="16"/>
              </w:rPr>
            </w:pPr>
            <w:r>
              <w:rPr>
                <w:sz w:val="16"/>
              </w:rPr>
              <w:t>10.5%</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7.7%</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Fair value through other comprehensive income investments </w:t>
            </w:r>
          </w:p>
        </w:tc>
        <w:tc>
          <w:tcPr>
            <w:tcW w:w="1535" w:type="dxa"/>
            <w:tcBorders/>
            <w:vAlign w:val="center"/>
          </w:tcPr>
          <w:p>
            <w:pPr>
              <w:pStyle w:val="TableContents"/>
              <w:bidi w:val="0"/>
              <w:spacing w:before="0" w:after="283"/>
              <w:jc w:val="right"/>
              <w:rPr/>
            </w:pPr>
            <w:r>
              <w:rPr/>
              <w:t>     </w:t>
            </w:r>
            <w:r>
              <w:rPr>
                <w:sz w:val="16"/>
              </w:rPr>
              <w:t>32,955,721</w:t>
            </w:r>
          </w:p>
        </w:tc>
        <w:tc>
          <w:tcPr>
            <w:tcW w:w="1535" w:type="dxa"/>
            <w:tcBorders/>
            <w:vAlign w:val="center"/>
          </w:tcPr>
          <w:p>
            <w:pPr>
              <w:pStyle w:val="TableContents"/>
              <w:bidi w:val="0"/>
              <w:spacing w:before="0" w:after="283"/>
              <w:jc w:val="right"/>
              <w:rPr/>
            </w:pPr>
            <w:r>
              <w:rPr/>
              <w:t>     </w:t>
            </w:r>
            <w:r>
              <w:rPr>
                <w:sz w:val="16"/>
              </w:rPr>
              <w:t>33,395,987</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33,344,169</w:t>
            </w:r>
          </w:p>
        </w:tc>
        <w:tc>
          <w:tcPr>
            <w:tcW w:w="512" w:type="dxa"/>
            <w:tcBorders/>
            <w:shd w:fill="FFFFFF" w:val="clear"/>
            <w:vAlign w:val="center"/>
          </w:tcPr>
          <w:p>
            <w:pPr>
              <w:pStyle w:val="TableContents"/>
              <w:bidi w:val="0"/>
              <w:spacing w:before="0" w:after="283"/>
              <w:jc w:val="center"/>
              <w:rPr>
                <w:sz w:val="16"/>
              </w:rPr>
            </w:pPr>
            <w:r>
              <w:rPr>
                <w:sz w:val="16"/>
              </w:rPr>
              <w:t>-0.2%</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1.2%</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Amortized cost investments </w:t>
            </w:r>
          </w:p>
        </w:tc>
        <w:tc>
          <w:tcPr>
            <w:tcW w:w="1535" w:type="dxa"/>
            <w:tcBorders/>
            <w:vAlign w:val="center"/>
          </w:tcPr>
          <w:p>
            <w:pPr>
              <w:pStyle w:val="TableContents"/>
              <w:bidi w:val="0"/>
              <w:spacing w:before="0" w:after="283"/>
              <w:jc w:val="right"/>
              <w:rPr/>
            </w:pPr>
            <w:r>
              <w:rPr/>
              <w:t>       </w:t>
            </w:r>
            <w:r>
              <w:rPr>
                <w:sz w:val="16"/>
              </w:rPr>
              <w:t>8,200,054</w:t>
            </w:r>
          </w:p>
        </w:tc>
        <w:tc>
          <w:tcPr>
            <w:tcW w:w="1535" w:type="dxa"/>
            <w:tcBorders/>
            <w:vAlign w:val="center"/>
          </w:tcPr>
          <w:p>
            <w:pPr>
              <w:pStyle w:val="TableContents"/>
              <w:bidi w:val="0"/>
              <w:spacing w:before="0" w:after="283"/>
              <w:jc w:val="right"/>
              <w:rPr/>
            </w:pPr>
            <w:r>
              <w:rPr/>
              <w:t>     </w:t>
            </w:r>
            <w:r>
              <w:rPr>
                <w:sz w:val="16"/>
              </w:rPr>
              <w:t>10,253,251</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10,182,619</w:t>
            </w:r>
          </w:p>
        </w:tc>
        <w:tc>
          <w:tcPr>
            <w:tcW w:w="512" w:type="dxa"/>
            <w:tcBorders/>
            <w:shd w:fill="FFFFFF" w:val="clear"/>
            <w:vAlign w:val="center"/>
          </w:tcPr>
          <w:p>
            <w:pPr>
              <w:pStyle w:val="TableContents"/>
              <w:bidi w:val="0"/>
              <w:spacing w:before="0" w:after="283"/>
              <w:jc w:val="center"/>
              <w:rPr>
                <w:sz w:val="16"/>
              </w:rPr>
            </w:pPr>
            <w:r>
              <w:rPr>
                <w:sz w:val="16"/>
              </w:rPr>
              <w:t>-0.7%</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24.2%</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Loans</w:t>
            </w:r>
          </w:p>
        </w:tc>
        <w:tc>
          <w:tcPr>
            <w:tcW w:w="1535" w:type="dxa"/>
            <w:tcBorders/>
            <w:vAlign w:val="center"/>
          </w:tcPr>
          <w:p>
            <w:pPr>
              <w:pStyle w:val="TableContents"/>
              <w:bidi w:val="0"/>
              <w:spacing w:before="0" w:after="283"/>
              <w:jc w:val="right"/>
              <w:rPr/>
            </w:pPr>
            <w:r>
              <w:rPr/>
              <w:t>   </w:t>
            </w:r>
            <w:r>
              <w:rPr>
                <w:sz w:val="16"/>
              </w:rPr>
              <w:t>150,370,184</w:t>
            </w:r>
          </w:p>
        </w:tc>
        <w:tc>
          <w:tcPr>
            <w:tcW w:w="1535" w:type="dxa"/>
            <w:tcBorders/>
            <w:vAlign w:val="center"/>
          </w:tcPr>
          <w:p>
            <w:pPr>
              <w:pStyle w:val="TableContents"/>
              <w:bidi w:val="0"/>
              <w:spacing w:before="0" w:after="283"/>
              <w:jc w:val="right"/>
              <w:rPr/>
            </w:pPr>
            <w:r>
              <w:rPr/>
              <w:t>   </w:t>
            </w:r>
            <w:r>
              <w:rPr>
                <w:sz w:val="16"/>
              </w:rPr>
              <w:t>145,165,713</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142,845,549</w:t>
            </w:r>
          </w:p>
        </w:tc>
        <w:tc>
          <w:tcPr>
            <w:tcW w:w="512" w:type="dxa"/>
            <w:tcBorders/>
            <w:shd w:fill="FFFFFF" w:val="clear"/>
            <w:vAlign w:val="center"/>
          </w:tcPr>
          <w:p>
            <w:pPr>
              <w:pStyle w:val="TableContents"/>
              <w:bidi w:val="0"/>
              <w:spacing w:before="0" w:after="283"/>
              <w:jc w:val="center"/>
              <w:rPr>
                <w:sz w:val="16"/>
              </w:rPr>
            </w:pPr>
            <w:r>
              <w:rPr>
                <w:sz w:val="16"/>
              </w:rPr>
              <w:t>-1.6%</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-5.0%</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Current</w:t>
            </w:r>
          </w:p>
        </w:tc>
        <w:tc>
          <w:tcPr>
            <w:tcW w:w="1535" w:type="dxa"/>
            <w:tcBorders/>
            <w:vAlign w:val="center"/>
          </w:tcPr>
          <w:p>
            <w:pPr>
              <w:pStyle w:val="TableContents"/>
              <w:bidi w:val="0"/>
              <w:spacing w:before="0" w:after="283"/>
              <w:jc w:val="right"/>
              <w:rPr/>
            </w:pPr>
            <w:r>
              <w:rPr/>
              <w:t>   </w:t>
            </w:r>
            <w:r>
              <w:rPr>
                <w:sz w:val="16"/>
              </w:rPr>
              <w:t>144,264,928</w:t>
            </w:r>
          </w:p>
        </w:tc>
        <w:tc>
          <w:tcPr>
            <w:tcW w:w="1535" w:type="dxa"/>
            <w:tcBorders/>
            <w:vAlign w:val="center"/>
          </w:tcPr>
          <w:p>
            <w:pPr>
              <w:pStyle w:val="TableContents"/>
              <w:bidi w:val="0"/>
              <w:spacing w:before="0" w:after="283"/>
              <w:jc w:val="right"/>
              <w:rPr/>
            </w:pPr>
            <w:r>
              <w:rPr/>
              <w:t>   </w:t>
            </w:r>
            <w:r>
              <w:rPr>
                <w:sz w:val="16"/>
              </w:rPr>
              <w:t>139,376,216</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136,866,154</w:t>
            </w:r>
          </w:p>
        </w:tc>
        <w:tc>
          <w:tcPr>
            <w:tcW w:w="512" w:type="dxa"/>
            <w:tcBorders/>
            <w:shd w:fill="FFFFFF" w:val="clear"/>
            <w:vAlign w:val="center"/>
          </w:tcPr>
          <w:p>
            <w:pPr>
              <w:pStyle w:val="TableContents"/>
              <w:bidi w:val="0"/>
              <w:spacing w:before="0" w:after="283"/>
              <w:jc w:val="center"/>
              <w:rPr>
                <w:sz w:val="16"/>
              </w:rPr>
            </w:pPr>
            <w:r>
              <w:rPr>
                <w:sz w:val="16"/>
              </w:rPr>
              <w:t>-1.8%</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-5.1%</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Internal overdue loans</w:t>
            </w:r>
          </w:p>
        </w:tc>
        <w:tc>
          <w:tcPr>
            <w:tcW w:w="1535" w:type="dxa"/>
            <w:tcBorders/>
            <w:vAlign w:val="center"/>
          </w:tcPr>
          <w:p>
            <w:pPr>
              <w:pStyle w:val="TableContents"/>
              <w:bidi w:val="0"/>
              <w:spacing w:before="0" w:after="283"/>
              <w:jc w:val="right"/>
              <w:rPr/>
            </w:pPr>
            <w:r>
              <w:rPr/>
              <w:t>       </w:t>
            </w:r>
            <w:r>
              <w:rPr>
                <w:sz w:val="16"/>
              </w:rPr>
              <w:t>6,105,256</w:t>
            </w:r>
          </w:p>
        </w:tc>
        <w:tc>
          <w:tcPr>
            <w:tcW w:w="1535" w:type="dxa"/>
            <w:tcBorders/>
            <w:vAlign w:val="center"/>
          </w:tcPr>
          <w:p>
            <w:pPr>
              <w:pStyle w:val="TableContents"/>
              <w:bidi w:val="0"/>
              <w:spacing w:before="0" w:after="283"/>
              <w:jc w:val="right"/>
              <w:rPr/>
            </w:pPr>
            <w:r>
              <w:rPr/>
              <w:t>       </w:t>
            </w:r>
            <w:r>
              <w:rPr>
                <w:sz w:val="16"/>
              </w:rPr>
              <w:t>5,789,497</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5,979,395</w:t>
            </w:r>
          </w:p>
        </w:tc>
        <w:tc>
          <w:tcPr>
            <w:tcW w:w="512" w:type="dxa"/>
            <w:tcBorders/>
            <w:shd w:fill="FFFFFF" w:val="clear"/>
            <w:vAlign w:val="center"/>
          </w:tcPr>
          <w:p>
            <w:pPr>
              <w:pStyle w:val="TableContents"/>
              <w:bidi w:val="0"/>
              <w:spacing w:before="0" w:after="283"/>
              <w:jc w:val="center"/>
              <w:rPr>
                <w:sz w:val="16"/>
              </w:rPr>
            </w:pPr>
            <w:r>
              <w:rPr>
                <w:sz w:val="16"/>
              </w:rPr>
              <w:t>3.3%</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-2.1%</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Less - allowance for loan losses </w:t>
            </w:r>
          </w:p>
        </w:tc>
        <w:tc>
          <w:tcPr>
            <w:tcW w:w="1535" w:type="dxa"/>
            <w:tcBorders/>
            <w:vAlign w:val="center"/>
          </w:tcPr>
          <w:p>
            <w:pPr>
              <w:pStyle w:val="TableContents"/>
              <w:bidi w:val="0"/>
              <w:spacing w:before="0" w:after="283"/>
              <w:jc w:val="right"/>
              <w:rPr/>
            </w:pPr>
            <w:r>
              <w:rPr/>
              <w:t>      </w:t>
            </w:r>
            <w:r>
              <w:rPr>
                <w:sz w:val="16"/>
              </w:rPr>
              <w:t>(8,306,500)</w:t>
            </w:r>
          </w:p>
        </w:tc>
        <w:tc>
          <w:tcPr>
            <w:tcW w:w="1535" w:type="dxa"/>
            <w:tcBorders/>
            <w:vAlign w:val="center"/>
          </w:tcPr>
          <w:p>
            <w:pPr>
              <w:pStyle w:val="TableContents"/>
              <w:bidi w:val="0"/>
              <w:spacing w:before="0" w:after="283"/>
              <w:jc w:val="right"/>
              <w:rPr/>
            </w:pPr>
            <w:r>
              <w:rPr/>
              <w:t>      </w:t>
            </w:r>
            <w:r>
              <w:rPr>
                <w:sz w:val="16"/>
              </w:rPr>
              <w:t>(7,915,350)</w:t>
            </w:r>
          </w:p>
        </w:tc>
        <w:tc>
          <w:tcPr>
            <w:tcW w:w="1535" w:type="dxa"/>
            <w:tcBorders>
              <w:right w:val="single" w:sz="8" w:space="0" w:color="000000"/>
            </w:tcBorders>
            <w:tcMar>
              <w:right w:w="28" w:type="dxa"/>
            </w:tcMar>
            <w:vAlign w:val="center"/>
          </w:tcPr>
          <w:p>
            <w:pPr>
              <w:pStyle w:val="TableContents"/>
              <w:bidi w:val="0"/>
              <w:spacing w:before="0" w:after="283"/>
              <w:jc w:val="right"/>
              <w:rPr/>
            </w:pPr>
            <w:r>
              <w:rPr/>
              <w:t>      </w:t>
            </w:r>
            <w:r>
              <w:rPr>
                <w:sz w:val="16"/>
              </w:rPr>
              <w:t>(7,956,184)</w:t>
            </w:r>
          </w:p>
        </w:tc>
        <w:tc>
          <w:tcPr>
            <w:tcW w:w="512" w:type="dxa"/>
            <w:tcBorders/>
            <w:shd w:fill="FFFFFF" w:val="clear"/>
            <w:vAlign w:val="center"/>
          </w:tcPr>
          <w:p>
            <w:pPr>
              <w:pStyle w:val="TableContents"/>
              <w:bidi w:val="0"/>
              <w:spacing w:before="0" w:after="283"/>
              <w:jc w:val="center"/>
              <w:rPr>
                <w:sz w:val="16"/>
              </w:rPr>
            </w:pPr>
            <w:r>
              <w:rPr>
                <w:sz w:val="16"/>
              </w:rPr>
              <w:t>0.5%</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-4.2%</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Loans, net</w:t>
            </w:r>
          </w:p>
        </w:tc>
        <w:tc>
          <w:tcPr>
            <w:tcW w:w="1535" w:type="dxa"/>
            <w:tcBorders/>
            <w:vAlign w:val="center"/>
          </w:tcPr>
          <w:p>
            <w:pPr>
              <w:pStyle w:val="TableContents"/>
              <w:bidi w:val="0"/>
              <w:spacing w:before="0" w:after="283"/>
              <w:jc w:val="right"/>
              <w:rPr/>
            </w:pPr>
            <w:r>
              <w:rPr/>
              <w:t>   </w:t>
            </w:r>
            <w:r>
              <w:rPr>
                <w:sz w:val="16"/>
              </w:rPr>
              <w:t>142,063,684</w:t>
            </w:r>
          </w:p>
        </w:tc>
        <w:tc>
          <w:tcPr>
            <w:tcW w:w="1535" w:type="dxa"/>
            <w:tcBorders/>
            <w:vAlign w:val="center"/>
          </w:tcPr>
          <w:p>
            <w:pPr>
              <w:pStyle w:val="TableContents"/>
              <w:bidi w:val="0"/>
              <w:spacing w:before="0" w:after="283"/>
              <w:jc w:val="right"/>
              <w:rPr/>
            </w:pPr>
            <w:r>
              <w:rPr/>
              <w:t>   </w:t>
            </w:r>
            <w:r>
              <w:rPr>
                <w:sz w:val="16"/>
              </w:rPr>
              <w:t>137,250,363</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134,889,365</w:t>
            </w:r>
          </w:p>
        </w:tc>
        <w:tc>
          <w:tcPr>
            <w:tcW w:w="512" w:type="dxa"/>
            <w:tcBorders/>
            <w:shd w:fill="FFFFFF" w:val="clear"/>
            <w:vAlign w:val="center"/>
          </w:tcPr>
          <w:p>
            <w:pPr>
              <w:pStyle w:val="TableContents"/>
              <w:bidi w:val="0"/>
              <w:spacing w:before="0" w:after="283"/>
              <w:jc w:val="center"/>
              <w:rPr>
                <w:sz w:val="16"/>
              </w:rPr>
            </w:pPr>
            <w:r>
              <w:rPr>
                <w:sz w:val="16"/>
              </w:rPr>
              <w:t>-1.7%</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-5.1%</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Financial assets designated at fair value through profit or loss</w:t>
            </w:r>
            <w:r>
              <w:rPr>
                <w:caps w:val="false"/>
                <w:smallCaps w:val="false"/>
                <w:sz w:val="16"/>
              </w:rPr>
              <w:t> </w:t>
            </w:r>
          </w:p>
        </w:tc>
        <w:tc>
          <w:tcPr>
            <w:tcW w:w="1535" w:type="dxa"/>
            <w:tcBorders/>
            <w:vAlign w:val="center"/>
          </w:tcPr>
          <w:p>
            <w:pPr>
              <w:pStyle w:val="TableContents"/>
              <w:bidi w:val="0"/>
              <w:spacing w:before="0" w:after="283"/>
              <w:jc w:val="right"/>
              <w:rPr/>
            </w:pPr>
            <w:r>
              <w:rPr/>
              <w:t>          </w:t>
            </w:r>
            <w:r>
              <w:rPr>
                <w:sz w:val="16"/>
              </w:rPr>
              <w:t>765,195</w:t>
            </w:r>
          </w:p>
        </w:tc>
        <w:tc>
          <w:tcPr>
            <w:tcW w:w="1535" w:type="dxa"/>
            <w:tcBorders/>
            <w:vAlign w:val="center"/>
          </w:tcPr>
          <w:p>
            <w:pPr>
              <w:pStyle w:val="TableContents"/>
              <w:bidi w:val="0"/>
              <w:spacing w:before="0" w:after="283"/>
              <w:jc w:val="right"/>
              <w:rPr/>
            </w:pPr>
            <w:r>
              <w:rPr/>
              <w:t>          </w:t>
            </w:r>
            <w:r>
              <w:rPr>
                <w:sz w:val="16"/>
              </w:rPr>
              <w:t>795,225</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789,845</w:t>
            </w:r>
          </w:p>
        </w:tc>
        <w:tc>
          <w:tcPr>
            <w:tcW w:w="512" w:type="dxa"/>
            <w:tcBorders/>
            <w:shd w:fill="FFFFFF" w:val="clear"/>
            <w:vAlign w:val="center"/>
          </w:tcPr>
          <w:p>
            <w:pPr>
              <w:pStyle w:val="TableContents"/>
              <w:bidi w:val="0"/>
              <w:spacing w:before="0" w:after="283"/>
              <w:jc w:val="center"/>
              <w:rPr>
                <w:sz w:val="16"/>
              </w:rPr>
            </w:pPr>
            <w:r>
              <w:rPr>
                <w:sz w:val="16"/>
              </w:rPr>
              <w:t>-0.7%</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3.2%</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Assets by insurance contracts</w:t>
            </w:r>
          </w:p>
        </w:tc>
        <w:tc>
          <w:tcPr>
            <w:tcW w:w="1535" w:type="dxa"/>
            <w:tcBorders/>
            <w:vAlign w:val="center"/>
          </w:tcPr>
          <w:p>
            <w:pPr>
              <w:pStyle w:val="TableContents"/>
              <w:bidi w:val="0"/>
              <w:spacing w:before="0" w:after="283"/>
              <w:jc w:val="right"/>
              <w:rPr/>
            </w:pPr>
            <w:r>
              <w:rPr/>
              <w:t>          </w:t>
            </w:r>
            <w:r>
              <w:rPr>
                <w:sz w:val="16"/>
              </w:rPr>
              <w:t>816,076</w:t>
            </w:r>
          </w:p>
        </w:tc>
        <w:tc>
          <w:tcPr>
            <w:tcW w:w="1535" w:type="dxa"/>
            <w:tcBorders/>
            <w:vAlign w:val="center"/>
          </w:tcPr>
          <w:p>
            <w:pPr>
              <w:pStyle w:val="TableContents"/>
              <w:bidi w:val="0"/>
              <w:spacing w:before="0" w:after="283"/>
              <w:jc w:val="right"/>
              <w:rPr/>
            </w:pPr>
            <w:r>
              <w:rPr/>
              <w:t>          </w:t>
            </w:r>
            <w:r>
              <w:rPr>
                <w:sz w:val="16"/>
              </w:rPr>
              <w:t>842,865</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893,031</w:t>
            </w:r>
          </w:p>
        </w:tc>
        <w:tc>
          <w:tcPr>
            <w:tcW w:w="512" w:type="dxa"/>
            <w:tcBorders/>
            <w:shd w:fill="FFFFFF" w:val="clear"/>
            <w:vAlign w:val="center"/>
          </w:tcPr>
          <w:p>
            <w:pPr>
              <w:pStyle w:val="TableContents"/>
              <w:bidi w:val="0"/>
              <w:spacing w:before="0" w:after="283"/>
              <w:jc w:val="center"/>
              <w:rPr>
                <w:sz w:val="16"/>
              </w:rPr>
            </w:pPr>
            <w:r>
              <w:rPr>
                <w:sz w:val="16"/>
              </w:rPr>
              <w:t>6.0%</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9.4%</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Property, plant and equipment, net</w:t>
            </w:r>
            <w:r>
              <w:rPr>
                <w:caps w:val="false"/>
                <w:smallCaps w:val="false"/>
                <w:sz w:val="16"/>
              </w:rPr>
              <w:t> </w:t>
            </w:r>
          </w:p>
        </w:tc>
        <w:tc>
          <w:tcPr>
            <w:tcW w:w="1535" w:type="dxa"/>
            <w:tcBorders/>
            <w:vAlign w:val="center"/>
          </w:tcPr>
          <w:p>
            <w:pPr>
              <w:pStyle w:val="TableContents"/>
              <w:bidi w:val="0"/>
              <w:spacing w:before="0" w:after="283"/>
              <w:jc w:val="right"/>
              <w:rPr/>
            </w:pPr>
            <w:r>
              <w:rPr/>
              <w:t>       </w:t>
            </w:r>
            <w:r>
              <w:rPr>
                <w:sz w:val="16"/>
              </w:rPr>
              <w:t>1,837,436</w:t>
            </w:r>
          </w:p>
        </w:tc>
        <w:tc>
          <w:tcPr>
            <w:tcW w:w="1535" w:type="dxa"/>
            <w:tcBorders/>
            <w:vAlign w:val="center"/>
          </w:tcPr>
          <w:p>
            <w:pPr>
              <w:pStyle w:val="TableContents"/>
              <w:bidi w:val="0"/>
              <w:spacing w:before="0" w:after="283"/>
              <w:jc w:val="right"/>
              <w:rPr/>
            </w:pPr>
            <w:r>
              <w:rPr/>
              <w:t>       </w:t>
            </w:r>
            <w:r>
              <w:rPr>
                <w:sz w:val="16"/>
              </w:rPr>
              <w:t>1,786,992</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1,749,132</w:t>
            </w:r>
          </w:p>
        </w:tc>
        <w:tc>
          <w:tcPr>
            <w:tcW w:w="512" w:type="dxa"/>
            <w:tcBorders/>
            <w:shd w:fill="FFFFFF" w:val="clear"/>
            <w:vAlign w:val="center"/>
          </w:tcPr>
          <w:p>
            <w:pPr>
              <w:pStyle w:val="TableContents"/>
              <w:bidi w:val="0"/>
              <w:spacing w:before="0" w:after="283"/>
              <w:jc w:val="center"/>
              <w:rPr>
                <w:sz w:val="16"/>
              </w:rPr>
            </w:pPr>
            <w:r>
              <w:rPr>
                <w:sz w:val="16"/>
              </w:rPr>
              <w:t>-2.1%</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-4.8%</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Due from customers on acceptances</w:t>
            </w:r>
          </w:p>
        </w:tc>
        <w:tc>
          <w:tcPr>
            <w:tcW w:w="1535" w:type="dxa"/>
            <w:tcBorders/>
            <w:vAlign w:val="center"/>
          </w:tcPr>
          <w:p>
            <w:pPr>
              <w:pStyle w:val="TableContents"/>
              <w:bidi w:val="0"/>
              <w:spacing w:before="0" w:after="283"/>
              <w:jc w:val="right"/>
              <w:rPr/>
            </w:pPr>
            <w:r>
              <w:rPr/>
              <w:t>          </w:t>
            </w:r>
            <w:r>
              <w:rPr>
                <w:sz w:val="16"/>
              </w:rPr>
              <w:t>743,925</w:t>
            </w:r>
          </w:p>
        </w:tc>
        <w:tc>
          <w:tcPr>
            <w:tcW w:w="1535" w:type="dxa"/>
            <w:tcBorders/>
            <w:vAlign w:val="center"/>
          </w:tcPr>
          <w:p>
            <w:pPr>
              <w:pStyle w:val="TableContents"/>
              <w:bidi w:val="0"/>
              <w:spacing w:before="0" w:after="283"/>
              <w:jc w:val="right"/>
              <w:rPr/>
            </w:pPr>
            <w:r>
              <w:rPr/>
              <w:t>          </w:t>
            </w:r>
            <w:r>
              <w:rPr>
                <w:sz w:val="16"/>
              </w:rPr>
              <w:t>496,170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226,161</w:t>
            </w:r>
          </w:p>
        </w:tc>
        <w:tc>
          <w:tcPr>
            <w:tcW w:w="512" w:type="dxa"/>
            <w:tcBorders/>
            <w:shd w:fill="FFFFFF" w:val="clear"/>
            <w:vAlign w:val="center"/>
          </w:tcPr>
          <w:p>
            <w:pPr>
              <w:pStyle w:val="TableContents"/>
              <w:bidi w:val="0"/>
              <w:spacing w:before="0" w:after="283"/>
              <w:jc w:val="center"/>
              <w:rPr>
                <w:sz w:val="16"/>
              </w:rPr>
            </w:pPr>
            <w:r>
              <w:rPr>
                <w:sz w:val="16"/>
              </w:rPr>
              <w:t>-54.4%</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-69.6%</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Investments in associates </w:t>
            </w:r>
          </w:p>
        </w:tc>
        <w:tc>
          <w:tcPr>
            <w:tcW w:w="1535" w:type="dxa"/>
            <w:tcBorders/>
            <w:vAlign w:val="center"/>
          </w:tcPr>
          <w:p>
            <w:pPr>
              <w:pStyle w:val="TableContents"/>
              <w:bidi w:val="0"/>
              <w:spacing w:before="0" w:after="283"/>
              <w:jc w:val="right"/>
              <w:rPr/>
            </w:pPr>
            <w:r>
              <w:rPr/>
              <w:t>          </w:t>
            </w:r>
            <w:r>
              <w:rPr>
                <w:sz w:val="16"/>
              </w:rPr>
              <w:t>636,217</w:t>
            </w:r>
          </w:p>
        </w:tc>
        <w:tc>
          <w:tcPr>
            <w:tcW w:w="1535" w:type="dxa"/>
            <w:tcBorders/>
            <w:vAlign w:val="center"/>
          </w:tcPr>
          <w:p>
            <w:pPr>
              <w:pStyle w:val="TableContents"/>
              <w:bidi w:val="0"/>
              <w:spacing w:before="0" w:after="283"/>
              <w:jc w:val="right"/>
              <w:rPr/>
            </w:pPr>
            <w:r>
              <w:rPr/>
              <w:t>          </w:t>
            </w:r>
            <w:r>
              <w:rPr>
                <w:sz w:val="16"/>
              </w:rPr>
              <w:t>660,741</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675,623</w:t>
            </w:r>
          </w:p>
        </w:tc>
        <w:tc>
          <w:tcPr>
            <w:tcW w:w="512" w:type="dxa"/>
            <w:tcBorders/>
            <w:shd w:fill="FFFFFF" w:val="clear"/>
            <w:vAlign w:val="center"/>
          </w:tcPr>
          <w:p>
            <w:pPr>
              <w:pStyle w:val="TableContents"/>
              <w:bidi w:val="0"/>
              <w:spacing w:before="0" w:after="283"/>
              <w:jc w:val="center"/>
              <w:rPr>
                <w:sz w:val="16"/>
              </w:rPr>
            </w:pPr>
            <w:r>
              <w:rPr>
                <w:sz w:val="16"/>
              </w:rPr>
              <w:t>2.3%</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6.2%</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Intangible assets and goodwill, net </w:t>
            </w:r>
          </w:p>
        </w:tc>
        <w:tc>
          <w:tcPr>
            <w:tcW w:w="1535" w:type="dxa"/>
            <w:tcBorders/>
            <w:vAlign w:val="center"/>
          </w:tcPr>
          <w:p>
            <w:pPr>
              <w:pStyle w:val="TableContents"/>
              <w:bidi w:val="0"/>
              <w:spacing w:before="0" w:after="283"/>
              <w:jc w:val="right"/>
              <w:rPr/>
            </w:pPr>
            <w:r>
              <w:rPr/>
              <w:t>       </w:t>
            </w:r>
            <w:r>
              <w:rPr>
                <w:sz w:val="16"/>
              </w:rPr>
              <w:t>2,729,609</w:t>
            </w:r>
          </w:p>
        </w:tc>
        <w:tc>
          <w:tcPr>
            <w:tcW w:w="1535" w:type="dxa"/>
            <w:tcBorders/>
            <w:vAlign w:val="center"/>
          </w:tcPr>
          <w:p>
            <w:pPr>
              <w:pStyle w:val="TableContents"/>
              <w:bidi w:val="0"/>
              <w:spacing w:before="0" w:after="283"/>
              <w:jc w:val="right"/>
              <w:rPr/>
            </w:pPr>
            <w:r>
              <w:rPr/>
              <w:t>       </w:t>
            </w:r>
            <w:r>
              <w:rPr>
                <w:sz w:val="16"/>
              </w:rPr>
              <w:t>2,942,367</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3,046,846</w:t>
            </w:r>
          </w:p>
        </w:tc>
        <w:tc>
          <w:tcPr>
            <w:tcW w:w="512" w:type="dxa"/>
            <w:tcBorders/>
            <w:shd w:fill="FFFFFF" w:val="clear"/>
            <w:vAlign w:val="center"/>
          </w:tcPr>
          <w:p>
            <w:pPr>
              <w:pStyle w:val="TableContents"/>
              <w:bidi w:val="0"/>
              <w:spacing w:before="0" w:after="283"/>
              <w:jc w:val="center"/>
              <w:rPr>
                <w:sz w:val="16"/>
              </w:rPr>
            </w:pPr>
            <w:r>
              <w:rPr>
                <w:sz w:val="16"/>
              </w:rPr>
              <w:t>3.6%</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11.6%</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Assets by  reinsurance contracts</w:t>
            </w:r>
          </w:p>
        </w:tc>
        <w:tc>
          <w:tcPr>
            <w:tcW w:w="1535" w:type="dxa"/>
            <w:tcBorders/>
            <w:vAlign w:val="center"/>
          </w:tcPr>
          <w:p>
            <w:pPr>
              <w:pStyle w:val="TableContents"/>
              <w:bidi w:val="0"/>
              <w:spacing w:before="0" w:after="283"/>
              <w:jc w:val="right"/>
              <w:rPr/>
            </w:pPr>
            <w:r>
              <w:rPr/>
              <w:t>          </w:t>
            </w:r>
            <w:r>
              <w:rPr>
                <w:sz w:val="16"/>
              </w:rPr>
              <w:t>960,616</w:t>
            </w:r>
          </w:p>
        </w:tc>
        <w:tc>
          <w:tcPr>
            <w:tcW w:w="1535" w:type="dxa"/>
            <w:tcBorders/>
            <w:vAlign w:val="center"/>
          </w:tcPr>
          <w:p>
            <w:pPr>
              <w:pStyle w:val="TableContents"/>
              <w:bidi w:val="0"/>
              <w:spacing w:before="0" w:after="283"/>
              <w:jc w:val="right"/>
              <w:rPr/>
            </w:pPr>
            <w:r>
              <w:rPr/>
              <w:t>       </w:t>
            </w:r>
            <w:r>
              <w:rPr>
                <w:sz w:val="16"/>
              </w:rPr>
              <w:t>1,020,986</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1,166,949</w:t>
            </w:r>
          </w:p>
        </w:tc>
        <w:tc>
          <w:tcPr>
            <w:tcW w:w="512" w:type="dxa"/>
            <w:tcBorders/>
            <w:shd w:fill="FFFFFF" w:val="clear"/>
            <w:vAlign w:val="center"/>
          </w:tcPr>
          <w:p>
            <w:pPr>
              <w:pStyle w:val="TableContents"/>
              <w:bidi w:val="0"/>
              <w:spacing w:before="0" w:after="283"/>
              <w:jc w:val="center"/>
              <w:rPr>
                <w:sz w:val="16"/>
              </w:rPr>
            </w:pPr>
            <w:r>
              <w:rPr>
                <w:sz w:val="16"/>
              </w:rPr>
              <w:t>14.3%</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21.5%</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Other assets </w:t>
            </w:r>
            <w:r>
              <w:rPr>
                <w:rFonts w:ascii="Arial;Helvetica;Sans-Serif" w:hAnsi="Arial;Helvetica;Sans-Serif"/>
                <w:b w:val="false"/>
                <w:i w:val="false"/>
                <w:caps w:val="false"/>
                <w:smallCaps w:val="false"/>
                <w:sz w:val="16"/>
              </w:rPr>
              <w:t>(1)</w:t>
            </w:r>
          </w:p>
        </w:tc>
        <w:tc>
          <w:tcPr>
            <w:tcW w:w="1535" w:type="dxa"/>
            <w:tcBorders/>
            <w:vAlign w:val="center"/>
          </w:tcPr>
          <w:p>
            <w:pPr>
              <w:pStyle w:val="TableContents"/>
              <w:bidi w:val="0"/>
              <w:spacing w:before="0" w:after="283"/>
              <w:jc w:val="right"/>
              <w:rPr/>
            </w:pPr>
            <w:r>
              <w:rPr/>
              <w:t>       </w:t>
            </w:r>
            <w:r>
              <w:rPr>
                <w:sz w:val="16"/>
              </w:rPr>
              <w:t>7,598,783</w:t>
            </w:r>
          </w:p>
        </w:tc>
        <w:tc>
          <w:tcPr>
            <w:tcW w:w="1535" w:type="dxa"/>
            <w:tcBorders/>
            <w:vAlign w:val="center"/>
          </w:tcPr>
          <w:p>
            <w:pPr>
              <w:pStyle w:val="TableContents"/>
              <w:bidi w:val="0"/>
              <w:spacing w:before="0" w:after="283"/>
              <w:jc w:val="right"/>
              <w:rPr/>
            </w:pPr>
            <w:r>
              <w:rPr/>
              <w:t>       </w:t>
            </w:r>
            <w:r>
              <w:rPr>
                <w:sz w:val="16"/>
              </w:rPr>
              <w:t>8,132,168</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8,098,627</w:t>
            </w:r>
          </w:p>
        </w:tc>
        <w:tc>
          <w:tcPr>
            <w:tcW w:w="512" w:type="dxa"/>
            <w:tcBorders/>
            <w:shd w:fill="FFFFFF" w:val="clear"/>
            <w:vAlign w:val="center"/>
          </w:tcPr>
          <w:p>
            <w:pPr>
              <w:pStyle w:val="TableContents"/>
              <w:bidi w:val="0"/>
              <w:spacing w:before="0" w:after="283"/>
              <w:jc w:val="center"/>
              <w:rPr>
                <w:sz w:val="16"/>
              </w:rPr>
            </w:pPr>
            <w:r>
              <w:rPr>
                <w:sz w:val="16"/>
              </w:rPr>
              <w:t>-0.4%</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6.6%</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Total Assets</w:t>
            </w:r>
          </w:p>
        </w:tc>
        <w:tc>
          <w:tcPr>
            <w:tcW w:w="1535" w:type="dxa"/>
            <w:tcBorders/>
            <w:vAlign w:val="center"/>
          </w:tcPr>
          <w:p>
            <w:pPr>
              <w:pStyle w:val="TableContents"/>
              <w:bidi w:val="0"/>
              <w:spacing w:before="0" w:after="283"/>
              <w:jc w:val="right"/>
              <w:rPr>
                <w:b/>
                <w:sz w:val="16"/>
              </w:rPr>
            </w:pPr>
            <w:r>
              <w:rPr>
                <w:b/>
                <w:sz w:val="16"/>
              </w:rPr>
              <w:t>236,542,725</w:t>
            </w:r>
          </w:p>
        </w:tc>
        <w:tc>
          <w:tcPr>
            <w:tcW w:w="1535" w:type="dxa"/>
            <w:tcBorders/>
            <w:vAlign w:val="center"/>
          </w:tcPr>
          <w:p>
            <w:pPr>
              <w:pStyle w:val="TableContents"/>
              <w:bidi w:val="0"/>
              <w:spacing w:before="0" w:after="283"/>
              <w:jc w:val="right"/>
              <w:rPr>
                <w:b/>
                <w:sz w:val="16"/>
              </w:rPr>
            </w:pPr>
            <w:r>
              <w:rPr>
                <w:b/>
                <w:sz w:val="16"/>
              </w:rPr>
              <w:t>238,338,233</w:t>
            </w:r>
          </w:p>
        </w:tc>
        <w:tc>
          <w:tcPr>
            <w:tcW w:w="1535" w:type="dxa"/>
            <w:tcBorders>
              <w:right w:val="single" w:sz="8" w:space="0" w:color="000000"/>
            </w:tcBorders>
            <w:tcMar>
              <w:right w:w="60" w:type="dxa"/>
            </w:tcMar>
            <w:vAlign w:val="center"/>
          </w:tcPr>
          <w:p>
            <w:pPr>
              <w:pStyle w:val="TableContents"/>
              <w:bidi w:val="0"/>
              <w:spacing w:before="0" w:after="283"/>
              <w:jc w:val="right"/>
              <w:rPr>
                <w:b/>
                <w:sz w:val="16"/>
              </w:rPr>
            </w:pPr>
            <w:r>
              <w:rPr>
                <w:b/>
                <w:sz w:val="16"/>
              </w:rPr>
              <w:t>234,625,303</w:t>
            </w:r>
          </w:p>
        </w:tc>
        <w:tc>
          <w:tcPr>
            <w:tcW w:w="512" w:type="dxa"/>
            <w:tcBorders/>
            <w:shd w:fill="FFFFFF" w:val="clear"/>
            <w:vAlign w:val="center"/>
          </w:tcPr>
          <w:p>
            <w:pPr>
              <w:pStyle w:val="TableContents"/>
              <w:bidi w:val="0"/>
              <w:spacing w:before="0" w:after="283"/>
              <w:jc w:val="center"/>
              <w:rPr>
                <w:b/>
                <w:sz w:val="16"/>
              </w:rPr>
            </w:pPr>
            <w:r>
              <w:rPr>
                <w:b/>
                <w:sz w:val="16"/>
              </w:rPr>
              <w:t>-1.6%</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-0.8%</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LIABILITIES AND EQUITY</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Deposits and obligations</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Non-interest bearing</w:t>
            </w:r>
          </w:p>
        </w:tc>
        <w:tc>
          <w:tcPr>
            <w:tcW w:w="1535" w:type="dxa"/>
            <w:tcBorders/>
            <w:vAlign w:val="center"/>
          </w:tcPr>
          <w:p>
            <w:pPr>
              <w:pStyle w:val="TableContents"/>
              <w:bidi w:val="0"/>
              <w:spacing w:before="0" w:after="283"/>
              <w:jc w:val="right"/>
              <w:rPr/>
            </w:pPr>
            <w:r>
              <w:rPr/>
              <w:t>     </w:t>
            </w:r>
            <w:r>
              <w:rPr>
                <w:sz w:val="16"/>
              </w:rPr>
              <w:t>46,043,989</w:t>
            </w:r>
          </w:p>
        </w:tc>
        <w:tc>
          <w:tcPr>
            <w:tcW w:w="1535" w:type="dxa"/>
            <w:tcBorders/>
            <w:vAlign w:val="center"/>
          </w:tcPr>
          <w:p>
            <w:pPr>
              <w:pStyle w:val="TableContents"/>
              <w:bidi w:val="0"/>
              <w:spacing w:before="0" w:after="283"/>
              <w:jc w:val="right"/>
              <w:rPr/>
            </w:pPr>
            <w:r>
              <w:rPr/>
              <w:t>     </w:t>
            </w:r>
            <w:r>
              <w:rPr>
                <w:sz w:val="16"/>
              </w:rPr>
              <w:t>41,596,964</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39,475,762</w:t>
            </w:r>
          </w:p>
        </w:tc>
        <w:tc>
          <w:tcPr>
            <w:tcW w:w="512" w:type="dxa"/>
            <w:tcBorders/>
            <w:shd w:fill="FFFFFF" w:val="clear"/>
            <w:vAlign w:val="center"/>
          </w:tcPr>
          <w:p>
            <w:pPr>
              <w:pStyle w:val="TableContents"/>
              <w:bidi w:val="0"/>
              <w:spacing w:before="0" w:after="283"/>
              <w:jc w:val="center"/>
              <w:rPr>
                <w:sz w:val="16"/>
              </w:rPr>
            </w:pPr>
            <w:r>
              <w:rPr>
                <w:sz w:val="16"/>
              </w:rPr>
              <w:t>-5.1%</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-14.3%</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Interest bearing</w:t>
            </w:r>
          </w:p>
        </w:tc>
        <w:tc>
          <w:tcPr>
            <w:tcW w:w="1535" w:type="dxa"/>
            <w:tcBorders/>
            <w:vAlign w:val="center"/>
          </w:tcPr>
          <w:p>
            <w:pPr>
              <w:pStyle w:val="TableContents"/>
              <w:bidi w:val="0"/>
              <w:spacing w:before="0" w:after="283"/>
              <w:jc w:val="right"/>
              <w:rPr/>
            </w:pPr>
            <w:r>
              <w:rPr/>
              <w:t>   </w:t>
            </w:r>
            <w:r>
              <w:rPr>
                <w:sz w:val="16"/>
              </w:rPr>
              <w:t>101,396,587</w:t>
            </w:r>
          </w:p>
        </w:tc>
        <w:tc>
          <w:tcPr>
            <w:tcW w:w="1535" w:type="dxa"/>
            <w:tcBorders/>
            <w:vAlign w:val="center"/>
          </w:tcPr>
          <w:p>
            <w:pPr>
              <w:pStyle w:val="TableContents"/>
              <w:bidi w:val="0"/>
              <w:spacing w:before="0" w:after="283"/>
              <w:jc w:val="right"/>
              <w:rPr/>
            </w:pPr>
            <w:r>
              <w:rPr/>
              <w:t>   </w:t>
            </w:r>
            <w:r>
              <w:rPr>
                <w:sz w:val="16"/>
              </w:rPr>
              <w:t>107,026,336</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103,911,955</w:t>
            </w:r>
          </w:p>
        </w:tc>
        <w:tc>
          <w:tcPr>
            <w:tcW w:w="512" w:type="dxa"/>
            <w:tcBorders/>
            <w:shd w:fill="FFFFFF" w:val="clear"/>
            <w:vAlign w:val="center"/>
          </w:tcPr>
          <w:p>
            <w:pPr>
              <w:pStyle w:val="TableContents"/>
              <w:bidi w:val="0"/>
              <w:spacing w:before="0" w:after="283"/>
              <w:jc w:val="center"/>
              <w:rPr>
                <w:sz w:val="16"/>
              </w:rPr>
            </w:pPr>
            <w:r>
              <w:rPr>
                <w:sz w:val="16"/>
              </w:rPr>
              <w:t>-2.9%</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2.5%</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Total deposits and obligations</w:t>
            </w:r>
          </w:p>
        </w:tc>
        <w:tc>
          <w:tcPr>
            <w:tcW w:w="1535" w:type="dxa"/>
            <w:tcBorders/>
            <w:vAlign w:val="center"/>
          </w:tcPr>
          <w:p>
            <w:pPr>
              <w:pStyle w:val="TableContents"/>
              <w:bidi w:val="0"/>
              <w:spacing w:before="0" w:after="283"/>
              <w:jc w:val="right"/>
              <w:rPr/>
            </w:pPr>
            <w:r>
              <w:rPr/>
              <w:t>   </w:t>
            </w:r>
            <w:r>
              <w:rPr>
                <w:sz w:val="16"/>
              </w:rPr>
              <w:t>147,440,576</w:t>
            </w:r>
          </w:p>
        </w:tc>
        <w:tc>
          <w:tcPr>
            <w:tcW w:w="1535" w:type="dxa"/>
            <w:tcBorders/>
            <w:vAlign w:val="center"/>
          </w:tcPr>
          <w:p>
            <w:pPr>
              <w:pStyle w:val="TableContents"/>
              <w:bidi w:val="0"/>
              <w:spacing w:before="0" w:after="283"/>
              <w:jc w:val="right"/>
              <w:rPr/>
            </w:pPr>
            <w:r>
              <w:rPr/>
              <w:t>   </w:t>
            </w:r>
            <w:r>
              <w:rPr>
                <w:sz w:val="16"/>
              </w:rPr>
              <w:t>148,623,300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143,387,717</w:t>
            </w:r>
          </w:p>
        </w:tc>
        <w:tc>
          <w:tcPr>
            <w:tcW w:w="512" w:type="dxa"/>
            <w:tcBorders/>
            <w:shd w:fill="FFFFFF" w:val="clear"/>
            <w:vAlign w:val="center"/>
          </w:tcPr>
          <w:p>
            <w:pPr>
              <w:pStyle w:val="TableContents"/>
              <w:bidi w:val="0"/>
              <w:spacing w:before="0" w:after="283"/>
              <w:jc w:val="center"/>
              <w:rPr>
                <w:sz w:val="16"/>
              </w:rPr>
            </w:pPr>
            <w:r>
              <w:rPr>
                <w:sz w:val="16"/>
              </w:rPr>
              <w:t>-3.5%</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-2.7%</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Payables from repurchase agreements and securities lending</w:t>
            </w:r>
          </w:p>
        </w:tc>
        <w:tc>
          <w:tcPr>
            <w:tcW w:w="1535" w:type="dxa"/>
            <w:tcBorders/>
            <w:vAlign w:val="center"/>
          </w:tcPr>
          <w:p>
            <w:pPr>
              <w:pStyle w:val="TableContents"/>
              <w:bidi w:val="0"/>
              <w:spacing w:before="0" w:after="283"/>
              <w:jc w:val="right"/>
              <w:rPr/>
            </w:pPr>
            <w:r>
              <w:rPr/>
              <w:t>     </w:t>
            </w:r>
            <w:r>
              <w:rPr>
                <w:sz w:val="16"/>
              </w:rPr>
              <w:t>18,138,863</w:t>
            </w:r>
          </w:p>
        </w:tc>
        <w:tc>
          <w:tcPr>
            <w:tcW w:w="1535" w:type="dxa"/>
            <w:tcBorders/>
            <w:vAlign w:val="center"/>
          </w:tcPr>
          <w:p>
            <w:pPr>
              <w:pStyle w:val="TableContents"/>
              <w:bidi w:val="0"/>
              <w:spacing w:before="0" w:after="283"/>
              <w:jc w:val="right"/>
              <w:rPr/>
            </w:pPr>
            <w:r>
              <w:rPr/>
              <w:t>     </w:t>
            </w:r>
            <w:r>
              <w:rPr>
                <w:sz w:val="16"/>
              </w:rPr>
              <w:t>11,686,495</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14,306,880</w:t>
            </w:r>
          </w:p>
        </w:tc>
        <w:tc>
          <w:tcPr>
            <w:tcW w:w="512" w:type="dxa"/>
            <w:tcBorders/>
            <w:shd w:fill="FFFFFF" w:val="clear"/>
            <w:vAlign w:val="center"/>
          </w:tcPr>
          <w:p>
            <w:pPr>
              <w:pStyle w:val="TableContents"/>
              <w:bidi w:val="0"/>
              <w:spacing w:before="0" w:after="283"/>
              <w:jc w:val="center"/>
              <w:rPr>
                <w:sz w:val="16"/>
              </w:rPr>
            </w:pPr>
            <w:r>
              <w:rPr>
                <w:sz w:val="16"/>
              </w:rPr>
              <w:t>22.4%</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-21.1%</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BCRP instruments</w:t>
            </w:r>
          </w:p>
        </w:tc>
        <w:tc>
          <w:tcPr>
            <w:tcW w:w="1535" w:type="dxa"/>
            <w:tcBorders/>
            <w:vAlign w:val="center"/>
          </w:tcPr>
          <w:p>
            <w:pPr>
              <w:pStyle w:val="TableContents"/>
              <w:bidi w:val="0"/>
              <w:spacing w:before="0" w:after="283"/>
              <w:jc w:val="right"/>
              <w:rPr/>
            </w:pPr>
            <w:r>
              <w:rPr/>
              <w:t>     </w:t>
            </w:r>
            <w:r>
              <w:rPr>
                <w:sz w:val="16"/>
              </w:rPr>
              <w:t>16,031,618</w:t>
            </w:r>
          </w:p>
        </w:tc>
        <w:tc>
          <w:tcPr>
            <w:tcW w:w="1535" w:type="dxa"/>
            <w:tcBorders/>
            <w:vAlign w:val="center"/>
          </w:tcPr>
          <w:p>
            <w:pPr>
              <w:pStyle w:val="TableContents"/>
              <w:bidi w:val="0"/>
              <w:spacing w:before="0" w:after="283"/>
              <w:jc w:val="right"/>
              <w:rPr/>
            </w:pPr>
            <w:r>
              <w:rPr/>
              <w:t>       </w:t>
            </w:r>
            <w:r>
              <w:rPr>
                <w:sz w:val="16"/>
              </w:rPr>
              <w:t>9,780,540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11,772,772</w:t>
            </w:r>
          </w:p>
        </w:tc>
        <w:tc>
          <w:tcPr>
            <w:tcW w:w="512" w:type="dxa"/>
            <w:tcBorders/>
            <w:shd w:fill="FFFFFF" w:val="clear"/>
            <w:vAlign w:val="center"/>
          </w:tcPr>
          <w:p>
            <w:pPr>
              <w:pStyle w:val="TableContents"/>
              <w:bidi w:val="0"/>
              <w:spacing w:before="0" w:after="283"/>
              <w:jc w:val="center"/>
              <w:rPr>
                <w:sz w:val="16"/>
              </w:rPr>
            </w:pPr>
            <w:r>
              <w:rPr>
                <w:sz w:val="16"/>
              </w:rPr>
              <w:t>20.4%</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-26.6%</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Repurchase agreements with third parties</w:t>
            </w:r>
          </w:p>
        </w:tc>
        <w:tc>
          <w:tcPr>
            <w:tcW w:w="1535" w:type="dxa"/>
            <w:tcBorders/>
            <w:vAlign w:val="center"/>
          </w:tcPr>
          <w:p>
            <w:pPr>
              <w:pStyle w:val="TableContents"/>
              <w:bidi w:val="0"/>
              <w:spacing w:before="0" w:after="283"/>
              <w:jc w:val="right"/>
              <w:rPr/>
            </w:pPr>
            <w:r>
              <w:rPr/>
              <w:t>       </w:t>
            </w:r>
            <w:r>
              <w:rPr>
                <w:sz w:val="16"/>
              </w:rPr>
              <w:t>1,340,423</w:t>
            </w:r>
          </w:p>
        </w:tc>
        <w:tc>
          <w:tcPr>
            <w:tcW w:w="1535" w:type="dxa"/>
            <w:tcBorders/>
            <w:vAlign w:val="center"/>
          </w:tcPr>
          <w:p>
            <w:pPr>
              <w:pStyle w:val="TableContents"/>
              <w:bidi w:val="0"/>
              <w:spacing w:before="0" w:after="283"/>
              <w:jc w:val="right"/>
              <w:rPr/>
            </w:pPr>
            <w:r>
              <w:rPr/>
              <w:t>       </w:t>
            </w:r>
            <w:r>
              <w:rPr>
                <w:sz w:val="16"/>
              </w:rPr>
              <w:t>1,206,574</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1,276,709</w:t>
            </w:r>
          </w:p>
        </w:tc>
        <w:tc>
          <w:tcPr>
            <w:tcW w:w="512" w:type="dxa"/>
            <w:tcBorders/>
            <w:shd w:fill="FFFFFF" w:val="clear"/>
            <w:vAlign w:val="center"/>
          </w:tcPr>
          <w:p>
            <w:pPr>
              <w:pStyle w:val="TableContents"/>
              <w:bidi w:val="0"/>
              <w:spacing w:before="0" w:after="283"/>
              <w:jc w:val="center"/>
              <w:rPr>
                <w:sz w:val="16"/>
              </w:rPr>
            </w:pPr>
            <w:r>
              <w:rPr>
                <w:sz w:val="16"/>
              </w:rPr>
              <w:t>5.8%</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-4.8%</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93"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Repurchase agreements with customers </w:t>
            </w:r>
          </w:p>
        </w:tc>
        <w:tc>
          <w:tcPr>
            <w:tcW w:w="1535" w:type="dxa"/>
            <w:tcBorders/>
            <w:vAlign w:val="center"/>
          </w:tcPr>
          <w:p>
            <w:pPr>
              <w:pStyle w:val="TableContents"/>
              <w:bidi w:val="0"/>
              <w:spacing w:before="0" w:after="283"/>
              <w:jc w:val="right"/>
              <w:rPr/>
            </w:pPr>
            <w:r>
              <w:rPr/>
              <w:t>          </w:t>
            </w:r>
            <w:r>
              <w:rPr>
                <w:sz w:val="16"/>
              </w:rPr>
              <w:t>766,822</w:t>
            </w:r>
          </w:p>
        </w:tc>
        <w:tc>
          <w:tcPr>
            <w:tcW w:w="1535" w:type="dxa"/>
            <w:tcBorders/>
            <w:vAlign w:val="center"/>
          </w:tcPr>
          <w:p>
            <w:pPr>
              <w:pStyle w:val="TableContents"/>
              <w:bidi w:val="0"/>
              <w:spacing w:before="0" w:after="283"/>
              <w:jc w:val="right"/>
              <w:rPr/>
            </w:pPr>
            <w:r>
              <w:rPr/>
              <w:t>          </w:t>
            </w:r>
            <w:r>
              <w:rPr>
                <w:sz w:val="16"/>
              </w:rPr>
              <w:t>699,381</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1,257,399</w:t>
            </w:r>
          </w:p>
        </w:tc>
        <w:tc>
          <w:tcPr>
            <w:tcW w:w="512" w:type="dxa"/>
            <w:tcBorders/>
            <w:shd w:fill="FFFFFF" w:val="clear"/>
            <w:vAlign w:val="center"/>
          </w:tcPr>
          <w:p>
            <w:pPr>
              <w:pStyle w:val="TableContents"/>
              <w:bidi w:val="0"/>
              <w:spacing w:before="0" w:after="283"/>
              <w:jc w:val="center"/>
              <w:rPr>
                <w:sz w:val="16"/>
              </w:rPr>
            </w:pPr>
            <w:r>
              <w:rPr>
                <w:sz w:val="16"/>
              </w:rPr>
              <w:t>79.8%</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64.0%</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Due to banks and correspondents</w:t>
            </w:r>
          </w:p>
        </w:tc>
        <w:tc>
          <w:tcPr>
            <w:tcW w:w="1535" w:type="dxa"/>
            <w:tcBorders/>
            <w:vAlign w:val="center"/>
          </w:tcPr>
          <w:p>
            <w:pPr>
              <w:pStyle w:val="TableContents"/>
              <w:bidi w:val="0"/>
              <w:spacing w:before="0" w:after="283"/>
              <w:jc w:val="right"/>
              <w:rPr/>
            </w:pPr>
            <w:r>
              <w:rPr/>
              <w:t>       </w:t>
            </w:r>
            <w:r>
              <w:rPr>
                <w:sz w:val="16"/>
              </w:rPr>
              <w:t>6,456,360</w:t>
            </w:r>
          </w:p>
        </w:tc>
        <w:tc>
          <w:tcPr>
            <w:tcW w:w="1535" w:type="dxa"/>
            <w:tcBorders/>
            <w:vAlign w:val="center"/>
          </w:tcPr>
          <w:p>
            <w:pPr>
              <w:pStyle w:val="TableContents"/>
              <w:bidi w:val="0"/>
              <w:spacing w:before="0" w:after="283"/>
              <w:jc w:val="right"/>
              <w:rPr/>
            </w:pPr>
            <w:r>
              <w:rPr/>
              <w:t>     </w:t>
            </w:r>
            <w:r>
              <w:rPr>
                <w:sz w:val="16"/>
              </w:rPr>
              <w:t>10,199,650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10,062,290</w:t>
            </w:r>
          </w:p>
        </w:tc>
        <w:tc>
          <w:tcPr>
            <w:tcW w:w="512" w:type="dxa"/>
            <w:tcBorders/>
            <w:shd w:fill="FFFFFF" w:val="clear"/>
            <w:vAlign w:val="center"/>
          </w:tcPr>
          <w:p>
            <w:pPr>
              <w:pStyle w:val="TableContents"/>
              <w:bidi w:val="0"/>
              <w:spacing w:before="0" w:after="283"/>
              <w:jc w:val="center"/>
              <w:rPr>
                <w:sz w:val="16"/>
              </w:rPr>
            </w:pPr>
            <w:r>
              <w:rPr>
                <w:sz w:val="16"/>
              </w:rPr>
              <w:t>-1.3%</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55.9%</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Bonds and notes issued</w:t>
            </w:r>
          </w:p>
        </w:tc>
        <w:tc>
          <w:tcPr>
            <w:tcW w:w="1535" w:type="dxa"/>
            <w:tcBorders/>
            <w:vAlign w:val="center"/>
          </w:tcPr>
          <w:p>
            <w:pPr>
              <w:pStyle w:val="TableContents"/>
              <w:bidi w:val="0"/>
              <w:spacing w:before="0" w:after="283"/>
              <w:jc w:val="right"/>
              <w:rPr/>
            </w:pPr>
            <w:r>
              <w:rPr/>
              <w:t>     </w:t>
            </w:r>
            <w:r>
              <w:rPr>
                <w:sz w:val="16"/>
              </w:rPr>
              <w:t>16,579,674</w:t>
            </w:r>
          </w:p>
        </w:tc>
        <w:tc>
          <w:tcPr>
            <w:tcW w:w="1535" w:type="dxa"/>
            <w:tcBorders/>
            <w:vAlign w:val="center"/>
          </w:tcPr>
          <w:p>
            <w:pPr>
              <w:pStyle w:val="TableContents"/>
              <w:bidi w:val="0"/>
              <w:spacing w:before="0" w:after="283"/>
              <w:jc w:val="right"/>
              <w:rPr/>
            </w:pPr>
            <w:r>
              <w:rPr/>
              <w:t>     </w:t>
            </w:r>
            <w:r>
              <w:rPr>
                <w:sz w:val="16"/>
              </w:rPr>
              <w:t>14,326,930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14,235,697</w:t>
            </w:r>
          </w:p>
        </w:tc>
        <w:tc>
          <w:tcPr>
            <w:tcW w:w="512" w:type="dxa"/>
            <w:tcBorders/>
            <w:shd w:fill="FFFFFF" w:val="clear"/>
            <w:vAlign w:val="center"/>
          </w:tcPr>
          <w:p>
            <w:pPr>
              <w:pStyle w:val="TableContents"/>
              <w:bidi w:val="0"/>
              <w:spacing w:before="0" w:after="283"/>
              <w:jc w:val="center"/>
              <w:rPr>
                <w:sz w:val="16"/>
              </w:rPr>
            </w:pPr>
            <w:r>
              <w:rPr>
                <w:sz w:val="16"/>
              </w:rPr>
              <w:t>-0.6%</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-14.1%</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Banker’s acceptances outstanding</w:t>
            </w:r>
          </w:p>
        </w:tc>
        <w:tc>
          <w:tcPr>
            <w:tcW w:w="1535" w:type="dxa"/>
            <w:tcBorders/>
            <w:vAlign w:val="center"/>
          </w:tcPr>
          <w:p>
            <w:pPr>
              <w:pStyle w:val="TableContents"/>
              <w:bidi w:val="0"/>
              <w:spacing w:before="0" w:after="283"/>
              <w:jc w:val="right"/>
              <w:rPr/>
            </w:pPr>
            <w:r>
              <w:rPr/>
              <w:t>          </w:t>
            </w:r>
            <w:r>
              <w:rPr>
                <w:sz w:val="16"/>
              </w:rPr>
              <w:t>743,925</w:t>
            </w:r>
          </w:p>
        </w:tc>
        <w:tc>
          <w:tcPr>
            <w:tcW w:w="1535" w:type="dxa"/>
            <w:tcBorders/>
            <w:vAlign w:val="center"/>
          </w:tcPr>
          <w:p>
            <w:pPr>
              <w:pStyle w:val="TableContents"/>
              <w:bidi w:val="0"/>
              <w:spacing w:before="0" w:after="283"/>
              <w:jc w:val="right"/>
              <w:rPr/>
            </w:pPr>
            <w:r>
              <w:rPr/>
              <w:t>          </w:t>
            </w:r>
            <w:r>
              <w:rPr>
                <w:sz w:val="16"/>
              </w:rPr>
              <w:t>496,170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226,161</w:t>
            </w:r>
          </w:p>
        </w:tc>
        <w:tc>
          <w:tcPr>
            <w:tcW w:w="512" w:type="dxa"/>
            <w:tcBorders/>
            <w:shd w:fill="FFFFFF" w:val="clear"/>
            <w:vAlign w:val="center"/>
          </w:tcPr>
          <w:p>
            <w:pPr>
              <w:pStyle w:val="TableContents"/>
              <w:bidi w:val="0"/>
              <w:spacing w:before="0" w:after="283"/>
              <w:jc w:val="center"/>
              <w:rPr>
                <w:sz w:val="16"/>
              </w:rPr>
            </w:pPr>
            <w:r>
              <w:rPr>
                <w:sz w:val="16"/>
              </w:rPr>
              <w:t>-54.4%</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-69.6%</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Liabilities by insurance contracts</w:t>
            </w:r>
          </w:p>
        </w:tc>
        <w:tc>
          <w:tcPr>
            <w:tcW w:w="1535" w:type="dxa"/>
            <w:tcBorders/>
            <w:vAlign w:val="center"/>
          </w:tcPr>
          <w:p>
            <w:pPr>
              <w:pStyle w:val="TableContents"/>
              <w:bidi w:val="0"/>
              <w:spacing w:before="0" w:after="283"/>
              <w:jc w:val="right"/>
              <w:rPr/>
            </w:pPr>
            <w:r>
              <w:rPr/>
              <w:t>     </w:t>
            </w:r>
            <w:r>
              <w:rPr>
                <w:sz w:val="16"/>
              </w:rPr>
              <w:t>11,671,658</w:t>
            </w:r>
          </w:p>
        </w:tc>
        <w:tc>
          <w:tcPr>
            <w:tcW w:w="1535" w:type="dxa"/>
            <w:tcBorders/>
            <w:vAlign w:val="center"/>
          </w:tcPr>
          <w:p>
            <w:pPr>
              <w:pStyle w:val="TableContents"/>
              <w:bidi w:val="0"/>
              <w:spacing w:before="0" w:after="283"/>
              <w:jc w:val="right"/>
              <w:rPr/>
            </w:pPr>
            <w:r>
              <w:rPr/>
              <w:t>     </w:t>
            </w:r>
            <w:r>
              <w:rPr>
                <w:sz w:val="16"/>
              </w:rPr>
              <w:t>12,291,538</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12,460,388</w:t>
            </w:r>
          </w:p>
        </w:tc>
        <w:tc>
          <w:tcPr>
            <w:tcW w:w="512" w:type="dxa"/>
            <w:tcBorders/>
            <w:shd w:fill="FFFFFF" w:val="clear"/>
            <w:vAlign w:val="center"/>
          </w:tcPr>
          <w:p>
            <w:pPr>
              <w:pStyle w:val="TableContents"/>
              <w:bidi w:val="0"/>
              <w:spacing w:before="0" w:after="283"/>
              <w:jc w:val="center"/>
              <w:rPr>
                <w:sz w:val="16"/>
              </w:rPr>
            </w:pPr>
            <w:r>
              <w:rPr>
                <w:sz w:val="16"/>
              </w:rPr>
              <w:t>1.4%</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6.8%</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Liabilities by reinsurance contracts</w:t>
            </w:r>
          </w:p>
        </w:tc>
        <w:tc>
          <w:tcPr>
            <w:tcW w:w="1535" w:type="dxa"/>
            <w:tcBorders/>
            <w:vAlign w:val="center"/>
          </w:tcPr>
          <w:p>
            <w:pPr>
              <w:pStyle w:val="TableContents"/>
              <w:bidi w:val="0"/>
              <w:spacing w:before="0" w:after="283"/>
              <w:jc w:val="right"/>
              <w:rPr/>
            </w:pPr>
            <w:r>
              <w:rPr/>
              <w:t>          </w:t>
            </w:r>
            <w:r>
              <w:rPr>
                <w:sz w:val="16"/>
              </w:rPr>
              <w:t>343,959</w:t>
            </w:r>
          </w:p>
        </w:tc>
        <w:tc>
          <w:tcPr>
            <w:tcW w:w="1535" w:type="dxa"/>
            <w:tcBorders/>
            <w:vAlign w:val="center"/>
          </w:tcPr>
          <w:p>
            <w:pPr>
              <w:pStyle w:val="TableContents"/>
              <w:bidi w:val="0"/>
              <w:spacing w:before="0" w:after="283"/>
              <w:jc w:val="right"/>
              <w:rPr/>
            </w:pPr>
            <w:r>
              <w:rPr/>
              <w:t>          </w:t>
            </w:r>
            <w:r>
              <w:rPr>
                <w:sz w:val="16"/>
              </w:rPr>
              <w:t>343,067</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421,982</w:t>
            </w:r>
          </w:p>
        </w:tc>
        <w:tc>
          <w:tcPr>
            <w:tcW w:w="512" w:type="dxa"/>
            <w:tcBorders/>
            <w:shd w:fill="FFFFFF" w:val="clear"/>
            <w:vAlign w:val="center"/>
          </w:tcPr>
          <w:p>
            <w:pPr>
              <w:pStyle w:val="TableContents"/>
              <w:bidi w:val="0"/>
              <w:spacing w:before="0" w:after="283"/>
              <w:jc w:val="center"/>
              <w:rPr>
                <w:sz w:val="16"/>
              </w:rPr>
            </w:pPr>
            <w:r>
              <w:rPr>
                <w:sz w:val="16"/>
              </w:rPr>
              <w:t>23.0%</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22.7%</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Financial liabilities at fair value through profit or loss</w:t>
            </w:r>
          </w:p>
        </w:tc>
        <w:tc>
          <w:tcPr>
            <w:tcW w:w="1535" w:type="dxa"/>
            <w:tcBorders/>
            <w:vAlign w:val="center"/>
          </w:tcPr>
          <w:p>
            <w:pPr>
              <w:pStyle w:val="TableContents"/>
              <w:bidi w:val="0"/>
              <w:spacing w:before="0" w:after="283"/>
              <w:jc w:val="right"/>
              <w:rPr/>
            </w:pPr>
            <w:r>
              <w:rPr/>
              <w:t>          </w:t>
            </w:r>
            <w:r>
              <w:rPr>
                <w:sz w:val="16"/>
              </w:rPr>
              <w:t>527,541</w:t>
            </w:r>
          </w:p>
        </w:tc>
        <w:tc>
          <w:tcPr>
            <w:tcW w:w="1535" w:type="dxa"/>
            <w:tcBorders/>
            <w:vAlign w:val="center"/>
          </w:tcPr>
          <w:p>
            <w:pPr>
              <w:pStyle w:val="TableContents"/>
              <w:bidi w:val="0"/>
              <w:spacing w:before="0" w:after="283"/>
              <w:jc w:val="right"/>
              <w:rPr/>
            </w:pPr>
            <w:r>
              <w:rPr/>
              <w:t>          </w:t>
            </w:r>
            <w:r>
              <w:rPr>
                <w:sz w:val="16"/>
              </w:rPr>
              <w:t>417,146</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413,665</w:t>
            </w:r>
          </w:p>
        </w:tc>
        <w:tc>
          <w:tcPr>
            <w:tcW w:w="512" w:type="dxa"/>
            <w:tcBorders/>
            <w:shd w:fill="FFFFFF" w:val="clear"/>
            <w:vAlign w:val="center"/>
          </w:tcPr>
          <w:p>
            <w:pPr>
              <w:pStyle w:val="TableContents"/>
              <w:bidi w:val="0"/>
              <w:spacing w:before="0" w:after="283"/>
              <w:jc w:val="center"/>
              <w:rPr>
                <w:sz w:val="16"/>
              </w:rPr>
            </w:pPr>
            <w:r>
              <w:rPr>
                <w:sz w:val="16"/>
              </w:rPr>
              <w:t>-0.8%</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-21.6%</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Other liabilities</w:t>
            </w:r>
          </w:p>
        </w:tc>
        <w:tc>
          <w:tcPr>
            <w:tcW w:w="1535" w:type="dxa"/>
            <w:tcBorders/>
            <w:vAlign w:val="center"/>
          </w:tcPr>
          <w:p>
            <w:pPr>
              <w:pStyle w:val="TableContents"/>
              <w:bidi w:val="0"/>
              <w:spacing w:before="0" w:after="283"/>
              <w:jc w:val="right"/>
              <w:rPr/>
            </w:pPr>
            <w:r>
              <w:rPr/>
              <w:t>       </w:t>
            </w:r>
            <w:r>
              <w:rPr>
                <w:sz w:val="16"/>
              </w:rPr>
              <w:t>7,926,902</w:t>
            </w:r>
          </w:p>
        </w:tc>
        <w:tc>
          <w:tcPr>
            <w:tcW w:w="1535" w:type="dxa"/>
            <w:tcBorders/>
            <w:vAlign w:val="center"/>
          </w:tcPr>
          <w:p>
            <w:pPr>
              <w:pStyle w:val="TableContents"/>
              <w:bidi w:val="0"/>
              <w:spacing w:before="0" w:after="283"/>
              <w:jc w:val="right"/>
              <w:rPr/>
            </w:pPr>
            <w:r>
              <w:rPr/>
              <w:t>       </w:t>
            </w:r>
            <w:r>
              <w:rPr>
                <w:sz w:val="16"/>
              </w:rPr>
              <w:t>9,019,443</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8,471,870</w:t>
            </w:r>
          </w:p>
        </w:tc>
        <w:tc>
          <w:tcPr>
            <w:tcW w:w="512" w:type="dxa"/>
            <w:tcBorders/>
            <w:shd w:fill="FFFFFF" w:val="clear"/>
            <w:vAlign w:val="center"/>
          </w:tcPr>
          <w:p>
            <w:pPr>
              <w:pStyle w:val="TableContents"/>
              <w:bidi w:val="0"/>
              <w:spacing w:before="0" w:after="283"/>
              <w:jc w:val="center"/>
              <w:rPr>
                <w:sz w:val="16"/>
              </w:rPr>
            </w:pPr>
            <w:r>
              <w:rPr>
                <w:sz w:val="16"/>
              </w:rPr>
              <w:t>-6.1%</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6.9%</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Total Liabilities</w:t>
            </w:r>
          </w:p>
        </w:tc>
        <w:tc>
          <w:tcPr>
            <w:tcW w:w="1535" w:type="dxa"/>
            <w:tcBorders/>
            <w:vAlign w:val="center"/>
          </w:tcPr>
          <w:p>
            <w:pPr>
              <w:pStyle w:val="TableContents"/>
              <w:bidi w:val="0"/>
              <w:spacing w:before="0" w:after="283"/>
              <w:jc w:val="right"/>
              <w:rPr/>
            </w:pPr>
            <w:r>
              <w:rPr/>
              <w:t>   </w:t>
            </w:r>
            <w:r>
              <w:rPr>
                <w:b/>
                <w:sz w:val="16"/>
              </w:rPr>
              <w:t>209,829,458</w:t>
            </w:r>
          </w:p>
        </w:tc>
        <w:tc>
          <w:tcPr>
            <w:tcW w:w="1535" w:type="dxa"/>
            <w:tcBorders/>
            <w:vAlign w:val="center"/>
          </w:tcPr>
          <w:p>
            <w:pPr>
              <w:pStyle w:val="TableContents"/>
              <w:bidi w:val="0"/>
              <w:spacing w:before="0" w:after="283"/>
              <w:jc w:val="right"/>
              <w:rPr/>
            </w:pPr>
            <w:r>
              <w:rPr/>
              <w:t>   </w:t>
            </w:r>
            <w:r>
              <w:rPr>
                <w:b/>
                <w:sz w:val="16"/>
              </w:rPr>
              <w:t>207,403,739</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203,986,650</w:t>
            </w:r>
          </w:p>
        </w:tc>
        <w:tc>
          <w:tcPr>
            <w:tcW w:w="512" w:type="dxa"/>
            <w:tcBorders/>
            <w:shd w:fill="FFFFFF" w:val="clear"/>
            <w:vAlign w:val="center"/>
          </w:tcPr>
          <w:p>
            <w:pPr>
              <w:pStyle w:val="TableContents"/>
              <w:bidi w:val="0"/>
              <w:spacing w:before="0" w:after="283"/>
              <w:jc w:val="center"/>
              <w:rPr>
                <w:b/>
                <w:sz w:val="16"/>
              </w:rPr>
            </w:pPr>
            <w:r>
              <w:rPr>
                <w:b/>
                <w:sz w:val="16"/>
              </w:rPr>
              <w:t>-1.6%</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-2.8%</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p>
        </w:tc>
        <w:tc>
          <w:tcPr>
            <w:tcW w:w="512" w:type="dxa"/>
            <w:tcBorders/>
            <w:shd w:fill="FFFFFF" w:val="cle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Net equity</w:t>
            </w:r>
          </w:p>
        </w:tc>
        <w:tc>
          <w:tcPr>
            <w:tcW w:w="1535" w:type="dxa"/>
            <w:tcBorders/>
            <w:vAlign w:val="center"/>
          </w:tcPr>
          <w:p>
            <w:pPr>
              <w:pStyle w:val="TableContents"/>
              <w:bidi w:val="0"/>
              <w:spacing w:before="0" w:after="283"/>
              <w:jc w:val="right"/>
              <w:rPr/>
            </w:pPr>
            <w:r>
              <w:rPr/>
              <w:t>     </w:t>
            </w:r>
            <w:r>
              <w:rPr>
                <w:b/>
                <w:sz w:val="16"/>
              </w:rPr>
              <w:t>26,167,811</w:t>
            </w:r>
          </w:p>
        </w:tc>
        <w:tc>
          <w:tcPr>
            <w:tcW w:w="1535" w:type="dxa"/>
            <w:tcBorders/>
            <w:vAlign w:val="center"/>
          </w:tcPr>
          <w:p>
            <w:pPr>
              <w:pStyle w:val="TableContents"/>
              <w:bidi w:val="0"/>
              <w:spacing w:before="0" w:after="283"/>
              <w:jc w:val="right"/>
              <w:rPr/>
            </w:pPr>
            <w:r>
              <w:rPr/>
              <w:t>     </w:t>
            </w:r>
            <w:r>
              <w:rPr>
                <w:b/>
                <w:sz w:val="16"/>
              </w:rPr>
              <w:t>30,359,898</w:t>
            </w:r>
          </w:p>
        </w:tc>
        <w:tc>
          <w:tcPr>
            <w:tcW w:w="1535" w:type="dxa"/>
            <w:tcBorders/>
            <w:vAlign w:val="center"/>
          </w:tcPr>
          <w:p>
            <w:pPr>
              <w:pStyle w:val="TableContents"/>
              <w:bidi w:val="0"/>
              <w:spacing w:before="0" w:after="283"/>
              <w:jc w:val="right"/>
              <w:rPr/>
            </w:pPr>
            <w:r>
              <w:rPr/>
              <w:t>     </w:t>
            </w:r>
            <w:r>
              <w:rPr>
                <w:b/>
                <w:sz w:val="16"/>
              </w:rPr>
              <w:t>30,027,036</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-1.1%</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14.7%</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Capital stock</w:t>
            </w:r>
          </w:p>
        </w:tc>
        <w:tc>
          <w:tcPr>
            <w:tcW w:w="1535" w:type="dxa"/>
            <w:tcBorders/>
            <w:vAlign w:val="center"/>
          </w:tcPr>
          <w:p>
            <w:pPr>
              <w:pStyle w:val="TableContents"/>
              <w:bidi w:val="0"/>
              <w:spacing w:before="0" w:after="283"/>
              <w:jc w:val="right"/>
              <w:rPr/>
            </w:pPr>
            <w:r>
              <w:rPr/>
              <w:t>       </w:t>
            </w:r>
            <w:r>
              <w:rPr>
                <w:sz w:val="16"/>
              </w:rPr>
              <w:t>1,318,993</w:t>
            </w:r>
          </w:p>
        </w:tc>
        <w:tc>
          <w:tcPr>
            <w:tcW w:w="1535" w:type="dxa"/>
            <w:tcBorders/>
            <w:vAlign w:val="center"/>
          </w:tcPr>
          <w:p>
            <w:pPr>
              <w:pStyle w:val="TableContents"/>
              <w:bidi w:val="0"/>
              <w:spacing w:before="0" w:after="283"/>
              <w:jc w:val="right"/>
              <w:rPr/>
            </w:pPr>
            <w:r>
              <w:rPr/>
              <w:t>       </w:t>
            </w:r>
            <w:r>
              <w:rPr>
                <w:sz w:val="16"/>
              </w:rPr>
              <w:t>1,318,993</w:t>
            </w:r>
          </w:p>
        </w:tc>
        <w:tc>
          <w:tcPr>
            <w:tcW w:w="1535" w:type="dxa"/>
            <w:tcBorders/>
            <w:vAlign w:val="center"/>
          </w:tcPr>
          <w:p>
            <w:pPr>
              <w:pStyle w:val="TableContents"/>
              <w:bidi w:val="0"/>
              <w:spacing w:before="0" w:after="283"/>
              <w:jc w:val="right"/>
              <w:rPr/>
            </w:pPr>
            <w:r>
              <w:rPr/>
              <w:t>       </w:t>
            </w:r>
            <w:r>
              <w:rPr>
                <w:sz w:val="16"/>
              </w:rPr>
              <w:t>1,318,993</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0.0%</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0.0%</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Treasury stock</w:t>
            </w:r>
          </w:p>
        </w:tc>
        <w:tc>
          <w:tcPr>
            <w:tcW w:w="1535" w:type="dxa"/>
            <w:tcBorders/>
            <w:vAlign w:val="center"/>
          </w:tcPr>
          <w:p>
            <w:pPr>
              <w:pStyle w:val="TableContents"/>
              <w:bidi w:val="0"/>
              <w:spacing w:before="0" w:after="283"/>
              <w:jc w:val="right"/>
              <w:rPr/>
            </w:pPr>
            <w:r>
              <w:rPr/>
              <w:t>         </w:t>
            </w:r>
            <w:r>
              <w:rPr>
                <w:sz w:val="16"/>
              </w:rPr>
              <w:t>(207,518)</w:t>
            </w:r>
          </w:p>
        </w:tc>
        <w:tc>
          <w:tcPr>
            <w:tcW w:w="1535" w:type="dxa"/>
            <w:tcBorders/>
            <w:vAlign w:val="center"/>
          </w:tcPr>
          <w:p>
            <w:pPr>
              <w:pStyle w:val="TableContents"/>
              <w:bidi w:val="0"/>
              <w:spacing w:before="0" w:after="283"/>
              <w:jc w:val="right"/>
              <w:rPr/>
            </w:pPr>
            <w:r>
              <w:rPr/>
              <w:t>         </w:t>
            </w:r>
            <w:r>
              <w:rPr>
                <w:sz w:val="16"/>
              </w:rPr>
              <w:t>(208,041)</w:t>
            </w:r>
          </w:p>
        </w:tc>
        <w:tc>
          <w:tcPr>
            <w:tcW w:w="1535" w:type="dxa"/>
            <w:tcBorders/>
            <w:vAlign w:val="center"/>
          </w:tcPr>
          <w:p>
            <w:pPr>
              <w:pStyle w:val="TableContents"/>
              <w:bidi w:val="0"/>
              <w:spacing w:before="0" w:after="283"/>
              <w:jc w:val="right"/>
              <w:rPr/>
            </w:pPr>
            <w:r>
              <w:rPr/>
              <w:t>         </w:t>
            </w:r>
            <w:r>
              <w:rPr>
                <w:sz w:val="16"/>
              </w:rPr>
              <w:t>(208,035)</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0.0%</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0.2%</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Capital surplus</w:t>
            </w:r>
          </w:p>
        </w:tc>
        <w:tc>
          <w:tcPr>
            <w:tcW w:w="1535" w:type="dxa"/>
            <w:tcBorders/>
            <w:vAlign w:val="center"/>
          </w:tcPr>
          <w:p>
            <w:pPr>
              <w:pStyle w:val="TableContents"/>
              <w:bidi w:val="0"/>
              <w:spacing w:before="0" w:after="283"/>
              <w:jc w:val="right"/>
              <w:rPr/>
            </w:pPr>
            <w:r>
              <w:rPr/>
              <w:t>          </w:t>
            </w:r>
            <w:r>
              <w:rPr>
                <w:sz w:val="16"/>
              </w:rPr>
              <w:t>231,179</w:t>
            </w:r>
          </w:p>
        </w:tc>
        <w:tc>
          <w:tcPr>
            <w:tcW w:w="1535" w:type="dxa"/>
            <w:tcBorders/>
            <w:vAlign w:val="center"/>
          </w:tcPr>
          <w:p>
            <w:pPr>
              <w:pStyle w:val="TableContents"/>
              <w:bidi w:val="0"/>
              <w:spacing w:before="0" w:after="283"/>
              <w:jc w:val="right"/>
              <w:rPr/>
            </w:pPr>
            <w:r>
              <w:rPr/>
              <w:t>          </w:t>
            </w:r>
            <w:r>
              <w:rPr>
                <w:sz w:val="16"/>
              </w:rPr>
              <w:t>226,189</w:t>
            </w:r>
          </w:p>
        </w:tc>
        <w:tc>
          <w:tcPr>
            <w:tcW w:w="1535" w:type="dxa"/>
            <w:tcBorders/>
            <w:vAlign w:val="center"/>
          </w:tcPr>
          <w:p>
            <w:pPr>
              <w:pStyle w:val="TableContents"/>
              <w:bidi w:val="0"/>
              <w:spacing w:before="0" w:after="283"/>
              <w:jc w:val="right"/>
              <w:rPr/>
            </w:pPr>
            <w:r>
              <w:rPr/>
              <w:t>          </w:t>
            </w:r>
            <w:r>
              <w:rPr>
                <w:sz w:val="16"/>
              </w:rPr>
              <w:t>231,019</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2.1%</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-0.1%</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Reserves</w:t>
            </w:r>
          </w:p>
        </w:tc>
        <w:tc>
          <w:tcPr>
            <w:tcW w:w="1535" w:type="dxa"/>
            <w:tcBorders/>
            <w:vAlign w:val="center"/>
          </w:tcPr>
          <w:p>
            <w:pPr>
              <w:pStyle w:val="TableContents"/>
              <w:bidi w:val="0"/>
              <w:spacing w:before="0" w:after="283"/>
              <w:jc w:val="right"/>
              <w:rPr/>
            </w:pPr>
            <w:r>
              <w:rPr/>
              <w:t>     </w:t>
            </w:r>
            <w:r>
              <w:rPr>
                <w:sz w:val="16"/>
              </w:rPr>
              <w:t>23,666,823</w:t>
            </w:r>
          </w:p>
        </w:tc>
        <w:tc>
          <w:tcPr>
            <w:tcW w:w="1535" w:type="dxa"/>
            <w:tcBorders/>
            <w:vAlign w:val="center"/>
          </w:tcPr>
          <w:p>
            <w:pPr>
              <w:pStyle w:val="TableContents"/>
              <w:bidi w:val="0"/>
              <w:spacing w:before="0" w:after="283"/>
              <w:jc w:val="right"/>
              <w:rPr/>
            </w:pPr>
            <w:r>
              <w:rPr/>
              <w:t>     </w:t>
            </w:r>
            <w:r>
              <w:rPr>
                <w:sz w:val="16"/>
              </w:rPr>
              <w:t>23,603,001</w:t>
            </w:r>
          </w:p>
        </w:tc>
        <w:tc>
          <w:tcPr>
            <w:tcW w:w="1535" w:type="dxa"/>
            <w:tcBorders/>
            <w:vAlign w:val="center"/>
          </w:tcPr>
          <w:p>
            <w:pPr>
              <w:pStyle w:val="TableContents"/>
              <w:bidi w:val="0"/>
              <w:spacing w:before="0" w:after="283"/>
              <w:jc w:val="right"/>
              <w:rPr/>
            </w:pPr>
            <w:r>
              <w:rPr/>
              <w:t>     </w:t>
            </w:r>
            <w:r>
              <w:rPr>
                <w:sz w:val="16"/>
              </w:rPr>
              <w:t>26,221,577</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11.1%</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10.8%</w:t>
            </w:r>
          </w:p>
        </w:tc>
      </w:tr>
      <w:tr>
        <w:trPr/>
        <w:tc>
          <w:tcPr>
            <w:tcW w:w="4574" w:type="dxa"/>
            <w:gridSpan w:val="3"/>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sz w:val="16"/>
              </w:rPr>
            </w:pPr>
            <w:r>
              <w:rPr>
                <w:sz w:val="16"/>
              </w:rPr>
              <w:t>Other reserves</w:t>
            </w:r>
          </w:p>
        </w:tc>
        <w:tc>
          <w:tcPr>
            <w:tcW w:w="1535" w:type="dxa"/>
            <w:tcBorders/>
            <w:vAlign w:val="center"/>
          </w:tcPr>
          <w:p>
            <w:pPr>
              <w:pStyle w:val="TableContents"/>
              <w:bidi w:val="0"/>
              <w:spacing w:before="0" w:after="283"/>
              <w:jc w:val="right"/>
              <w:rPr/>
            </w:pPr>
            <w:r>
              <w:rPr/>
              <w:t>         </w:t>
            </w:r>
            <w:r>
              <w:rPr>
                <w:sz w:val="16"/>
              </w:rPr>
              <w:t>-782,829</w:t>
            </w:r>
          </w:p>
        </w:tc>
        <w:tc>
          <w:tcPr>
            <w:tcW w:w="1535" w:type="dxa"/>
            <w:tcBorders/>
            <w:vAlign w:val="center"/>
          </w:tcPr>
          <w:p>
            <w:pPr>
              <w:pStyle w:val="TableContents"/>
              <w:bidi w:val="0"/>
              <w:spacing w:before="0" w:after="283"/>
              <w:jc w:val="right"/>
              <w:rPr/>
            </w:pPr>
            <w:r>
              <w:rPr/>
              <w:t>         </w:t>
            </w:r>
            <w:r>
              <w:rPr>
                <w:sz w:val="16"/>
              </w:rPr>
              <w:t>(244,725)</w:t>
            </w:r>
          </w:p>
        </w:tc>
        <w:tc>
          <w:tcPr>
            <w:tcW w:w="1535" w:type="dxa"/>
            <w:tcBorders/>
            <w:vAlign w:val="center"/>
          </w:tcPr>
          <w:p>
            <w:pPr>
              <w:pStyle w:val="TableContents"/>
              <w:bidi w:val="0"/>
              <w:spacing w:before="0" w:after="283"/>
              <w:jc w:val="right"/>
              <w:rPr/>
            </w:pPr>
            <w:r>
              <w:rPr/>
              <w:t>           </w:t>
            </w:r>
            <w:r>
              <w:rPr>
                <w:sz w:val="16"/>
              </w:rPr>
              <w:t>(13,015)</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-94.7%</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-98.3%</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Retained earnings</w:t>
            </w:r>
          </w:p>
        </w:tc>
        <w:tc>
          <w:tcPr>
            <w:tcW w:w="1535" w:type="dxa"/>
            <w:tcBorders/>
            <w:vAlign w:val="center"/>
          </w:tcPr>
          <w:p>
            <w:pPr>
              <w:pStyle w:val="TableContents"/>
              <w:bidi w:val="0"/>
              <w:spacing w:before="0" w:after="283"/>
              <w:jc w:val="right"/>
              <w:rPr/>
            </w:pPr>
            <w:r>
              <w:rPr/>
              <w:t>       </w:t>
            </w:r>
            <w:r>
              <w:rPr>
                <w:sz w:val="16"/>
              </w:rPr>
              <w:t>1,941,163</w:t>
            </w:r>
          </w:p>
        </w:tc>
        <w:tc>
          <w:tcPr>
            <w:tcW w:w="1535" w:type="dxa"/>
            <w:tcBorders/>
            <w:vAlign w:val="center"/>
          </w:tcPr>
          <w:p>
            <w:pPr>
              <w:pStyle w:val="TableContents"/>
              <w:bidi w:val="0"/>
              <w:spacing w:before="0" w:after="283"/>
              <w:jc w:val="right"/>
              <w:rPr/>
            </w:pPr>
            <w:r>
              <w:rPr/>
              <w:t>       </w:t>
            </w:r>
            <w:r>
              <w:rPr>
                <w:sz w:val="16"/>
              </w:rPr>
              <w:t>5,664,481</w:t>
            </w:r>
          </w:p>
        </w:tc>
        <w:tc>
          <w:tcPr>
            <w:tcW w:w="1535" w:type="dxa"/>
            <w:tcBorders/>
            <w:vAlign w:val="center"/>
          </w:tcPr>
          <w:p>
            <w:pPr>
              <w:pStyle w:val="TableContents"/>
              <w:bidi w:val="0"/>
              <w:spacing w:before="0" w:after="283"/>
              <w:jc w:val="right"/>
              <w:rPr/>
            </w:pPr>
            <w:r>
              <w:rPr/>
              <w:t>       </w:t>
            </w:r>
            <w:r>
              <w:rPr>
                <w:sz w:val="16"/>
              </w:rPr>
              <w:t>2,476,497</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-56.3%</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27.6%</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Non-controlling interest</w:t>
            </w:r>
          </w:p>
        </w:tc>
        <w:tc>
          <w:tcPr>
            <w:tcW w:w="1535" w:type="dxa"/>
            <w:tcBorders/>
            <w:vAlign w:val="center"/>
          </w:tcPr>
          <w:p>
            <w:pPr>
              <w:pStyle w:val="TableContents"/>
              <w:bidi w:val="0"/>
              <w:spacing w:before="0" w:after="283"/>
              <w:jc w:val="right"/>
              <w:rPr/>
            </w:pPr>
            <w:r>
              <w:rPr/>
              <w:t>          </w:t>
            </w:r>
            <w:r>
              <w:rPr>
                <w:sz w:val="16"/>
              </w:rPr>
              <w:t>545,456</w:t>
            </w:r>
          </w:p>
        </w:tc>
        <w:tc>
          <w:tcPr>
            <w:tcW w:w="1535" w:type="dxa"/>
            <w:tcBorders/>
            <w:vAlign w:val="center"/>
          </w:tcPr>
          <w:p>
            <w:pPr>
              <w:pStyle w:val="TableContents"/>
              <w:bidi w:val="0"/>
              <w:spacing w:before="0" w:after="283"/>
              <w:jc w:val="right"/>
              <w:rPr/>
            </w:pPr>
            <w:r>
              <w:rPr/>
              <w:t>          </w:t>
            </w:r>
            <w:r>
              <w:rPr>
                <w:sz w:val="16"/>
              </w:rPr>
              <w:t>574,596</w:t>
            </w:r>
          </w:p>
        </w:tc>
        <w:tc>
          <w:tcPr>
            <w:tcW w:w="1535" w:type="dxa"/>
            <w:tcBorders/>
            <w:vAlign w:val="center"/>
          </w:tcPr>
          <w:p>
            <w:pPr>
              <w:pStyle w:val="TableContents"/>
              <w:bidi w:val="0"/>
              <w:spacing w:before="0" w:after="283"/>
              <w:jc w:val="right"/>
              <w:rPr/>
            </w:pPr>
            <w:r>
              <w:rPr/>
              <w:t>          </w:t>
            </w:r>
            <w:r>
              <w:rPr>
                <w:sz w:val="16"/>
              </w:rPr>
              <w:t>611,617</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6.4%</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12.1%</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Total Net Equity</w:t>
            </w:r>
          </w:p>
        </w:tc>
        <w:tc>
          <w:tcPr>
            <w:tcW w:w="1535" w:type="dxa"/>
            <w:tcBorders/>
            <w:vAlign w:val="center"/>
          </w:tcPr>
          <w:p>
            <w:pPr>
              <w:pStyle w:val="TableContents"/>
              <w:bidi w:val="0"/>
              <w:spacing w:before="0" w:after="283"/>
              <w:jc w:val="right"/>
              <w:rPr/>
            </w:pPr>
            <w:r>
              <w:rPr/>
              <w:t>     </w:t>
            </w:r>
            <w:r>
              <w:rPr>
                <w:b/>
                <w:sz w:val="16"/>
              </w:rPr>
              <w:t>26,713,267</w:t>
            </w:r>
          </w:p>
        </w:tc>
        <w:tc>
          <w:tcPr>
            <w:tcW w:w="1535" w:type="dxa"/>
            <w:tcBorders/>
            <w:vAlign w:val="center"/>
          </w:tcPr>
          <w:p>
            <w:pPr>
              <w:pStyle w:val="TableContents"/>
              <w:bidi w:val="0"/>
              <w:spacing w:before="0" w:after="283"/>
              <w:jc w:val="right"/>
              <w:rPr/>
            </w:pPr>
            <w:r>
              <w:rPr/>
              <w:t>     </w:t>
            </w:r>
            <w:r>
              <w:rPr>
                <w:b/>
                <w:sz w:val="16"/>
              </w:rPr>
              <w:t>30,934,494</w:t>
            </w:r>
          </w:p>
        </w:tc>
        <w:tc>
          <w:tcPr>
            <w:tcW w:w="1535" w:type="dxa"/>
            <w:tcBorders/>
            <w:vAlign w:val="center"/>
          </w:tcPr>
          <w:p>
            <w:pPr>
              <w:pStyle w:val="TableContents"/>
              <w:bidi w:val="0"/>
              <w:spacing w:before="0" w:after="283"/>
              <w:jc w:val="right"/>
              <w:rPr/>
            </w:pPr>
            <w:r>
              <w:rPr/>
              <w:t>     </w:t>
            </w:r>
            <w:r>
              <w:rPr>
                <w:b/>
                <w:sz w:val="16"/>
              </w:rPr>
              <w:t>30,638,653</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-1.0%</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14.7%</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1295" w:type="dxa"/>
            <w:tcBorders/>
            <w:shd w:fill="FFFFFF" w:val="clear"/>
            <w:vAlign w:val="center"/>
          </w:tcPr>
          <w:p>
            <w:pPr>
              <w:pStyle w:val="TableContents"/>
              <w:bidi w:val="0"/>
              <w:spacing w:before="0" w:after="283"/>
              <w:jc w:val="center"/>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Total liabilities and equity</w:t>
            </w:r>
          </w:p>
        </w:tc>
        <w:tc>
          <w:tcPr>
            <w:tcW w:w="1535" w:type="dxa"/>
            <w:tcBorders/>
            <w:vAlign w:val="center"/>
          </w:tcPr>
          <w:p>
            <w:pPr>
              <w:pStyle w:val="TableContents"/>
              <w:bidi w:val="0"/>
              <w:spacing w:before="0" w:after="283"/>
              <w:jc w:val="right"/>
              <w:rPr/>
            </w:pPr>
            <w:r>
              <w:rPr/>
              <w:t>   </w:t>
            </w:r>
            <w:r>
              <w:rPr>
                <w:b/>
                <w:sz w:val="16"/>
              </w:rPr>
              <w:t>236,542,725</w:t>
            </w:r>
          </w:p>
        </w:tc>
        <w:tc>
          <w:tcPr>
            <w:tcW w:w="1535" w:type="dxa"/>
            <w:tcBorders/>
            <w:vAlign w:val="center"/>
          </w:tcPr>
          <w:p>
            <w:pPr>
              <w:pStyle w:val="TableContents"/>
              <w:bidi w:val="0"/>
              <w:spacing w:before="0" w:after="283"/>
              <w:jc w:val="right"/>
              <w:rPr/>
            </w:pPr>
            <w:r>
              <w:rPr/>
              <w:t>   </w:t>
            </w:r>
            <w:r>
              <w:rPr>
                <w:b/>
                <w:sz w:val="16"/>
              </w:rPr>
              <w:t>238,338,233</w:t>
            </w:r>
          </w:p>
        </w:tc>
        <w:tc>
          <w:tcPr>
            <w:tcW w:w="1535" w:type="dxa"/>
            <w:tcBorders/>
            <w:vAlign w:val="center"/>
          </w:tcPr>
          <w:p>
            <w:pPr>
              <w:pStyle w:val="TableContents"/>
              <w:bidi w:val="0"/>
              <w:spacing w:before="0" w:after="283"/>
              <w:jc w:val="right"/>
              <w:rPr/>
            </w:pPr>
            <w:r>
              <w:rPr/>
              <w:t>   </w:t>
            </w:r>
            <w:r>
              <w:rPr>
                <w:b/>
                <w:sz w:val="16"/>
              </w:rPr>
              <w:t>234,625,303</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-1.6%</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-0.8%</w:t>
            </w:r>
          </w:p>
        </w:tc>
      </w:tr>
      <w:tr>
        <w:trPr/>
        <w:tc>
          <w:tcPr>
            <w:tcW w:w="1981"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29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Off-balance sheet</w:t>
            </w:r>
          </w:p>
        </w:tc>
        <w:tc>
          <w:tcPr>
            <w:tcW w:w="1535" w:type="dxa"/>
            <w:tcBorders/>
            <w:vAlign w:val="center"/>
          </w:tcPr>
          <w:p>
            <w:pPr>
              <w:pStyle w:val="TableContents"/>
              <w:bidi w:val="0"/>
              <w:spacing w:before="0" w:after="283"/>
              <w:jc w:val="right"/>
              <w:rPr/>
            </w:pPr>
            <w:r>
              <w:rPr/>
              <w:t>        </w:t>
            </w:r>
            <w:r>
              <w:rPr>
                <w:b/>
                <w:sz w:val="16"/>
              </w:rPr>
              <w:t>142,573,498</w:t>
            </w:r>
          </w:p>
        </w:tc>
        <w:tc>
          <w:tcPr>
            <w:tcW w:w="1535" w:type="dxa"/>
            <w:tcBorders/>
            <w:vAlign w:val="center"/>
          </w:tcPr>
          <w:p>
            <w:pPr>
              <w:pStyle w:val="TableContents"/>
              <w:bidi w:val="0"/>
              <w:spacing w:before="0" w:after="283"/>
              <w:jc w:val="right"/>
              <w:rPr/>
            </w:pPr>
            <w:r>
              <w:rPr/>
              <w:t>        </w:t>
            </w:r>
            <w:r>
              <w:rPr>
                <w:b/>
                <w:sz w:val="16"/>
              </w:rPr>
              <w:t>154,477,055</w:t>
            </w:r>
          </w:p>
        </w:tc>
        <w:tc>
          <w:tcPr>
            <w:tcW w:w="1535" w:type="dxa"/>
            <w:tcBorders/>
            <w:vAlign w:val="center"/>
          </w:tcPr>
          <w:p>
            <w:pPr>
              <w:pStyle w:val="TableContents"/>
              <w:bidi w:val="0"/>
              <w:spacing w:before="0" w:after="283"/>
              <w:jc w:val="right"/>
              <w:rPr/>
            </w:pPr>
            <w:r>
              <w:rPr/>
              <w:t>        </w:t>
            </w:r>
            <w:r>
              <w:rPr>
                <w:b/>
                <w:sz w:val="16"/>
              </w:rPr>
              <w:t>144,709,112</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-6.3%</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1.5%</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Total performance bonds, stand-by and L/Cs.</w:t>
            </w:r>
          </w:p>
        </w:tc>
        <w:tc>
          <w:tcPr>
            <w:tcW w:w="1535" w:type="dxa"/>
            <w:tcBorders/>
            <w:vAlign w:val="center"/>
          </w:tcPr>
          <w:p>
            <w:pPr>
              <w:pStyle w:val="TableContents"/>
              <w:bidi w:val="0"/>
              <w:spacing w:before="0" w:after="283"/>
              <w:jc w:val="right"/>
              <w:rPr/>
            </w:pPr>
            <w:r>
              <w:rPr/>
              <w:t>         </w:t>
            </w:r>
            <w:r>
              <w:rPr>
                <w:sz w:val="16"/>
              </w:rPr>
              <w:t>21,331,467</w:t>
            </w:r>
          </w:p>
        </w:tc>
        <w:tc>
          <w:tcPr>
            <w:tcW w:w="1535" w:type="dxa"/>
            <w:tcBorders/>
            <w:vAlign w:val="center"/>
          </w:tcPr>
          <w:p>
            <w:pPr>
              <w:pStyle w:val="TableContents"/>
              <w:bidi w:val="0"/>
              <w:spacing w:before="0" w:after="283"/>
              <w:jc w:val="right"/>
              <w:rPr/>
            </w:pPr>
            <w:r>
              <w:rPr/>
              <w:t>         </w:t>
            </w:r>
            <w:r>
              <w:rPr>
                <w:sz w:val="16"/>
              </w:rPr>
              <w:t>18,731,789</w:t>
            </w:r>
          </w:p>
        </w:tc>
        <w:tc>
          <w:tcPr>
            <w:tcW w:w="1535" w:type="dxa"/>
            <w:tcBorders/>
            <w:vAlign w:val="center"/>
          </w:tcPr>
          <w:p>
            <w:pPr>
              <w:pStyle w:val="TableContents"/>
              <w:bidi w:val="0"/>
              <w:spacing w:before="0" w:after="283"/>
              <w:jc w:val="right"/>
              <w:rPr/>
            </w:pPr>
            <w:r>
              <w:rPr/>
              <w:t>         </w:t>
            </w:r>
            <w:r>
              <w:rPr>
                <w:sz w:val="16"/>
              </w:rPr>
              <w:t>18,654,864</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-0.4%</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-12.5%</w:t>
            </w:r>
          </w:p>
        </w:tc>
      </w:tr>
      <w:tr>
        <w:trPr/>
        <w:tc>
          <w:tcPr>
            <w:tcW w:w="4574"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Undrawn credit lines, advised but not committed</w:t>
            </w:r>
          </w:p>
        </w:tc>
        <w:tc>
          <w:tcPr>
            <w:tcW w:w="1535" w:type="dxa"/>
            <w:tcBorders/>
            <w:vAlign w:val="center"/>
          </w:tcPr>
          <w:p>
            <w:pPr>
              <w:pStyle w:val="TableContents"/>
              <w:bidi w:val="0"/>
              <w:spacing w:before="0" w:after="283"/>
              <w:jc w:val="right"/>
              <w:rPr/>
            </w:pPr>
            <w:r>
              <w:rPr/>
              <w:t>         </w:t>
            </w:r>
            <w:r>
              <w:rPr>
                <w:sz w:val="16"/>
              </w:rPr>
              <w:t>84,820,503</w:t>
            </w:r>
          </w:p>
        </w:tc>
        <w:tc>
          <w:tcPr>
            <w:tcW w:w="1535" w:type="dxa"/>
            <w:tcBorders/>
            <w:vAlign w:val="center"/>
          </w:tcPr>
          <w:p>
            <w:pPr>
              <w:pStyle w:val="TableContents"/>
              <w:bidi w:val="0"/>
              <w:spacing w:before="0" w:after="283"/>
              <w:jc w:val="right"/>
              <w:rPr/>
            </w:pPr>
            <w:r>
              <w:rPr/>
              <w:t>         </w:t>
            </w:r>
            <w:r>
              <w:rPr>
                <w:sz w:val="16"/>
              </w:rPr>
              <w:t>87,232,214</w:t>
            </w:r>
          </w:p>
        </w:tc>
        <w:tc>
          <w:tcPr>
            <w:tcW w:w="1535" w:type="dxa"/>
            <w:tcBorders/>
            <w:vAlign w:val="center"/>
          </w:tcPr>
          <w:p>
            <w:pPr>
              <w:pStyle w:val="TableContents"/>
              <w:bidi w:val="0"/>
              <w:spacing w:before="0" w:after="283"/>
              <w:jc w:val="right"/>
              <w:rPr/>
            </w:pPr>
            <w:r>
              <w:rPr/>
              <w:t>         </w:t>
            </w:r>
            <w:r>
              <w:rPr>
                <w:sz w:val="16"/>
              </w:rPr>
              <w:t>85,762,478</w:t>
            </w:r>
          </w:p>
        </w:tc>
        <w:tc>
          <w:tcPr>
            <w:tcW w:w="512"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-1.7%</w:t>
            </w:r>
          </w:p>
        </w:tc>
        <w:tc>
          <w:tcPr>
            <w:tcW w:w="514"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w:t>
            </w:r>
          </w:p>
        </w:tc>
      </w:tr>
      <w:tr>
        <w:trPr/>
        <w:tc>
          <w:tcPr>
            <w:tcW w:w="4574" w:type="dxa"/>
            <w:gridSpan w:val="3"/>
            <w:tcBorders>
              <w:left w:val="single" w:sz="8" w:space="0" w:color="000000"/>
              <w:bottom w:val="single" w:sz="8" w:space="0" w:color="000000"/>
              <w:right w:val="single" w:sz="8" w:space="0" w:color="000000"/>
            </w:tcBorders>
            <w:shd w:fill="FFFFFF" w:val="clear"/>
            <w:tcMar>
              <w:left w:w="28" w:type="dxa"/>
              <w:bottom w:w="28" w:type="dxa"/>
              <w:right w:w="28" w:type="dxa"/>
            </w:tcMar>
            <w:vAlign w:val="center"/>
          </w:tcPr>
          <w:p>
            <w:pPr>
              <w:pStyle w:val="TableContents"/>
              <w:bidi w:val="0"/>
              <w:spacing w:before="0" w:after="283"/>
              <w:jc w:val="left"/>
              <w:rPr>
                <w:sz w:val="16"/>
              </w:rPr>
            </w:pPr>
            <w:r>
              <w:rPr>
                <w:sz w:val="16"/>
              </w:rPr>
              <w:t>Total derivatives (notional) and others</w:t>
            </w:r>
          </w:p>
        </w:tc>
        <w:tc>
          <w:tcPr>
            <w:tcW w:w="1535" w:type="dxa"/>
            <w:tcBorders>
              <w:bottom w:val="single" w:sz="8" w:space="0" w:color="000000"/>
            </w:tcBorders>
            <w:tcMar>
              <w:bottom w:w="28" w:type="dxa"/>
            </w:tcMar>
            <w:vAlign w:val="center"/>
          </w:tcPr>
          <w:p>
            <w:pPr>
              <w:pStyle w:val="TableContents"/>
              <w:bidi w:val="0"/>
              <w:spacing w:before="0" w:after="283"/>
              <w:jc w:val="right"/>
              <w:rPr/>
            </w:pPr>
            <w:r>
              <w:rPr/>
              <w:t>         </w:t>
            </w:r>
            <w:r>
              <w:rPr>
                <w:sz w:val="16"/>
              </w:rPr>
              <w:t>36,421,528</w:t>
            </w:r>
          </w:p>
        </w:tc>
        <w:tc>
          <w:tcPr>
            <w:tcW w:w="1535" w:type="dxa"/>
            <w:tcBorders>
              <w:bottom w:val="single" w:sz="8" w:space="0" w:color="000000"/>
            </w:tcBorders>
            <w:tcMar>
              <w:bottom w:w="28" w:type="dxa"/>
            </w:tcMar>
            <w:vAlign w:val="center"/>
          </w:tcPr>
          <w:p>
            <w:pPr>
              <w:pStyle w:val="TableContents"/>
              <w:bidi w:val="0"/>
              <w:spacing w:before="0" w:after="283"/>
              <w:jc w:val="right"/>
              <w:rPr/>
            </w:pPr>
            <w:r>
              <w:rPr/>
              <w:t>         </w:t>
            </w:r>
            <w:r>
              <w:rPr>
                <w:sz w:val="16"/>
              </w:rPr>
              <w:t>48,513,052</w:t>
            </w:r>
          </w:p>
        </w:tc>
        <w:tc>
          <w:tcPr>
            <w:tcW w:w="1535" w:type="dxa"/>
            <w:tcBorders>
              <w:bottom w:val="single" w:sz="8" w:space="0" w:color="000000"/>
            </w:tcBorders>
            <w:tcMar>
              <w:bottom w:w="28" w:type="dxa"/>
            </w:tcMar>
            <w:vAlign w:val="center"/>
          </w:tcPr>
          <w:p>
            <w:pPr>
              <w:pStyle w:val="TableContents"/>
              <w:bidi w:val="0"/>
              <w:spacing w:before="0" w:after="283"/>
              <w:jc w:val="right"/>
              <w:rPr/>
            </w:pPr>
            <w:r>
              <w:rPr/>
              <w:t>         </w:t>
            </w:r>
            <w:r>
              <w:rPr>
                <w:sz w:val="16"/>
              </w:rPr>
              <w:t>40,291,770</w:t>
            </w:r>
          </w:p>
        </w:tc>
        <w:tc>
          <w:tcPr>
            <w:tcW w:w="512"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center"/>
              <w:rPr>
                <w:sz w:val="16"/>
              </w:rPr>
            </w:pPr>
            <w:r>
              <w:rPr>
                <w:sz w:val="16"/>
              </w:rPr>
              <w:t>-16.9%</w:t>
            </w:r>
          </w:p>
        </w:tc>
        <w:tc>
          <w:tcPr>
            <w:tcW w:w="514"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sz w:val="16"/>
              </w:rPr>
            </w:pPr>
            <w:r>
              <w:rPr>
                <w:sz w:val="16"/>
              </w:rPr>
              <w:t>10.6%</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firstLine="426"/>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Includes mainly accounts receivables from brokerage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8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0" descr=""/>
                          <pic:cNvPicPr>
                            <a:picLocks noChangeAspect="1" noChangeArrowheads="1"/>
                          </pic:cNvPicPr>
                        </pic:nvPicPr>
                        <pic:blipFill>
                          <a:blip r:embed="rId149"/>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CREDICORP LTD. AND SUBSIDIARIES</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CONSOLIDATED STATEMENT OF INCOME</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S/ thousands, IFRS)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2304"/>
        <w:gridCol w:w="240"/>
        <w:gridCol w:w="1115"/>
        <w:gridCol w:w="1115"/>
        <w:gridCol w:w="1115"/>
        <w:gridCol w:w="523"/>
        <w:gridCol w:w="523"/>
        <w:gridCol w:w="1115"/>
        <w:gridCol w:w="1115"/>
        <w:gridCol w:w="821"/>
      </w:tblGrid>
      <w:tr>
        <w:trPr/>
        <w:tc>
          <w:tcPr>
            <w:tcW w:w="219" w:type="dxa"/>
            <w:tcBorders/>
            <w:shd w:fill="FFFFFF" w:val="clear"/>
            <w:vAlign w:val="center"/>
          </w:tcPr>
          <w:p>
            <w:pPr>
              <w:pStyle w:val="TableContents"/>
              <w:bidi w:val="0"/>
              <w:spacing w:before="0" w:after="283"/>
              <w:jc w:val="center"/>
              <w:rPr/>
            </w:pPr>
            <w:r>
              <w:rPr/>
              <w:t> </w:t>
            </w:r>
          </w:p>
        </w:tc>
        <w:tc>
          <w:tcPr>
            <w:tcW w:w="2304"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center"/>
              <w:rPr/>
            </w:pPr>
            <w:r>
              <w:rPr/>
              <w:t> </w:t>
            </w:r>
          </w:p>
        </w:tc>
        <w:tc>
          <w:tcPr>
            <w:tcW w:w="3345" w:type="dxa"/>
            <w:gridSpan w:val="3"/>
            <w:tcBorders>
              <w:top w:val="single" w:sz="8" w:space="0" w:color="000000"/>
              <w:left w:val="single" w:sz="8" w:space="0" w:color="000000"/>
            </w:tcBorders>
            <w:shd w:fill="2AD2C9" w:val="clear"/>
            <w:tcMar>
              <w:top w:w="28" w:type="dxa"/>
              <w:left w:w="28" w:type="dxa"/>
            </w:tcMar>
            <w:vAlign w:val="center"/>
          </w:tcPr>
          <w:p>
            <w:pPr>
              <w:pStyle w:val="TableContents"/>
              <w:bidi w:val="0"/>
              <w:spacing w:before="0" w:after="283"/>
              <w:jc w:val="center"/>
              <w:rPr>
                <w:b/>
                <w:color w:val="FFFFFF"/>
                <w:sz w:val="16"/>
              </w:rPr>
            </w:pPr>
            <w:r>
              <w:rPr>
                <w:b/>
                <w:color w:val="FFFFFF"/>
                <w:sz w:val="16"/>
              </w:rPr>
              <w:t>Quarter</w:t>
            </w:r>
          </w:p>
        </w:tc>
        <w:tc>
          <w:tcPr>
            <w:tcW w:w="1046" w:type="dxa"/>
            <w:gridSpan w:val="2"/>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2230" w:type="dxa"/>
            <w:gridSpan w:val="2"/>
            <w:tcBorders>
              <w:top w:val="single" w:sz="8" w:space="0" w:color="000000"/>
              <w:right w:val="single" w:sz="8" w:space="0" w:color="000000"/>
            </w:tcBorders>
            <w:shd w:fill="2AD2C9" w:val="clear"/>
            <w:tcMar>
              <w:top w:w="28" w:type="dxa"/>
              <w:right w:w="60" w:type="dxa"/>
            </w:tcMar>
            <w:vAlign w:val="center"/>
          </w:tcPr>
          <w:p>
            <w:pPr>
              <w:pStyle w:val="TableContents"/>
              <w:bidi w:val="0"/>
              <w:spacing w:before="0" w:after="283"/>
              <w:jc w:val="center"/>
              <w:rPr>
                <w:b/>
                <w:color w:val="FFFFFF"/>
                <w:sz w:val="16"/>
              </w:rPr>
            </w:pPr>
            <w:r>
              <w:rPr>
                <w:b/>
                <w:color w:val="FFFFFF"/>
                <w:sz w:val="16"/>
              </w:rPr>
              <w:t>As of</w:t>
            </w:r>
          </w:p>
        </w:tc>
        <w:tc>
          <w:tcPr>
            <w:tcW w:w="821" w:type="dxa"/>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2763" w:type="dxa"/>
            <w:gridSpan w:val="3"/>
            <w:tcBorders/>
            <w:shd w:fill="FFFFFF" w:val="clear"/>
            <w:vAlign w:val="center"/>
          </w:tcPr>
          <w:p>
            <w:pPr>
              <w:pStyle w:val="TableContents"/>
              <w:bidi w:val="0"/>
              <w:spacing w:before="0" w:after="283"/>
              <w:jc w:val="left"/>
              <w:rPr>
                <w:color w:val="FF0000"/>
              </w:rPr>
            </w:pPr>
            <w:r>
              <w:rPr>
                <w:color w:val="FF0000"/>
              </w:rPr>
              <w:t> </w:t>
            </w:r>
          </w:p>
        </w:tc>
        <w:tc>
          <w:tcPr>
            <w:tcW w:w="1115" w:type="dxa"/>
            <w:tcBorders>
              <w:left w:val="single" w:sz="8" w:space="0" w:color="000000"/>
              <w:bottom w:val="single" w:sz="8" w:space="0" w:color="000000"/>
            </w:tcBorders>
            <w:shd w:fill="2AD2C9" w:val="clear"/>
            <w:tcMar>
              <w:left w:w="28" w:type="dxa"/>
              <w:bottom w:w="28" w:type="dxa"/>
            </w:tcMar>
            <w:vAlign w:val="center"/>
          </w:tcPr>
          <w:p>
            <w:pPr>
              <w:pStyle w:val="TableContents"/>
              <w:bidi w:val="0"/>
              <w:spacing w:before="0" w:after="283"/>
              <w:jc w:val="center"/>
              <w:rPr>
                <w:b/>
                <w:color w:val="FFFFFF"/>
                <w:sz w:val="16"/>
              </w:rPr>
            </w:pPr>
            <w:r>
              <w:rPr>
                <w:b/>
                <w:color w:val="FFFFFF"/>
                <w:sz w:val="16"/>
              </w:rPr>
              <w:t>2Q22</w:t>
            </w:r>
          </w:p>
        </w:tc>
        <w:tc>
          <w:tcPr>
            <w:tcW w:w="1115"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1Q23</w:t>
            </w:r>
          </w:p>
        </w:tc>
        <w:tc>
          <w:tcPr>
            <w:tcW w:w="1115"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2Q23</w:t>
            </w:r>
          </w:p>
        </w:tc>
        <w:tc>
          <w:tcPr>
            <w:tcW w:w="523" w:type="dxa"/>
            <w:tcBorders>
              <w:left w:val="single" w:sz="8" w:space="0" w:color="000000"/>
              <w:bottom w:val="single" w:sz="8" w:space="0" w:color="000000"/>
            </w:tcBorders>
            <w:shd w:fill="2AD2C9" w:val="clear"/>
            <w:tcMar>
              <w:left w:w="28" w:type="dxa"/>
              <w:bottom w:w="28" w:type="dxa"/>
            </w:tcMar>
            <w:vAlign w:val="center"/>
          </w:tcPr>
          <w:p>
            <w:pPr>
              <w:pStyle w:val="TableContents"/>
              <w:bidi w:val="0"/>
              <w:spacing w:before="0" w:after="283"/>
              <w:jc w:val="center"/>
              <w:rPr>
                <w:b/>
                <w:color w:val="FFFFFF"/>
                <w:sz w:val="16"/>
              </w:rPr>
            </w:pPr>
            <w:r>
              <w:rPr>
                <w:b/>
                <w:color w:val="FFFFFF"/>
                <w:sz w:val="16"/>
              </w:rPr>
              <w:t>QoQ</w:t>
            </w:r>
          </w:p>
        </w:tc>
        <w:tc>
          <w:tcPr>
            <w:tcW w:w="523"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YoY</w:t>
            </w:r>
          </w:p>
        </w:tc>
        <w:tc>
          <w:tcPr>
            <w:tcW w:w="1115"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1H22</w:t>
            </w:r>
          </w:p>
        </w:tc>
        <w:tc>
          <w:tcPr>
            <w:tcW w:w="1115" w:type="dxa"/>
            <w:tcBorders>
              <w:bottom w:val="single" w:sz="8" w:space="0" w:color="000000"/>
              <w:right w:val="single" w:sz="8" w:space="0" w:color="000000"/>
            </w:tcBorders>
            <w:shd w:fill="2AD2C9" w:val="clear"/>
            <w:tcMar>
              <w:bottom w:w="28" w:type="dxa"/>
              <w:right w:w="60" w:type="dxa"/>
            </w:tcMar>
            <w:vAlign w:val="center"/>
          </w:tcPr>
          <w:p>
            <w:pPr>
              <w:pStyle w:val="TableContents"/>
              <w:bidi w:val="0"/>
              <w:spacing w:before="0" w:after="283"/>
              <w:jc w:val="center"/>
              <w:rPr>
                <w:b/>
                <w:color w:val="FFFFFF"/>
                <w:sz w:val="16"/>
              </w:rPr>
            </w:pPr>
            <w:r>
              <w:rPr>
                <w:b/>
                <w:color w:val="FFFFFF"/>
                <w:sz w:val="16"/>
              </w:rPr>
              <w:t>1H23</w:t>
            </w:r>
          </w:p>
        </w:tc>
        <w:tc>
          <w:tcPr>
            <w:tcW w:w="821"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1H 23/ 1H 22</w:t>
            </w:r>
          </w:p>
        </w:tc>
      </w:tr>
      <w:tr>
        <w:trPr/>
        <w:tc>
          <w:tcPr>
            <w:tcW w:w="2763" w:type="dxa"/>
            <w:gridSpan w:val="3"/>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bidi w:val="0"/>
              <w:spacing w:before="0" w:after="283"/>
              <w:jc w:val="left"/>
              <w:rPr>
                <w:b/>
                <w:sz w:val="16"/>
              </w:rPr>
            </w:pPr>
            <w:r>
              <w:rPr>
                <w:b/>
                <w:sz w:val="16"/>
              </w:rPr>
              <w:t>Interest income and expense</w:t>
            </w:r>
          </w:p>
        </w:tc>
        <w:tc>
          <w:tcPr>
            <w:tcW w:w="111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115" w:type="dxa"/>
            <w:tcBorders>
              <w:right w:val="single" w:sz="8" w:space="0" w:color="000000"/>
            </w:tcBorders>
            <w:tcMar>
              <w:right w:w="60" w:type="dxa"/>
            </w:tcMar>
            <w:vAlign w:val="center"/>
          </w:tcPr>
          <w:p>
            <w:pPr>
              <w:pStyle w:val="TableContents"/>
              <w:bidi w:val="0"/>
              <w:spacing w:before="0" w:after="283"/>
              <w:jc w:val="lef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19"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Interest and similar income</w:t>
            </w:r>
          </w:p>
        </w:tc>
        <w:tc>
          <w:tcPr>
            <w:tcW w:w="1115" w:type="dxa"/>
            <w:tcBorders/>
            <w:vAlign w:val="center"/>
          </w:tcPr>
          <w:p>
            <w:pPr>
              <w:pStyle w:val="TableContents"/>
              <w:bidi w:val="0"/>
              <w:spacing w:before="0" w:after="283"/>
              <w:jc w:val="right"/>
              <w:rPr/>
            </w:pPr>
            <w:r>
              <w:rPr/>
              <w:t>   </w:t>
            </w:r>
            <w:r>
              <w:rPr>
                <w:sz w:val="16"/>
              </w:rPr>
              <w:t>3,488,113</w:t>
            </w:r>
          </w:p>
        </w:tc>
        <w:tc>
          <w:tcPr>
            <w:tcW w:w="1115" w:type="dxa"/>
            <w:tcBorders/>
            <w:vAlign w:val="center"/>
          </w:tcPr>
          <w:p>
            <w:pPr>
              <w:pStyle w:val="TableContents"/>
              <w:bidi w:val="0"/>
              <w:spacing w:before="0" w:after="283"/>
              <w:jc w:val="right"/>
              <w:rPr/>
            </w:pPr>
            <w:r>
              <w:rPr/>
              <w:t>   </w:t>
            </w:r>
            <w:r>
              <w:rPr>
                <w:sz w:val="16"/>
              </w:rPr>
              <w:t>4,456,106</w:t>
            </w:r>
          </w:p>
        </w:tc>
        <w:tc>
          <w:tcPr>
            <w:tcW w:w="1115" w:type="dxa"/>
            <w:tcBorders/>
            <w:vAlign w:val="center"/>
          </w:tcPr>
          <w:p>
            <w:pPr>
              <w:pStyle w:val="TableContents"/>
              <w:bidi w:val="0"/>
              <w:spacing w:before="0" w:after="283"/>
              <w:jc w:val="right"/>
              <w:rPr/>
            </w:pPr>
            <w:r>
              <w:rPr/>
              <w:t>   </w:t>
            </w:r>
            <w:r>
              <w:rPr>
                <w:sz w:val="16"/>
              </w:rPr>
              <w:t>4,653,246</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4.4%</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33.4%</w:t>
            </w:r>
          </w:p>
        </w:tc>
        <w:tc>
          <w:tcPr>
            <w:tcW w:w="1115" w:type="dxa"/>
            <w:tcBorders/>
            <w:vAlign w:val="center"/>
          </w:tcPr>
          <w:p>
            <w:pPr>
              <w:pStyle w:val="TableContents"/>
              <w:bidi w:val="0"/>
              <w:spacing w:before="0" w:after="283"/>
              <w:jc w:val="right"/>
              <w:rPr/>
            </w:pPr>
            <w:r>
              <w:rPr/>
              <w:t>   </w:t>
            </w:r>
            <w:r>
              <w:rPr>
                <w:sz w:val="16"/>
              </w:rPr>
              <w:t>6,660,459</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9,109,352</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36.8%</w:t>
            </w:r>
          </w:p>
        </w:tc>
      </w:tr>
      <w:tr>
        <w:trPr/>
        <w:tc>
          <w:tcPr>
            <w:tcW w:w="219"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Interest and similar expenses</w:t>
            </w:r>
          </w:p>
        </w:tc>
        <w:tc>
          <w:tcPr>
            <w:tcW w:w="1115" w:type="dxa"/>
            <w:tcBorders/>
            <w:vAlign w:val="center"/>
          </w:tcPr>
          <w:p>
            <w:pPr>
              <w:pStyle w:val="TableContents"/>
              <w:bidi w:val="0"/>
              <w:spacing w:before="0" w:after="283"/>
              <w:jc w:val="right"/>
              <w:rPr/>
            </w:pPr>
            <w:r>
              <w:rPr/>
              <w:t>     </w:t>
            </w:r>
            <w:r>
              <w:rPr>
                <w:sz w:val="16"/>
              </w:rPr>
              <w:t>(851,007)</w:t>
            </w:r>
          </w:p>
        </w:tc>
        <w:tc>
          <w:tcPr>
            <w:tcW w:w="1115" w:type="dxa"/>
            <w:tcBorders/>
            <w:vAlign w:val="center"/>
          </w:tcPr>
          <w:p>
            <w:pPr>
              <w:pStyle w:val="TableContents"/>
              <w:bidi w:val="0"/>
              <w:spacing w:before="0" w:after="283"/>
              <w:jc w:val="right"/>
              <w:rPr/>
            </w:pPr>
            <w:r>
              <w:rPr/>
              <w:t>  </w:t>
            </w:r>
            <w:r>
              <w:rPr>
                <w:sz w:val="16"/>
              </w:rPr>
              <w:t>(1,324,017)</w:t>
            </w:r>
          </w:p>
        </w:tc>
        <w:tc>
          <w:tcPr>
            <w:tcW w:w="1115" w:type="dxa"/>
            <w:tcBorders/>
            <w:vAlign w:val="center"/>
          </w:tcPr>
          <w:p>
            <w:pPr>
              <w:pStyle w:val="TableContents"/>
              <w:bidi w:val="0"/>
              <w:spacing w:before="0" w:after="283"/>
              <w:jc w:val="right"/>
              <w:rPr/>
            </w:pPr>
            <w:r>
              <w:rPr/>
              <w:t>  </w:t>
            </w:r>
            <w:r>
              <w:rPr>
                <w:sz w:val="16"/>
              </w:rPr>
              <w:t>(1,449,090)</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9.4%</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70.3%</w:t>
            </w:r>
          </w:p>
        </w:tc>
        <w:tc>
          <w:tcPr>
            <w:tcW w:w="1115" w:type="dxa"/>
            <w:tcBorders/>
            <w:vAlign w:val="center"/>
          </w:tcPr>
          <w:p>
            <w:pPr>
              <w:pStyle w:val="TableContents"/>
              <w:bidi w:val="0"/>
              <w:spacing w:before="0" w:after="283"/>
              <w:jc w:val="right"/>
              <w:rPr/>
            </w:pPr>
            <w:r>
              <w:rPr/>
              <w:t>  </w:t>
            </w:r>
            <w:r>
              <w:rPr>
                <w:sz w:val="16"/>
              </w:rPr>
              <w:t>(1,591,646)</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sz w:val="16"/>
              </w:rPr>
              <w:t>(2,773,107)</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74.2%</w:t>
            </w:r>
          </w:p>
        </w:tc>
      </w:tr>
      <w:tr>
        <w:trPr/>
        <w:tc>
          <w:tcPr>
            <w:tcW w:w="219"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b/>
                <w:sz w:val="16"/>
              </w:rPr>
            </w:pPr>
            <w:r>
              <w:rPr>
                <w:b/>
                <w:sz w:val="16"/>
              </w:rPr>
              <w:t>Net interest, similar income and expenses</w:t>
            </w:r>
          </w:p>
        </w:tc>
        <w:tc>
          <w:tcPr>
            <w:tcW w:w="1115" w:type="dxa"/>
            <w:tcBorders/>
            <w:vAlign w:val="center"/>
          </w:tcPr>
          <w:p>
            <w:pPr>
              <w:pStyle w:val="TableContents"/>
              <w:bidi w:val="0"/>
              <w:spacing w:before="0" w:after="283"/>
              <w:jc w:val="right"/>
              <w:rPr/>
            </w:pPr>
            <w:r>
              <w:rPr/>
              <w:t>   </w:t>
            </w:r>
            <w:r>
              <w:rPr>
                <w:b/>
                <w:sz w:val="16"/>
              </w:rPr>
              <w:t>2,637,106</w:t>
            </w:r>
          </w:p>
        </w:tc>
        <w:tc>
          <w:tcPr>
            <w:tcW w:w="1115" w:type="dxa"/>
            <w:tcBorders/>
            <w:vAlign w:val="center"/>
          </w:tcPr>
          <w:p>
            <w:pPr>
              <w:pStyle w:val="TableContents"/>
              <w:bidi w:val="0"/>
              <w:spacing w:before="0" w:after="283"/>
              <w:jc w:val="right"/>
              <w:rPr/>
            </w:pPr>
            <w:r>
              <w:rPr/>
              <w:t>   </w:t>
            </w:r>
            <w:r>
              <w:rPr>
                <w:b/>
                <w:sz w:val="16"/>
              </w:rPr>
              <w:t>3,132,089</w:t>
            </w:r>
          </w:p>
        </w:tc>
        <w:tc>
          <w:tcPr>
            <w:tcW w:w="1115" w:type="dxa"/>
            <w:tcBorders/>
            <w:vAlign w:val="center"/>
          </w:tcPr>
          <w:p>
            <w:pPr>
              <w:pStyle w:val="TableContents"/>
              <w:bidi w:val="0"/>
              <w:spacing w:before="0" w:after="283"/>
              <w:jc w:val="right"/>
              <w:rPr/>
            </w:pPr>
            <w:r>
              <w:rPr/>
              <w:t>   </w:t>
            </w:r>
            <w:r>
              <w:rPr>
                <w:b/>
                <w:sz w:val="16"/>
              </w:rPr>
              <w:t>3,204,156</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2.3%</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21.5%</w:t>
            </w:r>
          </w:p>
        </w:tc>
        <w:tc>
          <w:tcPr>
            <w:tcW w:w="1115" w:type="dxa"/>
            <w:tcBorders/>
            <w:vAlign w:val="center"/>
          </w:tcPr>
          <w:p>
            <w:pPr>
              <w:pStyle w:val="TableContents"/>
              <w:bidi w:val="0"/>
              <w:spacing w:before="0" w:after="283"/>
              <w:jc w:val="right"/>
              <w:rPr/>
            </w:pPr>
            <w:r>
              <w:rPr/>
              <w:t>   </w:t>
            </w:r>
            <w:r>
              <w:rPr>
                <w:b/>
                <w:sz w:val="16"/>
              </w:rPr>
              <w:t>5,068,813</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6,336,245</w:t>
            </w:r>
          </w:p>
        </w:tc>
        <w:tc>
          <w:tcPr>
            <w:tcW w:w="821"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25.0%</w:t>
            </w:r>
          </w:p>
        </w:tc>
      </w:tr>
      <w:tr>
        <w:trPr/>
        <w:tc>
          <w:tcPr>
            <w:tcW w:w="219"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304" w:type="dxa"/>
            <w:tcBorders/>
            <w:shd w:fill="FFFFFF" w:val="clear"/>
            <w:vAlign w:val="center"/>
          </w:tcPr>
          <w:p>
            <w:pPr>
              <w:pStyle w:val="TableContents"/>
              <w:bidi w:val="0"/>
              <w:spacing w:before="0" w:after="283"/>
              <w:jc w:val="left"/>
              <w:rPr/>
            </w:pPr>
            <w:r>
              <w:rPr/>
              <w:t> </w:t>
            </w:r>
          </w:p>
        </w:tc>
        <w:tc>
          <w:tcPr>
            <w:tcW w:w="24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763"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Gross provision for credit losses on loan portfolio</w:t>
            </w:r>
          </w:p>
        </w:tc>
        <w:tc>
          <w:tcPr>
            <w:tcW w:w="1115" w:type="dxa"/>
            <w:tcBorders/>
            <w:vAlign w:val="center"/>
          </w:tcPr>
          <w:p>
            <w:pPr>
              <w:pStyle w:val="TableContents"/>
              <w:bidi w:val="0"/>
              <w:spacing w:before="0" w:after="283"/>
              <w:jc w:val="right"/>
              <w:rPr/>
            </w:pPr>
            <w:r>
              <w:rPr/>
              <w:t>     </w:t>
            </w:r>
            <w:r>
              <w:rPr>
                <w:sz w:val="16"/>
              </w:rPr>
              <w:t>(447,036)</w:t>
            </w:r>
          </w:p>
        </w:tc>
        <w:tc>
          <w:tcPr>
            <w:tcW w:w="1115" w:type="dxa"/>
            <w:tcBorders/>
            <w:vAlign w:val="center"/>
          </w:tcPr>
          <w:p>
            <w:pPr>
              <w:pStyle w:val="TableContents"/>
              <w:bidi w:val="0"/>
              <w:spacing w:before="0" w:after="283"/>
              <w:jc w:val="right"/>
              <w:rPr/>
            </w:pPr>
            <w:r>
              <w:rPr/>
              <w:t>     </w:t>
            </w:r>
            <w:r>
              <w:rPr>
                <w:sz w:val="16"/>
              </w:rPr>
              <w:t>(802,107)</w:t>
            </w:r>
          </w:p>
        </w:tc>
        <w:tc>
          <w:tcPr>
            <w:tcW w:w="1115" w:type="dxa"/>
            <w:tcBorders/>
            <w:vAlign w:val="center"/>
          </w:tcPr>
          <w:p>
            <w:pPr>
              <w:pStyle w:val="TableContents"/>
              <w:bidi w:val="0"/>
              <w:spacing w:before="0" w:after="283"/>
              <w:jc w:val="right"/>
              <w:rPr/>
            </w:pPr>
            <w:r>
              <w:rPr/>
              <w:t>     </w:t>
            </w:r>
            <w:r>
              <w:rPr>
                <w:sz w:val="16"/>
              </w:rPr>
              <w:t>(886,123)</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10.5%</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98.2%</w:t>
            </w:r>
          </w:p>
        </w:tc>
        <w:tc>
          <w:tcPr>
            <w:tcW w:w="1115" w:type="dxa"/>
            <w:tcBorders/>
            <w:vAlign w:val="center"/>
          </w:tcPr>
          <w:p>
            <w:pPr>
              <w:pStyle w:val="TableContents"/>
              <w:bidi w:val="0"/>
              <w:spacing w:before="0" w:after="283"/>
              <w:jc w:val="right"/>
              <w:rPr/>
            </w:pPr>
            <w:r>
              <w:rPr/>
              <w:t>     </w:t>
            </w:r>
            <w:r>
              <w:rPr>
                <w:sz w:val="16"/>
              </w:rPr>
              <w:t>(797,717)</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sz w:val="16"/>
              </w:rPr>
              <w:t>(1,688,230)</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111.6%</w:t>
            </w:r>
          </w:p>
        </w:tc>
      </w:tr>
      <w:tr>
        <w:trPr/>
        <w:tc>
          <w:tcPr>
            <w:tcW w:w="2763"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Recoveries of written-off loans</w:t>
            </w:r>
          </w:p>
        </w:tc>
        <w:tc>
          <w:tcPr>
            <w:tcW w:w="1115" w:type="dxa"/>
            <w:tcBorders/>
            <w:vAlign w:val="center"/>
          </w:tcPr>
          <w:p>
            <w:pPr>
              <w:pStyle w:val="TableContents"/>
              <w:bidi w:val="0"/>
              <w:spacing w:before="0" w:after="283"/>
              <w:jc w:val="right"/>
              <w:rPr/>
            </w:pPr>
            <w:r>
              <w:rPr/>
              <w:t>        </w:t>
            </w:r>
            <w:r>
              <w:rPr>
                <w:sz w:val="16"/>
              </w:rPr>
              <w:t>83,745</w:t>
            </w:r>
          </w:p>
        </w:tc>
        <w:tc>
          <w:tcPr>
            <w:tcW w:w="1115" w:type="dxa"/>
            <w:tcBorders/>
            <w:vAlign w:val="center"/>
          </w:tcPr>
          <w:p>
            <w:pPr>
              <w:pStyle w:val="TableContents"/>
              <w:bidi w:val="0"/>
              <w:spacing w:before="0" w:after="283"/>
              <w:jc w:val="right"/>
              <w:rPr/>
            </w:pPr>
            <w:r>
              <w:rPr/>
              <w:t>        </w:t>
            </w:r>
            <w:r>
              <w:rPr>
                <w:sz w:val="16"/>
              </w:rPr>
              <w:t>75,109</w:t>
            </w:r>
          </w:p>
        </w:tc>
        <w:tc>
          <w:tcPr>
            <w:tcW w:w="1115" w:type="dxa"/>
            <w:tcBorders/>
            <w:vAlign w:val="center"/>
          </w:tcPr>
          <w:p>
            <w:pPr>
              <w:pStyle w:val="TableContents"/>
              <w:bidi w:val="0"/>
              <w:spacing w:before="0" w:after="283"/>
              <w:jc w:val="right"/>
              <w:rPr/>
            </w:pPr>
            <w:r>
              <w:rPr/>
              <w:t>        </w:t>
            </w:r>
            <w:r>
              <w:rPr>
                <w:sz w:val="16"/>
              </w:rPr>
              <w:t>81,872</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9.0%</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-2.2%</w:t>
            </w:r>
          </w:p>
        </w:tc>
        <w:tc>
          <w:tcPr>
            <w:tcW w:w="1115" w:type="dxa"/>
            <w:tcBorders/>
            <w:vAlign w:val="center"/>
          </w:tcPr>
          <w:p>
            <w:pPr>
              <w:pStyle w:val="TableContents"/>
              <w:bidi w:val="0"/>
              <w:spacing w:before="0" w:after="283"/>
              <w:jc w:val="right"/>
              <w:rPr/>
            </w:pPr>
            <w:r>
              <w:rPr/>
              <w:t>      </w:t>
            </w:r>
            <w:r>
              <w:rPr>
                <w:sz w:val="16"/>
              </w:rPr>
              <w:t>176,836</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156,981</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-11.2%</w:t>
            </w:r>
          </w:p>
        </w:tc>
      </w:tr>
      <w:tr>
        <w:trPr/>
        <w:tc>
          <w:tcPr>
            <w:tcW w:w="2763" w:type="dxa"/>
            <w:gridSpan w:val="3"/>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Provision for credit losses on loan portfolio, net of recoveries</w:t>
            </w:r>
          </w:p>
        </w:tc>
        <w:tc>
          <w:tcPr>
            <w:tcW w:w="1115" w:type="dxa"/>
            <w:tcBorders/>
            <w:vAlign w:val="center"/>
          </w:tcPr>
          <w:p>
            <w:pPr>
              <w:pStyle w:val="TableContents"/>
              <w:bidi w:val="0"/>
              <w:spacing w:before="0" w:after="283"/>
              <w:jc w:val="right"/>
              <w:rPr/>
            </w:pPr>
            <w:r>
              <w:rPr/>
              <w:t>     </w:t>
            </w:r>
            <w:r>
              <w:rPr>
                <w:b/>
                <w:sz w:val="16"/>
              </w:rPr>
              <w:t>(363,291)</w:t>
            </w:r>
          </w:p>
        </w:tc>
        <w:tc>
          <w:tcPr>
            <w:tcW w:w="1115" w:type="dxa"/>
            <w:tcBorders/>
            <w:vAlign w:val="center"/>
          </w:tcPr>
          <w:p>
            <w:pPr>
              <w:pStyle w:val="TableContents"/>
              <w:bidi w:val="0"/>
              <w:spacing w:before="0" w:after="283"/>
              <w:jc w:val="right"/>
              <w:rPr/>
            </w:pPr>
            <w:r>
              <w:rPr/>
              <w:t>     </w:t>
            </w:r>
            <w:r>
              <w:rPr>
                <w:b/>
                <w:sz w:val="16"/>
              </w:rPr>
              <w:t>(726,998)</w:t>
            </w:r>
          </w:p>
        </w:tc>
        <w:tc>
          <w:tcPr>
            <w:tcW w:w="1115" w:type="dxa"/>
            <w:tcBorders/>
            <w:vAlign w:val="center"/>
          </w:tcPr>
          <w:p>
            <w:pPr>
              <w:pStyle w:val="TableContents"/>
              <w:bidi w:val="0"/>
              <w:spacing w:before="0" w:after="283"/>
              <w:jc w:val="right"/>
              <w:rPr/>
            </w:pPr>
            <w:r>
              <w:rPr/>
              <w:t>     </w:t>
            </w:r>
            <w:r>
              <w:rPr>
                <w:b/>
                <w:sz w:val="16"/>
              </w:rPr>
              <w:t>(804,251)</w:t>
            </w:r>
          </w:p>
        </w:tc>
        <w:tc>
          <w:tcPr>
            <w:tcW w:w="523" w:type="dxa"/>
            <w:tcBorders>
              <w:left w:val="single" w:sz="8" w:space="0" w:color="000000"/>
            </w:tcBorders>
            <w:tcMar>
              <w:left w:w="28" w:type="dxa"/>
            </w:tcMar>
            <w:vAlign w:val="center"/>
          </w:tcPr>
          <w:p>
            <w:pPr>
              <w:pStyle w:val="TableContents"/>
              <w:bidi w:val="0"/>
              <w:spacing w:before="0" w:after="283"/>
              <w:jc w:val="center"/>
              <w:rPr>
                <w:b/>
                <w:sz w:val="16"/>
              </w:rPr>
            </w:pPr>
            <w:r>
              <w:rPr>
                <w:b/>
                <w:sz w:val="16"/>
              </w:rPr>
              <w:t>10.6%</w:t>
            </w:r>
          </w:p>
        </w:tc>
        <w:tc>
          <w:tcPr>
            <w:tcW w:w="523"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121.4%</w:t>
            </w:r>
          </w:p>
        </w:tc>
        <w:tc>
          <w:tcPr>
            <w:tcW w:w="1115" w:type="dxa"/>
            <w:tcBorders/>
            <w:vAlign w:val="center"/>
          </w:tcPr>
          <w:p>
            <w:pPr>
              <w:pStyle w:val="TableContents"/>
              <w:bidi w:val="0"/>
              <w:spacing w:before="0" w:after="283"/>
              <w:jc w:val="right"/>
              <w:rPr/>
            </w:pPr>
            <w:r>
              <w:rPr/>
              <w:t>     </w:t>
            </w:r>
            <w:r>
              <w:rPr>
                <w:b/>
                <w:sz w:val="16"/>
              </w:rPr>
              <w:t>(620,881)</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b/>
                <w:sz w:val="16"/>
              </w:rPr>
              <w:t>(1,531,249)</w:t>
            </w:r>
          </w:p>
        </w:tc>
        <w:tc>
          <w:tcPr>
            <w:tcW w:w="821"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146.6%</w:t>
            </w:r>
          </w:p>
        </w:tc>
      </w:tr>
      <w:tr>
        <w:trPr/>
        <w:tc>
          <w:tcPr>
            <w:tcW w:w="219"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304" w:type="dxa"/>
            <w:tcBorders/>
            <w:shd w:fill="FFFFFF" w:val="clear"/>
            <w:vAlign w:val="center"/>
          </w:tcPr>
          <w:p>
            <w:pPr>
              <w:pStyle w:val="TableContents"/>
              <w:bidi w:val="0"/>
              <w:spacing w:before="0" w:after="283"/>
              <w:jc w:val="left"/>
              <w:rPr/>
            </w:pPr>
            <w:r>
              <w:rPr/>
              <w:t> </w:t>
            </w:r>
          </w:p>
        </w:tc>
        <w:tc>
          <w:tcPr>
            <w:tcW w:w="24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r>
              <w:rPr>
                <w:b/>
                <w:sz w:val="16"/>
              </w:rPr>
              <w:t>-   </w:t>
            </w:r>
          </w:p>
        </w:tc>
        <w:tc>
          <w:tcPr>
            <w:tcW w:w="1115" w:type="dxa"/>
            <w:tcBorders/>
            <w:vAlign w:val="center"/>
          </w:tcPr>
          <w:p>
            <w:pPr>
              <w:pStyle w:val="TableContents"/>
              <w:bidi w:val="0"/>
              <w:spacing w:before="0" w:after="283"/>
              <w:jc w:val="right"/>
              <w:rPr/>
            </w:pPr>
            <w:r>
              <w:rPr/>
              <w:t>               </w:t>
            </w:r>
            <w:r>
              <w:rPr>
                <w:b/>
                <w:sz w:val="16"/>
              </w:rPr>
              <w:t>-   </w:t>
            </w:r>
          </w:p>
        </w:tc>
        <w:tc>
          <w:tcPr>
            <w:tcW w:w="1115" w:type="dxa"/>
            <w:tcBorders/>
            <w:vAlign w:val="center"/>
          </w:tcPr>
          <w:p>
            <w:pPr>
              <w:pStyle w:val="TableContents"/>
              <w:bidi w:val="0"/>
              <w:spacing w:before="0" w:after="283"/>
              <w:jc w:val="right"/>
              <w:rPr/>
            </w:pPr>
            <w:r>
              <w:rPr/>
              <w:t>               </w:t>
            </w:r>
            <w:r>
              <w:rPr>
                <w:b/>
                <w:sz w:val="16"/>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763" w:type="dxa"/>
            <w:gridSpan w:val="3"/>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Net interest, similar income and expenses, after provision for credit losses on loan portfolio</w:t>
            </w:r>
          </w:p>
        </w:tc>
        <w:tc>
          <w:tcPr>
            <w:tcW w:w="1115" w:type="dxa"/>
            <w:tcBorders/>
            <w:vAlign w:val="center"/>
          </w:tcPr>
          <w:p>
            <w:pPr>
              <w:pStyle w:val="TableContents"/>
              <w:bidi w:val="0"/>
              <w:spacing w:before="0" w:after="283"/>
              <w:jc w:val="right"/>
              <w:rPr/>
            </w:pPr>
            <w:r>
              <w:rPr/>
              <w:t>   </w:t>
            </w:r>
            <w:r>
              <w:rPr>
                <w:b/>
                <w:sz w:val="16"/>
              </w:rPr>
              <w:t>2,273,815</w:t>
            </w:r>
          </w:p>
        </w:tc>
        <w:tc>
          <w:tcPr>
            <w:tcW w:w="1115" w:type="dxa"/>
            <w:tcBorders/>
            <w:vAlign w:val="center"/>
          </w:tcPr>
          <w:p>
            <w:pPr>
              <w:pStyle w:val="TableContents"/>
              <w:bidi w:val="0"/>
              <w:spacing w:before="0" w:after="283"/>
              <w:jc w:val="right"/>
              <w:rPr/>
            </w:pPr>
            <w:r>
              <w:rPr/>
              <w:t>   </w:t>
            </w:r>
            <w:r>
              <w:rPr>
                <w:b/>
                <w:sz w:val="16"/>
              </w:rPr>
              <w:t>2,405,091</w:t>
            </w:r>
          </w:p>
        </w:tc>
        <w:tc>
          <w:tcPr>
            <w:tcW w:w="1115" w:type="dxa"/>
            <w:tcBorders/>
            <w:vAlign w:val="center"/>
          </w:tcPr>
          <w:p>
            <w:pPr>
              <w:pStyle w:val="TableContents"/>
              <w:bidi w:val="0"/>
              <w:spacing w:before="0" w:after="283"/>
              <w:jc w:val="right"/>
              <w:rPr/>
            </w:pPr>
            <w:r>
              <w:rPr/>
              <w:t>   </w:t>
            </w:r>
            <w:r>
              <w:rPr>
                <w:b/>
                <w:sz w:val="16"/>
              </w:rPr>
              <w:t>2,399,905</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-0.2%</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5.5%</w:t>
            </w:r>
          </w:p>
        </w:tc>
        <w:tc>
          <w:tcPr>
            <w:tcW w:w="1115" w:type="dxa"/>
            <w:tcBorders/>
            <w:vAlign w:val="center"/>
          </w:tcPr>
          <w:p>
            <w:pPr>
              <w:pStyle w:val="TableContents"/>
              <w:bidi w:val="0"/>
              <w:spacing w:before="0" w:after="283"/>
              <w:jc w:val="right"/>
              <w:rPr/>
            </w:pPr>
            <w:r>
              <w:rPr/>
              <w:t>   </w:t>
            </w:r>
            <w:r>
              <w:rPr>
                <w:b/>
                <w:sz w:val="16"/>
              </w:rPr>
              <w:t>4,447,932</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4,804,996</w:t>
            </w:r>
          </w:p>
        </w:tc>
        <w:tc>
          <w:tcPr>
            <w:tcW w:w="821"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8.0%</w:t>
            </w:r>
          </w:p>
        </w:tc>
      </w:tr>
      <w:tr>
        <w:trPr/>
        <w:tc>
          <w:tcPr>
            <w:tcW w:w="2763" w:type="dxa"/>
            <w:gridSpan w:val="3"/>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763" w:type="dxa"/>
            <w:gridSpan w:val="3"/>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Other income</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Fee income </w:t>
            </w:r>
          </w:p>
        </w:tc>
        <w:tc>
          <w:tcPr>
            <w:tcW w:w="1115" w:type="dxa"/>
            <w:tcBorders/>
            <w:vAlign w:val="center"/>
          </w:tcPr>
          <w:p>
            <w:pPr>
              <w:pStyle w:val="TableContents"/>
              <w:bidi w:val="0"/>
              <w:spacing w:before="0" w:after="283"/>
              <w:jc w:val="right"/>
              <w:rPr/>
            </w:pPr>
            <w:r>
              <w:rPr/>
              <w:t>      </w:t>
            </w:r>
            <w:r>
              <w:rPr>
                <w:sz w:val="16"/>
              </w:rPr>
              <w:t>920,950</w:t>
            </w:r>
          </w:p>
        </w:tc>
        <w:tc>
          <w:tcPr>
            <w:tcW w:w="1115" w:type="dxa"/>
            <w:tcBorders/>
            <w:vAlign w:val="center"/>
          </w:tcPr>
          <w:p>
            <w:pPr>
              <w:pStyle w:val="TableContents"/>
              <w:bidi w:val="0"/>
              <w:spacing w:before="0" w:after="283"/>
              <w:jc w:val="right"/>
              <w:rPr/>
            </w:pPr>
            <w:r>
              <w:rPr/>
              <w:t>      </w:t>
            </w:r>
            <w:r>
              <w:rPr>
                <w:sz w:val="16"/>
              </w:rPr>
              <w:t>881,781</w:t>
            </w:r>
          </w:p>
        </w:tc>
        <w:tc>
          <w:tcPr>
            <w:tcW w:w="1115" w:type="dxa"/>
            <w:tcBorders/>
            <w:vAlign w:val="center"/>
          </w:tcPr>
          <w:p>
            <w:pPr>
              <w:pStyle w:val="TableContents"/>
              <w:bidi w:val="0"/>
              <w:spacing w:before="0" w:after="283"/>
              <w:jc w:val="right"/>
              <w:rPr/>
            </w:pPr>
            <w:r>
              <w:rPr/>
              <w:t>      </w:t>
            </w:r>
            <w:r>
              <w:rPr>
                <w:sz w:val="16"/>
              </w:rPr>
              <w:t>960,550</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8.9%</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4.3%</w:t>
            </w:r>
          </w:p>
        </w:tc>
        <w:tc>
          <w:tcPr>
            <w:tcW w:w="1115" w:type="dxa"/>
            <w:tcBorders/>
            <w:vAlign w:val="center"/>
          </w:tcPr>
          <w:p>
            <w:pPr>
              <w:pStyle w:val="TableContents"/>
              <w:bidi w:val="0"/>
              <w:spacing w:before="0" w:after="283"/>
              <w:jc w:val="right"/>
              <w:rPr/>
            </w:pPr>
            <w:r>
              <w:rPr/>
              <w:t>   </w:t>
            </w:r>
            <w:r>
              <w:rPr>
                <w:sz w:val="16"/>
              </w:rPr>
              <w:t>1,812,578</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1,842,331</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1.6%</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Net gain on foreign exchange transactions </w:t>
            </w:r>
          </w:p>
        </w:tc>
        <w:tc>
          <w:tcPr>
            <w:tcW w:w="1115" w:type="dxa"/>
            <w:tcBorders/>
            <w:vAlign w:val="center"/>
          </w:tcPr>
          <w:p>
            <w:pPr>
              <w:pStyle w:val="TableContents"/>
              <w:bidi w:val="0"/>
              <w:spacing w:before="0" w:after="283"/>
              <w:jc w:val="right"/>
              <w:rPr/>
            </w:pPr>
            <w:r>
              <w:rPr/>
              <w:t>      </w:t>
            </w:r>
            <w:r>
              <w:rPr>
                <w:sz w:val="16"/>
              </w:rPr>
              <w:t>269,059</w:t>
            </w:r>
          </w:p>
        </w:tc>
        <w:tc>
          <w:tcPr>
            <w:tcW w:w="1115" w:type="dxa"/>
            <w:tcBorders/>
            <w:vAlign w:val="center"/>
          </w:tcPr>
          <w:p>
            <w:pPr>
              <w:pStyle w:val="TableContents"/>
              <w:bidi w:val="0"/>
              <w:spacing w:before="0" w:after="283"/>
              <w:jc w:val="right"/>
              <w:rPr/>
            </w:pPr>
            <w:r>
              <w:rPr/>
              <w:t>      </w:t>
            </w:r>
            <w:r>
              <w:rPr>
                <w:sz w:val="16"/>
              </w:rPr>
              <w:t>248,515</w:t>
            </w:r>
          </w:p>
        </w:tc>
        <w:tc>
          <w:tcPr>
            <w:tcW w:w="1115" w:type="dxa"/>
            <w:tcBorders/>
            <w:vAlign w:val="center"/>
          </w:tcPr>
          <w:p>
            <w:pPr>
              <w:pStyle w:val="TableContents"/>
              <w:bidi w:val="0"/>
              <w:spacing w:before="0" w:after="283"/>
              <w:jc w:val="right"/>
              <w:rPr/>
            </w:pPr>
            <w:r>
              <w:rPr/>
              <w:t>      </w:t>
            </w:r>
            <w:r>
              <w:rPr>
                <w:sz w:val="16"/>
              </w:rPr>
              <w:t>210,944</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-15.1%</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-21.6%</w:t>
            </w:r>
          </w:p>
        </w:tc>
        <w:tc>
          <w:tcPr>
            <w:tcW w:w="1115" w:type="dxa"/>
            <w:tcBorders/>
            <w:vAlign w:val="center"/>
          </w:tcPr>
          <w:p>
            <w:pPr>
              <w:pStyle w:val="TableContents"/>
              <w:bidi w:val="0"/>
              <w:spacing w:before="0" w:after="283"/>
              <w:jc w:val="right"/>
              <w:rPr/>
            </w:pPr>
            <w:r>
              <w:rPr/>
              <w:t>      </w:t>
            </w:r>
            <w:r>
              <w:rPr>
                <w:sz w:val="16"/>
              </w:rPr>
              <w:t>528,769</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459,459</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-13.1%</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Net loss on securities </w:t>
            </w:r>
          </w:p>
        </w:tc>
        <w:tc>
          <w:tcPr>
            <w:tcW w:w="1115" w:type="dxa"/>
            <w:tcBorders/>
            <w:vAlign w:val="center"/>
          </w:tcPr>
          <w:p>
            <w:pPr>
              <w:pStyle w:val="TableContents"/>
              <w:bidi w:val="0"/>
              <w:spacing w:before="0" w:after="283"/>
              <w:jc w:val="right"/>
              <w:rPr/>
            </w:pPr>
            <w:r>
              <w:rPr/>
              <w:t>       </w:t>
            </w:r>
            <w:r>
              <w:rPr>
                <w:sz w:val="16"/>
              </w:rPr>
              <w:t>(94,180)</w:t>
            </w:r>
          </w:p>
        </w:tc>
        <w:tc>
          <w:tcPr>
            <w:tcW w:w="1115" w:type="dxa"/>
            <w:tcBorders/>
            <w:vAlign w:val="center"/>
          </w:tcPr>
          <w:p>
            <w:pPr>
              <w:pStyle w:val="TableContents"/>
              <w:bidi w:val="0"/>
              <w:spacing w:before="0" w:after="283"/>
              <w:jc w:val="right"/>
              <w:rPr/>
            </w:pPr>
            <w:r>
              <w:rPr/>
              <w:t>        </w:t>
            </w:r>
            <w:r>
              <w:rPr>
                <w:sz w:val="16"/>
              </w:rPr>
              <w:t>70,036</w:t>
            </w:r>
          </w:p>
        </w:tc>
        <w:tc>
          <w:tcPr>
            <w:tcW w:w="1115" w:type="dxa"/>
            <w:tcBorders/>
            <w:vAlign w:val="center"/>
          </w:tcPr>
          <w:p>
            <w:pPr>
              <w:pStyle w:val="TableContents"/>
              <w:bidi w:val="0"/>
              <w:spacing w:before="0" w:after="283"/>
              <w:jc w:val="right"/>
              <w:rPr/>
            </w:pPr>
            <w:r>
              <w:rPr/>
              <w:t>        </w:t>
            </w:r>
            <w:r>
              <w:rPr>
                <w:sz w:val="16"/>
              </w:rPr>
              <w:t>68,603</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-2.0%</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c>
          <w:tcPr>
            <w:tcW w:w="1115" w:type="dxa"/>
            <w:tcBorders/>
            <w:vAlign w:val="center"/>
          </w:tcPr>
          <w:p>
            <w:pPr>
              <w:pStyle w:val="TableContents"/>
              <w:bidi w:val="0"/>
              <w:spacing w:before="0" w:after="283"/>
              <w:jc w:val="right"/>
              <w:rPr/>
            </w:pPr>
            <w:r>
              <w:rPr/>
              <w:t>     </w:t>
            </w:r>
            <w:r>
              <w:rPr>
                <w:sz w:val="16"/>
              </w:rPr>
              <w:t>(151,046)</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138,639</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n.a</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Net gain from associates </w:t>
            </w:r>
          </w:p>
        </w:tc>
        <w:tc>
          <w:tcPr>
            <w:tcW w:w="1115" w:type="dxa"/>
            <w:tcBorders/>
            <w:vAlign w:val="center"/>
          </w:tcPr>
          <w:p>
            <w:pPr>
              <w:pStyle w:val="TableContents"/>
              <w:bidi w:val="0"/>
              <w:spacing w:before="0" w:after="283"/>
              <w:jc w:val="right"/>
              <w:rPr/>
            </w:pPr>
            <w:r>
              <w:rPr/>
              <w:t>        </w:t>
            </w:r>
            <w:r>
              <w:rPr>
                <w:sz w:val="16"/>
              </w:rPr>
              <w:t>29,219</w:t>
            </w:r>
          </w:p>
        </w:tc>
        <w:tc>
          <w:tcPr>
            <w:tcW w:w="1115" w:type="dxa"/>
            <w:tcBorders/>
            <w:vAlign w:val="center"/>
          </w:tcPr>
          <w:p>
            <w:pPr>
              <w:pStyle w:val="TableContents"/>
              <w:bidi w:val="0"/>
              <w:spacing w:before="0" w:after="283"/>
              <w:jc w:val="right"/>
              <w:rPr/>
            </w:pPr>
            <w:r>
              <w:rPr/>
              <w:t>        </w:t>
            </w:r>
            <w:r>
              <w:rPr>
                <w:sz w:val="16"/>
              </w:rPr>
              <w:t>27,212</w:t>
            </w:r>
          </w:p>
        </w:tc>
        <w:tc>
          <w:tcPr>
            <w:tcW w:w="1115" w:type="dxa"/>
            <w:tcBorders/>
            <w:vAlign w:val="center"/>
          </w:tcPr>
          <w:p>
            <w:pPr>
              <w:pStyle w:val="TableContents"/>
              <w:bidi w:val="0"/>
              <w:spacing w:before="0" w:after="283"/>
              <w:jc w:val="right"/>
              <w:rPr/>
            </w:pPr>
            <w:r>
              <w:rPr/>
              <w:t>        </w:t>
            </w:r>
            <w:r>
              <w:rPr>
                <w:sz w:val="16"/>
              </w:rPr>
              <w:t>23,689</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-12.9%</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-18.9%</w:t>
            </w:r>
          </w:p>
        </w:tc>
        <w:tc>
          <w:tcPr>
            <w:tcW w:w="1115" w:type="dxa"/>
            <w:tcBorders/>
            <w:vAlign w:val="center"/>
          </w:tcPr>
          <w:p>
            <w:pPr>
              <w:pStyle w:val="TableContents"/>
              <w:bidi w:val="0"/>
              <w:spacing w:before="0" w:after="283"/>
              <w:jc w:val="right"/>
              <w:rPr/>
            </w:pPr>
            <w:r>
              <w:rPr/>
              <w:t>        </w:t>
            </w:r>
            <w:r>
              <w:rPr>
                <w:sz w:val="16"/>
              </w:rPr>
              <w:t>53,233</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50,901</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-4.4%</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Net gain (loss) on derivatives held for trading </w:t>
            </w:r>
          </w:p>
        </w:tc>
        <w:tc>
          <w:tcPr>
            <w:tcW w:w="1115" w:type="dxa"/>
            <w:tcBorders/>
            <w:vAlign w:val="center"/>
          </w:tcPr>
          <w:p>
            <w:pPr>
              <w:pStyle w:val="TableContents"/>
              <w:bidi w:val="0"/>
              <w:spacing w:before="0" w:after="283"/>
              <w:jc w:val="right"/>
              <w:rPr/>
            </w:pPr>
            <w:r>
              <w:rPr/>
              <w:t>        </w:t>
            </w:r>
            <w:r>
              <w:rPr>
                <w:sz w:val="16"/>
              </w:rPr>
              <w:t>12,304</w:t>
            </w:r>
          </w:p>
        </w:tc>
        <w:tc>
          <w:tcPr>
            <w:tcW w:w="1115" w:type="dxa"/>
            <w:tcBorders/>
            <w:vAlign w:val="center"/>
          </w:tcPr>
          <w:p>
            <w:pPr>
              <w:pStyle w:val="TableContents"/>
              <w:bidi w:val="0"/>
              <w:spacing w:before="0" w:after="283"/>
              <w:jc w:val="right"/>
              <w:rPr/>
            </w:pPr>
            <w:r>
              <w:rPr/>
              <w:t>        </w:t>
            </w:r>
            <w:r>
              <w:rPr>
                <w:sz w:val="16"/>
              </w:rPr>
              <w:t>(6,570)</w:t>
            </w:r>
          </w:p>
        </w:tc>
        <w:tc>
          <w:tcPr>
            <w:tcW w:w="1115" w:type="dxa"/>
            <w:tcBorders/>
            <w:vAlign w:val="center"/>
          </w:tcPr>
          <w:p>
            <w:pPr>
              <w:pStyle w:val="TableContents"/>
              <w:bidi w:val="0"/>
              <w:spacing w:before="0" w:after="283"/>
              <w:jc w:val="right"/>
              <w:rPr/>
            </w:pPr>
            <w:r>
              <w:rPr/>
              <w:t>        </w:t>
            </w:r>
            <w:r>
              <w:rPr>
                <w:sz w:val="16"/>
              </w:rPr>
              <w:t>16,671</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-353.7%</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35.5%</w:t>
            </w:r>
          </w:p>
        </w:tc>
        <w:tc>
          <w:tcPr>
            <w:tcW w:w="1115" w:type="dxa"/>
            <w:tcBorders/>
            <w:vAlign w:val="center"/>
          </w:tcPr>
          <w:p>
            <w:pPr>
              <w:pStyle w:val="TableContents"/>
              <w:bidi w:val="0"/>
              <w:spacing w:before="0" w:after="283"/>
              <w:jc w:val="right"/>
              <w:rPr/>
            </w:pPr>
            <w:r>
              <w:rPr/>
              <w:t>          </w:t>
            </w:r>
            <w:r>
              <w:rPr>
                <w:sz w:val="16"/>
              </w:rPr>
              <w:t>6,322</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10,101</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59.8%</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Net gain (loss) from exchange differences</w:t>
            </w:r>
          </w:p>
        </w:tc>
        <w:tc>
          <w:tcPr>
            <w:tcW w:w="1115" w:type="dxa"/>
            <w:tcBorders/>
            <w:vAlign w:val="center"/>
          </w:tcPr>
          <w:p>
            <w:pPr>
              <w:pStyle w:val="TableContents"/>
              <w:bidi w:val="0"/>
              <w:spacing w:before="0" w:after="283"/>
              <w:jc w:val="right"/>
              <w:rPr/>
            </w:pPr>
            <w:r>
              <w:rPr/>
              <w:t>       </w:t>
            </w:r>
            <w:r>
              <w:rPr>
                <w:sz w:val="16"/>
              </w:rPr>
              <w:t>(18,441)</w:t>
            </w:r>
          </w:p>
        </w:tc>
        <w:tc>
          <w:tcPr>
            <w:tcW w:w="1115" w:type="dxa"/>
            <w:tcBorders/>
            <w:vAlign w:val="center"/>
          </w:tcPr>
          <w:p>
            <w:pPr>
              <w:pStyle w:val="TableContents"/>
              <w:bidi w:val="0"/>
              <w:spacing w:before="0" w:after="283"/>
              <w:jc w:val="right"/>
              <w:rPr/>
            </w:pPr>
            <w:r>
              <w:rPr/>
              <w:t>        </w:t>
            </w:r>
            <w:r>
              <w:rPr>
                <w:sz w:val="16"/>
              </w:rPr>
              <w:t>22,963</w:t>
            </w:r>
          </w:p>
        </w:tc>
        <w:tc>
          <w:tcPr>
            <w:tcW w:w="1115" w:type="dxa"/>
            <w:tcBorders/>
            <w:vAlign w:val="center"/>
          </w:tcPr>
          <w:p>
            <w:pPr>
              <w:pStyle w:val="TableContents"/>
              <w:bidi w:val="0"/>
              <w:spacing w:before="0" w:after="283"/>
              <w:jc w:val="right"/>
              <w:rPr/>
            </w:pPr>
            <w:r>
              <w:rPr/>
              <w:t>          </w:t>
            </w:r>
            <w:r>
              <w:rPr>
                <w:sz w:val="16"/>
              </w:rPr>
              <w:t>2,996</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-87.0%</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-116.2%</w:t>
            </w:r>
          </w:p>
        </w:tc>
        <w:tc>
          <w:tcPr>
            <w:tcW w:w="1115" w:type="dxa"/>
            <w:tcBorders/>
            <w:vAlign w:val="center"/>
          </w:tcPr>
          <w:p>
            <w:pPr>
              <w:pStyle w:val="TableContents"/>
              <w:bidi w:val="0"/>
              <w:spacing w:before="0" w:after="283"/>
              <w:jc w:val="right"/>
              <w:rPr/>
            </w:pPr>
            <w:r>
              <w:rPr/>
              <w:t>      </w:t>
            </w:r>
            <w:r>
              <w:rPr>
                <w:sz w:val="16"/>
              </w:rPr>
              <w:t>(26,804)</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25,959</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n.a</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304" w:type="dxa"/>
            <w:tcBorders/>
            <w:vAlign w:val="center"/>
          </w:tcPr>
          <w:p>
            <w:pPr>
              <w:pStyle w:val="TableContents"/>
              <w:bidi w:val="0"/>
              <w:spacing w:before="0" w:after="283"/>
              <w:jc w:val="left"/>
              <w:rPr>
                <w:sz w:val="16"/>
              </w:rPr>
            </w:pPr>
            <w:r>
              <w:rPr>
                <w:sz w:val="16"/>
              </w:rPr>
              <w:t>Others</w:t>
            </w:r>
          </w:p>
        </w:tc>
        <w:tc>
          <w:tcPr>
            <w:tcW w:w="240" w:type="dxa"/>
            <w:tcBorders>
              <w:right w:val="single" w:sz="8" w:space="0" w:color="000000"/>
            </w:tcBorders>
            <w:tcMar>
              <w:right w:w="28" w:type="dxa"/>
            </w:tcMar>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r>
              <w:rPr>
                <w:sz w:val="16"/>
              </w:rPr>
              <w:t>78,681</w:t>
            </w:r>
          </w:p>
        </w:tc>
        <w:tc>
          <w:tcPr>
            <w:tcW w:w="1115" w:type="dxa"/>
            <w:tcBorders/>
            <w:vAlign w:val="center"/>
          </w:tcPr>
          <w:p>
            <w:pPr>
              <w:pStyle w:val="TableContents"/>
              <w:bidi w:val="0"/>
              <w:spacing w:before="0" w:after="283"/>
              <w:jc w:val="right"/>
              <w:rPr/>
            </w:pPr>
            <w:r>
              <w:rPr/>
              <w:t>        </w:t>
            </w:r>
            <w:r>
              <w:rPr>
                <w:sz w:val="16"/>
              </w:rPr>
              <w:t>89,338</w:t>
            </w:r>
          </w:p>
        </w:tc>
        <w:tc>
          <w:tcPr>
            <w:tcW w:w="1115" w:type="dxa"/>
            <w:tcBorders/>
            <w:vAlign w:val="center"/>
          </w:tcPr>
          <w:p>
            <w:pPr>
              <w:pStyle w:val="TableContents"/>
              <w:bidi w:val="0"/>
              <w:spacing w:before="0" w:after="283"/>
              <w:jc w:val="right"/>
              <w:rPr/>
            </w:pPr>
            <w:r>
              <w:rPr/>
              <w:t>      </w:t>
            </w:r>
            <w:r>
              <w:rPr>
                <w:sz w:val="16"/>
              </w:rPr>
              <w:t>150,333</w:t>
            </w:r>
          </w:p>
        </w:tc>
        <w:tc>
          <w:tcPr>
            <w:tcW w:w="523" w:type="dxa"/>
            <w:tcBorders>
              <w:left w:val="single" w:sz="8" w:space="0" w:color="000000"/>
            </w:tcBorders>
            <w:tcMar>
              <w:left w:w="28" w:type="dxa"/>
            </w:tcMar>
            <w:vAlign w:val="center"/>
          </w:tcPr>
          <w:p>
            <w:pPr>
              <w:pStyle w:val="TableContents"/>
              <w:bidi w:val="0"/>
              <w:spacing w:before="0" w:after="283"/>
              <w:jc w:val="center"/>
              <w:rPr>
                <w:sz w:val="16"/>
              </w:rPr>
            </w:pPr>
            <w:r>
              <w:rPr>
                <w:sz w:val="16"/>
              </w:rPr>
              <w:t>68.3%</w:t>
            </w:r>
          </w:p>
        </w:tc>
        <w:tc>
          <w:tcPr>
            <w:tcW w:w="523" w:type="dxa"/>
            <w:tcBorders>
              <w:right w:val="single" w:sz="8" w:space="0" w:color="000000"/>
            </w:tcBorders>
            <w:tcMar>
              <w:right w:w="28" w:type="dxa"/>
            </w:tcMar>
            <w:vAlign w:val="center"/>
          </w:tcPr>
          <w:p>
            <w:pPr>
              <w:pStyle w:val="TableContents"/>
              <w:bidi w:val="0"/>
              <w:spacing w:before="0" w:after="283"/>
              <w:jc w:val="center"/>
              <w:rPr>
                <w:sz w:val="16"/>
              </w:rPr>
            </w:pPr>
            <w:r>
              <w:rPr>
                <w:sz w:val="16"/>
              </w:rPr>
              <w:t>91.1%</w:t>
            </w:r>
          </w:p>
        </w:tc>
        <w:tc>
          <w:tcPr>
            <w:tcW w:w="1115" w:type="dxa"/>
            <w:tcBorders/>
            <w:vAlign w:val="center"/>
          </w:tcPr>
          <w:p>
            <w:pPr>
              <w:pStyle w:val="TableContents"/>
              <w:bidi w:val="0"/>
              <w:spacing w:before="0" w:after="283"/>
              <w:jc w:val="right"/>
              <w:rPr/>
            </w:pPr>
            <w:r>
              <w:rPr/>
              <w:t>      </w:t>
            </w:r>
            <w:r>
              <w:rPr>
                <w:sz w:val="16"/>
              </w:rPr>
              <w:t>213,938</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239,671</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12.0%</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shd w:fill="FFFFFF" w:val="clear"/>
            <w:tcMar>
              <w:right w:w="28" w:type="dxa"/>
            </w:tcMar>
            <w:vAlign w:val="center"/>
          </w:tcPr>
          <w:p>
            <w:pPr>
              <w:pStyle w:val="TableContents"/>
              <w:bidi w:val="0"/>
              <w:spacing w:before="0" w:after="283"/>
              <w:jc w:val="left"/>
              <w:rPr>
                <w:b/>
                <w:sz w:val="16"/>
              </w:rPr>
            </w:pPr>
            <w:r>
              <w:rPr>
                <w:b/>
                <w:sz w:val="16"/>
              </w:rPr>
              <w:t>Total non-financial income</w:t>
            </w:r>
          </w:p>
        </w:tc>
        <w:tc>
          <w:tcPr>
            <w:tcW w:w="1115" w:type="dxa"/>
            <w:tcBorders/>
            <w:vAlign w:val="center"/>
          </w:tcPr>
          <w:p>
            <w:pPr>
              <w:pStyle w:val="TableContents"/>
              <w:bidi w:val="0"/>
              <w:spacing w:before="0" w:after="283"/>
              <w:jc w:val="right"/>
              <w:rPr/>
            </w:pPr>
            <w:r>
              <w:rPr/>
              <w:t>   </w:t>
            </w:r>
            <w:r>
              <w:rPr>
                <w:b/>
                <w:sz w:val="16"/>
              </w:rPr>
              <w:t>1,197,592</w:t>
            </w:r>
          </w:p>
        </w:tc>
        <w:tc>
          <w:tcPr>
            <w:tcW w:w="1115" w:type="dxa"/>
            <w:tcBorders/>
            <w:vAlign w:val="center"/>
          </w:tcPr>
          <w:p>
            <w:pPr>
              <w:pStyle w:val="TableContents"/>
              <w:bidi w:val="0"/>
              <w:spacing w:before="0" w:after="283"/>
              <w:jc w:val="right"/>
              <w:rPr/>
            </w:pPr>
            <w:r>
              <w:rPr/>
              <w:t>   </w:t>
            </w:r>
            <w:r>
              <w:rPr>
                <w:b/>
                <w:sz w:val="16"/>
              </w:rPr>
              <w:t>1,333,275</w:t>
            </w:r>
          </w:p>
        </w:tc>
        <w:tc>
          <w:tcPr>
            <w:tcW w:w="1115" w:type="dxa"/>
            <w:tcBorders/>
            <w:vAlign w:val="center"/>
          </w:tcPr>
          <w:p>
            <w:pPr>
              <w:pStyle w:val="TableContents"/>
              <w:bidi w:val="0"/>
              <w:spacing w:before="0" w:after="283"/>
              <w:jc w:val="right"/>
              <w:rPr/>
            </w:pPr>
            <w:r>
              <w:rPr/>
              <w:t>   </w:t>
            </w:r>
            <w:r>
              <w:rPr>
                <w:b/>
                <w:sz w:val="16"/>
              </w:rPr>
              <w:t>1,433,786</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7.5%</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19.7%</w:t>
            </w:r>
          </w:p>
        </w:tc>
        <w:tc>
          <w:tcPr>
            <w:tcW w:w="1115" w:type="dxa"/>
            <w:tcBorders/>
            <w:vAlign w:val="center"/>
          </w:tcPr>
          <w:p>
            <w:pPr>
              <w:pStyle w:val="TableContents"/>
              <w:bidi w:val="0"/>
              <w:spacing w:before="0" w:after="283"/>
              <w:jc w:val="right"/>
              <w:rPr/>
            </w:pPr>
            <w:r>
              <w:rPr/>
              <w:t>   </w:t>
            </w:r>
            <w:r>
              <w:rPr>
                <w:b/>
                <w:sz w:val="16"/>
              </w:rPr>
              <w:t>2,436,990</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2,767,061</w:t>
            </w:r>
          </w:p>
        </w:tc>
        <w:tc>
          <w:tcPr>
            <w:tcW w:w="821"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13.5%</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304" w:type="dxa"/>
            <w:tcBorders/>
            <w:vAlign w:val="center"/>
          </w:tcPr>
          <w:p>
            <w:pPr>
              <w:pStyle w:val="TableContents"/>
              <w:bidi w:val="0"/>
              <w:spacing w:before="0" w:after="283"/>
              <w:jc w:val="left"/>
              <w:rPr/>
            </w:pPr>
            <w:r>
              <w:rPr/>
              <w:t> </w:t>
            </w:r>
          </w:p>
        </w:tc>
        <w:tc>
          <w:tcPr>
            <w:tcW w:w="240" w:type="dxa"/>
            <w:tcBorders>
              <w:right w:val="single" w:sz="8" w:space="0" w:color="000000"/>
            </w:tcBorders>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763" w:type="dxa"/>
            <w:gridSpan w:val="3"/>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Insurance underwriting result</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Insurance Service Result</w:t>
            </w:r>
          </w:p>
        </w:tc>
        <w:tc>
          <w:tcPr>
            <w:tcW w:w="1115" w:type="dxa"/>
            <w:tcBorders/>
            <w:vAlign w:val="center"/>
          </w:tcPr>
          <w:p>
            <w:pPr>
              <w:pStyle w:val="TableContents"/>
              <w:bidi w:val="0"/>
              <w:spacing w:before="0" w:after="283"/>
              <w:jc w:val="right"/>
              <w:rPr/>
            </w:pPr>
            <w:r>
              <w:rPr/>
              <w:t>      </w:t>
            </w:r>
            <w:r>
              <w:rPr>
                <w:sz w:val="16"/>
              </w:rPr>
              <w:t>320,290</w:t>
            </w:r>
          </w:p>
        </w:tc>
        <w:tc>
          <w:tcPr>
            <w:tcW w:w="1115" w:type="dxa"/>
            <w:tcBorders/>
            <w:vAlign w:val="center"/>
          </w:tcPr>
          <w:p>
            <w:pPr>
              <w:pStyle w:val="TableContents"/>
              <w:bidi w:val="0"/>
              <w:spacing w:before="0" w:after="283"/>
              <w:jc w:val="right"/>
              <w:rPr/>
            </w:pPr>
            <w:r>
              <w:rPr/>
              <w:t>      </w:t>
            </w:r>
            <w:r>
              <w:rPr>
                <w:sz w:val="16"/>
              </w:rPr>
              <w:t>406,877</w:t>
            </w:r>
          </w:p>
        </w:tc>
        <w:tc>
          <w:tcPr>
            <w:tcW w:w="1115" w:type="dxa"/>
            <w:tcBorders/>
            <w:vAlign w:val="center"/>
          </w:tcPr>
          <w:p>
            <w:pPr>
              <w:pStyle w:val="TableContents"/>
              <w:bidi w:val="0"/>
              <w:spacing w:before="0" w:after="283"/>
              <w:jc w:val="right"/>
              <w:rPr/>
            </w:pPr>
            <w:r>
              <w:rPr/>
              <w:t>      </w:t>
            </w:r>
            <w:r>
              <w:rPr>
                <w:sz w:val="16"/>
              </w:rPr>
              <w:t>393,487</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-3.3%</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22.9%</w:t>
            </w:r>
          </w:p>
        </w:tc>
        <w:tc>
          <w:tcPr>
            <w:tcW w:w="1115" w:type="dxa"/>
            <w:tcBorders/>
            <w:vAlign w:val="center"/>
          </w:tcPr>
          <w:p>
            <w:pPr>
              <w:pStyle w:val="TableContents"/>
              <w:bidi w:val="0"/>
              <w:spacing w:before="0" w:after="283"/>
              <w:jc w:val="right"/>
              <w:rPr/>
            </w:pPr>
            <w:r>
              <w:rPr/>
              <w:t>      </w:t>
            </w:r>
            <w:r>
              <w:rPr>
                <w:sz w:val="16"/>
              </w:rPr>
              <w:t>629,548</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800,364</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27.1%</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Reinsurance Result</w:t>
            </w:r>
          </w:p>
        </w:tc>
        <w:tc>
          <w:tcPr>
            <w:tcW w:w="1115" w:type="dxa"/>
            <w:tcBorders/>
            <w:vAlign w:val="center"/>
          </w:tcPr>
          <w:p>
            <w:pPr>
              <w:pStyle w:val="TableContents"/>
              <w:bidi w:val="0"/>
              <w:spacing w:before="0" w:after="283"/>
              <w:jc w:val="right"/>
              <w:rPr/>
            </w:pPr>
            <w:r>
              <w:rPr/>
              <w:t>     </w:t>
            </w:r>
            <w:r>
              <w:rPr>
                <w:sz w:val="16"/>
              </w:rPr>
              <w:t>(126,093)</w:t>
            </w:r>
          </w:p>
        </w:tc>
        <w:tc>
          <w:tcPr>
            <w:tcW w:w="1115" w:type="dxa"/>
            <w:tcBorders/>
            <w:vAlign w:val="center"/>
          </w:tcPr>
          <w:p>
            <w:pPr>
              <w:pStyle w:val="TableContents"/>
              <w:bidi w:val="0"/>
              <w:spacing w:before="0" w:after="283"/>
              <w:jc w:val="right"/>
              <w:rPr/>
            </w:pPr>
            <w:r>
              <w:rPr/>
              <w:t>     </w:t>
            </w:r>
            <w:r>
              <w:rPr>
                <w:sz w:val="16"/>
              </w:rPr>
              <w:t>(110,536)</w:t>
            </w:r>
          </w:p>
        </w:tc>
        <w:tc>
          <w:tcPr>
            <w:tcW w:w="1115" w:type="dxa"/>
            <w:tcBorders/>
            <w:vAlign w:val="center"/>
          </w:tcPr>
          <w:p>
            <w:pPr>
              <w:pStyle w:val="TableContents"/>
              <w:bidi w:val="0"/>
              <w:spacing w:before="0" w:after="283"/>
              <w:jc w:val="right"/>
              <w:rPr/>
            </w:pPr>
            <w:r>
              <w:rPr/>
              <w:t>       </w:t>
            </w:r>
            <w:r>
              <w:rPr>
                <w:sz w:val="16"/>
              </w:rPr>
              <w:t>(96,923)</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-12.3%</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-23.1%</w:t>
            </w:r>
          </w:p>
        </w:tc>
        <w:tc>
          <w:tcPr>
            <w:tcW w:w="1115" w:type="dxa"/>
            <w:tcBorders/>
            <w:vAlign w:val="center"/>
          </w:tcPr>
          <w:p>
            <w:pPr>
              <w:pStyle w:val="TableContents"/>
              <w:bidi w:val="0"/>
              <w:spacing w:before="0" w:after="283"/>
              <w:jc w:val="right"/>
              <w:rPr/>
            </w:pPr>
            <w:r>
              <w:rPr/>
              <w:t>     </w:t>
            </w:r>
            <w:r>
              <w:rPr>
                <w:sz w:val="16"/>
              </w:rPr>
              <w:t>(228,684)</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sz w:val="16"/>
              </w:rPr>
              <w:t>(207,459)</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-9.3%</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b/>
                <w:sz w:val="16"/>
              </w:rPr>
            </w:pPr>
            <w:r>
              <w:rPr>
                <w:b/>
                <w:sz w:val="16"/>
              </w:rPr>
              <w:t>Total insurance underwriting result</w:t>
            </w:r>
          </w:p>
        </w:tc>
        <w:tc>
          <w:tcPr>
            <w:tcW w:w="1115" w:type="dxa"/>
            <w:tcBorders/>
            <w:vAlign w:val="center"/>
          </w:tcPr>
          <w:p>
            <w:pPr>
              <w:pStyle w:val="TableContents"/>
              <w:bidi w:val="0"/>
              <w:spacing w:before="0" w:after="283"/>
              <w:jc w:val="right"/>
              <w:rPr/>
            </w:pPr>
            <w:r>
              <w:rPr/>
              <w:t>      </w:t>
            </w:r>
            <w:r>
              <w:rPr>
                <w:b/>
                <w:sz w:val="16"/>
              </w:rPr>
              <w:t>194,197</w:t>
            </w:r>
          </w:p>
        </w:tc>
        <w:tc>
          <w:tcPr>
            <w:tcW w:w="1115" w:type="dxa"/>
            <w:tcBorders/>
            <w:vAlign w:val="center"/>
          </w:tcPr>
          <w:p>
            <w:pPr>
              <w:pStyle w:val="TableContents"/>
              <w:bidi w:val="0"/>
              <w:spacing w:before="0" w:after="283"/>
              <w:jc w:val="right"/>
              <w:rPr/>
            </w:pPr>
            <w:r>
              <w:rPr/>
              <w:t>      </w:t>
            </w:r>
            <w:r>
              <w:rPr>
                <w:b/>
                <w:sz w:val="16"/>
              </w:rPr>
              <w:t>296,341</w:t>
            </w:r>
          </w:p>
        </w:tc>
        <w:tc>
          <w:tcPr>
            <w:tcW w:w="1115" w:type="dxa"/>
            <w:tcBorders/>
            <w:vAlign w:val="center"/>
          </w:tcPr>
          <w:p>
            <w:pPr>
              <w:pStyle w:val="TableContents"/>
              <w:bidi w:val="0"/>
              <w:spacing w:before="0" w:after="283"/>
              <w:jc w:val="right"/>
              <w:rPr/>
            </w:pPr>
            <w:r>
              <w:rPr/>
              <w:t>      </w:t>
            </w:r>
            <w:r>
              <w:rPr>
                <w:b/>
                <w:sz w:val="16"/>
              </w:rPr>
              <w:t>296,564</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0.1%</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52.7%</w:t>
            </w:r>
          </w:p>
        </w:tc>
        <w:tc>
          <w:tcPr>
            <w:tcW w:w="1115" w:type="dxa"/>
            <w:tcBorders/>
            <w:vAlign w:val="center"/>
          </w:tcPr>
          <w:p>
            <w:pPr>
              <w:pStyle w:val="TableContents"/>
              <w:bidi w:val="0"/>
              <w:spacing w:before="0" w:after="283"/>
              <w:jc w:val="right"/>
              <w:rPr/>
            </w:pPr>
            <w:r>
              <w:rPr/>
              <w:t>      </w:t>
            </w:r>
            <w:r>
              <w:rPr>
                <w:b/>
                <w:sz w:val="16"/>
              </w:rPr>
              <w:t>400,864</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592,905</w:t>
            </w:r>
          </w:p>
        </w:tc>
        <w:tc>
          <w:tcPr>
            <w:tcW w:w="821"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47.9%</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304" w:type="dxa"/>
            <w:tcBorders/>
            <w:vAlign w:val="center"/>
          </w:tcPr>
          <w:p>
            <w:pPr>
              <w:pStyle w:val="TableContents"/>
              <w:bidi w:val="0"/>
              <w:spacing w:before="0" w:after="283"/>
              <w:jc w:val="left"/>
              <w:rPr/>
            </w:pPr>
            <w:r>
              <w:rPr/>
              <w:t> </w:t>
            </w:r>
          </w:p>
        </w:tc>
        <w:tc>
          <w:tcPr>
            <w:tcW w:w="240" w:type="dxa"/>
            <w:tcBorders>
              <w:right w:val="single" w:sz="8" w:space="0" w:color="000000"/>
            </w:tcBorders>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763" w:type="dxa"/>
            <w:gridSpan w:val="3"/>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Total expenses</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Salaries and employee benefits</w:t>
            </w:r>
          </w:p>
        </w:tc>
        <w:tc>
          <w:tcPr>
            <w:tcW w:w="1115" w:type="dxa"/>
            <w:tcBorders/>
            <w:vAlign w:val="center"/>
          </w:tcPr>
          <w:p>
            <w:pPr>
              <w:pStyle w:val="TableContents"/>
              <w:bidi w:val="0"/>
              <w:spacing w:before="0" w:after="283"/>
              <w:jc w:val="right"/>
              <w:rPr/>
            </w:pPr>
            <w:r>
              <w:rPr/>
              <w:t>     </w:t>
            </w:r>
            <w:r>
              <w:rPr>
                <w:sz w:val="16"/>
              </w:rPr>
              <w:t>(942,159)</w:t>
            </w:r>
          </w:p>
        </w:tc>
        <w:tc>
          <w:tcPr>
            <w:tcW w:w="1115" w:type="dxa"/>
            <w:tcBorders/>
            <w:vAlign w:val="center"/>
          </w:tcPr>
          <w:p>
            <w:pPr>
              <w:pStyle w:val="TableContents"/>
              <w:bidi w:val="0"/>
              <w:spacing w:before="0" w:after="283"/>
              <w:jc w:val="right"/>
              <w:rPr/>
            </w:pPr>
            <w:r>
              <w:rPr/>
              <w:t>  </w:t>
            </w:r>
            <w:r>
              <w:rPr>
                <w:sz w:val="16"/>
              </w:rPr>
              <w:t>(1,029,558)</w:t>
            </w:r>
          </w:p>
        </w:tc>
        <w:tc>
          <w:tcPr>
            <w:tcW w:w="1115" w:type="dxa"/>
            <w:tcBorders/>
            <w:vAlign w:val="center"/>
          </w:tcPr>
          <w:p>
            <w:pPr>
              <w:pStyle w:val="TableContents"/>
              <w:bidi w:val="0"/>
              <w:spacing w:before="0" w:after="283"/>
              <w:jc w:val="right"/>
              <w:rPr/>
            </w:pPr>
            <w:r>
              <w:rPr/>
              <w:t>  </w:t>
            </w:r>
            <w:r>
              <w:rPr>
                <w:sz w:val="16"/>
              </w:rPr>
              <w:t>(1,054,735)</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2.4%</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11.9%</w:t>
            </w:r>
          </w:p>
        </w:tc>
        <w:tc>
          <w:tcPr>
            <w:tcW w:w="1115" w:type="dxa"/>
            <w:tcBorders/>
            <w:vAlign w:val="center"/>
          </w:tcPr>
          <w:p>
            <w:pPr>
              <w:pStyle w:val="TableContents"/>
              <w:bidi w:val="0"/>
              <w:spacing w:before="0" w:after="283"/>
              <w:jc w:val="right"/>
              <w:rPr/>
            </w:pPr>
            <w:r>
              <w:rPr/>
              <w:t>  </w:t>
            </w:r>
            <w:r>
              <w:rPr>
                <w:sz w:val="16"/>
              </w:rPr>
              <w:t>(1,881,677)</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sz w:val="16"/>
              </w:rPr>
              <w:t>(2,084,293)</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10.8%</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shd w:fill="FFFFFF" w:val="clear"/>
            <w:tcMar>
              <w:right w:w="28" w:type="dxa"/>
            </w:tcMar>
            <w:vAlign w:val="center"/>
          </w:tcPr>
          <w:p>
            <w:pPr>
              <w:pStyle w:val="TableContents"/>
              <w:bidi w:val="0"/>
              <w:spacing w:before="0" w:after="283"/>
              <w:jc w:val="left"/>
              <w:rPr>
                <w:sz w:val="16"/>
              </w:rPr>
            </w:pPr>
            <w:r>
              <w:rPr>
                <w:sz w:val="16"/>
              </w:rPr>
              <w:t>Administrative, general and tax expenses </w:t>
            </w:r>
          </w:p>
        </w:tc>
        <w:tc>
          <w:tcPr>
            <w:tcW w:w="1115" w:type="dxa"/>
            <w:tcBorders/>
            <w:vAlign w:val="center"/>
          </w:tcPr>
          <w:p>
            <w:pPr>
              <w:pStyle w:val="TableContents"/>
              <w:bidi w:val="0"/>
              <w:spacing w:before="0" w:after="283"/>
              <w:jc w:val="right"/>
              <w:rPr/>
            </w:pPr>
            <w:r>
              <w:rPr/>
              <w:t>     </w:t>
            </w:r>
            <w:r>
              <w:rPr>
                <w:sz w:val="16"/>
              </w:rPr>
              <w:t>(819,100)</w:t>
            </w:r>
          </w:p>
        </w:tc>
        <w:tc>
          <w:tcPr>
            <w:tcW w:w="1115" w:type="dxa"/>
            <w:tcBorders/>
            <w:vAlign w:val="center"/>
          </w:tcPr>
          <w:p>
            <w:pPr>
              <w:pStyle w:val="TableContents"/>
              <w:bidi w:val="0"/>
              <w:spacing w:before="0" w:after="283"/>
              <w:jc w:val="right"/>
              <w:rPr/>
            </w:pPr>
            <w:r>
              <w:rPr/>
              <w:t>     </w:t>
            </w:r>
            <w:r>
              <w:rPr>
                <w:sz w:val="16"/>
              </w:rPr>
              <w:t>(835,060)</w:t>
            </w:r>
          </w:p>
        </w:tc>
        <w:tc>
          <w:tcPr>
            <w:tcW w:w="1115" w:type="dxa"/>
            <w:tcBorders/>
            <w:vAlign w:val="center"/>
          </w:tcPr>
          <w:p>
            <w:pPr>
              <w:pStyle w:val="TableContents"/>
              <w:bidi w:val="0"/>
              <w:spacing w:before="0" w:after="283"/>
              <w:jc w:val="right"/>
              <w:rPr/>
            </w:pPr>
            <w:r>
              <w:rPr/>
              <w:t>     </w:t>
            </w:r>
            <w:r>
              <w:rPr>
                <w:sz w:val="16"/>
              </w:rPr>
              <w:t>(871,046)</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4.3%</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6.3%</w:t>
            </w:r>
          </w:p>
        </w:tc>
        <w:tc>
          <w:tcPr>
            <w:tcW w:w="1115" w:type="dxa"/>
            <w:tcBorders/>
            <w:vAlign w:val="center"/>
          </w:tcPr>
          <w:p>
            <w:pPr>
              <w:pStyle w:val="TableContents"/>
              <w:bidi w:val="0"/>
              <w:spacing w:before="0" w:after="283"/>
              <w:jc w:val="right"/>
              <w:rPr/>
            </w:pPr>
            <w:r>
              <w:rPr/>
              <w:t>  </w:t>
            </w:r>
            <w:r>
              <w:rPr>
                <w:sz w:val="16"/>
              </w:rPr>
              <w:t>(1,515,165)</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sz w:val="16"/>
              </w:rPr>
              <w:t>(1,706,106)</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12.6%</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Depreciation and amortization </w:t>
            </w:r>
          </w:p>
        </w:tc>
        <w:tc>
          <w:tcPr>
            <w:tcW w:w="1115" w:type="dxa"/>
            <w:tcBorders/>
            <w:vAlign w:val="center"/>
          </w:tcPr>
          <w:p>
            <w:pPr>
              <w:pStyle w:val="TableContents"/>
              <w:bidi w:val="0"/>
              <w:spacing w:before="0" w:after="283"/>
              <w:jc w:val="right"/>
              <w:rPr/>
            </w:pPr>
            <w:r>
              <w:rPr/>
              <w:t>     </w:t>
            </w:r>
            <w:r>
              <w:rPr>
                <w:sz w:val="16"/>
              </w:rPr>
              <w:t>(156,892)</w:t>
            </w:r>
          </w:p>
        </w:tc>
        <w:tc>
          <w:tcPr>
            <w:tcW w:w="1115" w:type="dxa"/>
            <w:tcBorders/>
            <w:vAlign w:val="center"/>
          </w:tcPr>
          <w:p>
            <w:pPr>
              <w:pStyle w:val="TableContents"/>
              <w:bidi w:val="0"/>
              <w:spacing w:before="0" w:after="283"/>
              <w:jc w:val="right"/>
              <w:rPr/>
            </w:pPr>
            <w:r>
              <w:rPr/>
              <w:t>     </w:t>
            </w:r>
            <w:r>
              <w:rPr>
                <w:sz w:val="16"/>
              </w:rPr>
              <w:t>(161,079)</w:t>
            </w:r>
          </w:p>
        </w:tc>
        <w:tc>
          <w:tcPr>
            <w:tcW w:w="1115" w:type="dxa"/>
            <w:tcBorders/>
            <w:vAlign w:val="center"/>
          </w:tcPr>
          <w:p>
            <w:pPr>
              <w:pStyle w:val="TableContents"/>
              <w:bidi w:val="0"/>
              <w:spacing w:before="0" w:after="283"/>
              <w:jc w:val="right"/>
              <w:rPr/>
            </w:pPr>
            <w:r>
              <w:rPr/>
              <w:t>     </w:t>
            </w:r>
            <w:r>
              <w:rPr>
                <w:sz w:val="16"/>
              </w:rPr>
              <w:t>(160,549)</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-0.3%</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2.3%</w:t>
            </w:r>
          </w:p>
        </w:tc>
        <w:tc>
          <w:tcPr>
            <w:tcW w:w="1115" w:type="dxa"/>
            <w:tcBorders/>
            <w:vAlign w:val="center"/>
          </w:tcPr>
          <w:p>
            <w:pPr>
              <w:pStyle w:val="TableContents"/>
              <w:bidi w:val="0"/>
              <w:spacing w:before="0" w:after="283"/>
              <w:jc w:val="right"/>
              <w:rPr/>
            </w:pPr>
            <w:r>
              <w:rPr/>
              <w:t>     </w:t>
            </w:r>
            <w:r>
              <w:rPr>
                <w:sz w:val="16"/>
              </w:rPr>
              <w:t>(308,786)</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sz w:val="16"/>
              </w:rPr>
              <w:t>(321,628)</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4.2%</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Impairment loss on goodwill</w:t>
            </w:r>
          </w:p>
        </w:tc>
        <w:tc>
          <w:tcPr>
            <w:tcW w:w="1115" w:type="dxa"/>
            <w:tcBorders/>
            <w:vAlign w:val="center"/>
          </w:tcPr>
          <w:p>
            <w:pPr>
              <w:pStyle w:val="TableContents"/>
              <w:bidi w:val="0"/>
              <w:spacing w:before="0" w:after="283"/>
              <w:jc w:val="right"/>
              <w:rPr/>
            </w:pPr>
            <w:r>
              <w:rPr/>
              <w:t>               </w:t>
            </w:r>
            <w:r>
              <w:rPr>
                <w:sz w:val="16"/>
              </w:rPr>
              <w:t>-   </w:t>
            </w:r>
          </w:p>
        </w:tc>
        <w:tc>
          <w:tcPr>
            <w:tcW w:w="1115" w:type="dxa"/>
            <w:tcBorders/>
            <w:vAlign w:val="center"/>
          </w:tcPr>
          <w:p>
            <w:pPr>
              <w:pStyle w:val="TableContents"/>
              <w:bidi w:val="0"/>
              <w:spacing w:before="0" w:after="283"/>
              <w:jc w:val="right"/>
              <w:rPr/>
            </w:pPr>
            <w:r>
              <w:rPr/>
              <w:t>               </w:t>
            </w:r>
            <w:r>
              <w:rPr>
                <w:sz w:val="16"/>
              </w:rPr>
              <w:t>-   </w:t>
            </w:r>
          </w:p>
        </w:tc>
        <w:tc>
          <w:tcPr>
            <w:tcW w:w="1115" w:type="dxa"/>
            <w:tcBorders/>
            <w:vAlign w:val="center"/>
          </w:tcPr>
          <w:p>
            <w:pPr>
              <w:pStyle w:val="TableContents"/>
              <w:bidi w:val="0"/>
              <w:spacing w:before="0" w:after="283"/>
              <w:jc w:val="right"/>
              <w:rPr/>
            </w:pPr>
            <w:r>
              <w:rPr/>
              <w:t>               </w:t>
            </w:r>
            <w:r>
              <w:rPr>
                <w:sz w:val="16"/>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#DIV/0!</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#DIV/0!</w:t>
            </w:r>
          </w:p>
        </w:tc>
        <w:tc>
          <w:tcPr>
            <w:tcW w:w="1115" w:type="dxa"/>
            <w:tcBorders/>
            <w:vAlign w:val="center"/>
          </w:tcPr>
          <w:p>
            <w:pPr>
              <w:pStyle w:val="TableContents"/>
              <w:bidi w:val="0"/>
              <w:spacing w:before="0" w:after="283"/>
              <w:jc w:val="right"/>
              <w:rPr/>
            </w:pPr>
            <w:r>
              <w:rPr/>
              <w:t>               </w:t>
            </w:r>
            <w:r>
              <w:rPr>
                <w:sz w:val="16"/>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n.a.</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Association in participation </w:t>
            </w:r>
          </w:p>
        </w:tc>
        <w:tc>
          <w:tcPr>
            <w:tcW w:w="1115" w:type="dxa"/>
            <w:tcBorders/>
            <w:vAlign w:val="center"/>
          </w:tcPr>
          <w:p>
            <w:pPr>
              <w:pStyle w:val="TableContents"/>
              <w:bidi w:val="0"/>
              <w:spacing w:before="0" w:after="283"/>
              <w:jc w:val="right"/>
              <w:rPr/>
            </w:pPr>
            <w:r>
              <w:rPr/>
              <w:t>       </w:t>
            </w:r>
            <w:r>
              <w:rPr>
                <w:sz w:val="16"/>
              </w:rPr>
              <w:t>(10,329)</w:t>
            </w:r>
          </w:p>
        </w:tc>
        <w:tc>
          <w:tcPr>
            <w:tcW w:w="1115" w:type="dxa"/>
            <w:tcBorders/>
            <w:vAlign w:val="center"/>
          </w:tcPr>
          <w:p>
            <w:pPr>
              <w:pStyle w:val="TableContents"/>
              <w:bidi w:val="0"/>
              <w:spacing w:before="0" w:after="283"/>
              <w:jc w:val="right"/>
              <w:rPr/>
            </w:pPr>
            <w:r>
              <w:rPr/>
              <w:t>       </w:t>
            </w:r>
            <w:r>
              <w:rPr>
                <w:sz w:val="16"/>
              </w:rPr>
              <w:t>(12,612)</w:t>
            </w:r>
          </w:p>
        </w:tc>
        <w:tc>
          <w:tcPr>
            <w:tcW w:w="1115" w:type="dxa"/>
            <w:tcBorders/>
            <w:vAlign w:val="center"/>
          </w:tcPr>
          <w:p>
            <w:pPr>
              <w:pStyle w:val="TableContents"/>
              <w:bidi w:val="0"/>
              <w:spacing w:before="0" w:after="283"/>
              <w:jc w:val="right"/>
              <w:rPr/>
            </w:pPr>
            <w:r>
              <w:rPr/>
              <w:t>       </w:t>
            </w:r>
            <w:r>
              <w:rPr>
                <w:sz w:val="16"/>
              </w:rPr>
              <w:t>(16,742)</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32.7%</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62.1%</w:t>
            </w:r>
          </w:p>
        </w:tc>
        <w:tc>
          <w:tcPr>
            <w:tcW w:w="1115" w:type="dxa"/>
            <w:tcBorders/>
            <w:vAlign w:val="center"/>
          </w:tcPr>
          <w:p>
            <w:pPr>
              <w:pStyle w:val="TableContents"/>
              <w:bidi w:val="0"/>
              <w:spacing w:before="0" w:after="283"/>
              <w:jc w:val="right"/>
              <w:rPr/>
            </w:pPr>
            <w:r>
              <w:rPr/>
              <w:t>      </w:t>
            </w:r>
            <w:r>
              <w:rPr>
                <w:sz w:val="16"/>
              </w:rPr>
              <w:t>(18,020)</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sz w:val="16"/>
              </w:rPr>
              <w:t>(29,354)</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62.9%</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Other expenses </w:t>
            </w:r>
          </w:p>
        </w:tc>
        <w:tc>
          <w:tcPr>
            <w:tcW w:w="1115" w:type="dxa"/>
            <w:tcBorders/>
            <w:vAlign w:val="center"/>
          </w:tcPr>
          <w:p>
            <w:pPr>
              <w:pStyle w:val="TableContents"/>
              <w:bidi w:val="0"/>
              <w:spacing w:before="0" w:after="283"/>
              <w:jc w:val="right"/>
              <w:rPr/>
            </w:pPr>
            <w:r>
              <w:rPr/>
              <w:t>       </w:t>
            </w:r>
            <w:r>
              <w:rPr>
                <w:sz w:val="16"/>
              </w:rPr>
              <w:t>(52,645)</w:t>
            </w:r>
          </w:p>
        </w:tc>
        <w:tc>
          <w:tcPr>
            <w:tcW w:w="1115" w:type="dxa"/>
            <w:tcBorders/>
            <w:vAlign w:val="center"/>
          </w:tcPr>
          <w:p>
            <w:pPr>
              <w:pStyle w:val="TableContents"/>
              <w:bidi w:val="0"/>
              <w:spacing w:before="0" w:after="283"/>
              <w:jc w:val="right"/>
              <w:rPr/>
            </w:pPr>
            <w:r>
              <w:rPr/>
              <w:t>       </w:t>
            </w:r>
            <w:r>
              <w:rPr>
                <w:sz w:val="16"/>
              </w:rPr>
              <w:t>(88,599)</w:t>
            </w:r>
          </w:p>
        </w:tc>
        <w:tc>
          <w:tcPr>
            <w:tcW w:w="1115" w:type="dxa"/>
            <w:tcBorders/>
            <w:vAlign w:val="center"/>
          </w:tcPr>
          <w:p>
            <w:pPr>
              <w:pStyle w:val="TableContents"/>
              <w:bidi w:val="0"/>
              <w:spacing w:before="0" w:after="283"/>
              <w:jc w:val="right"/>
              <w:rPr/>
            </w:pPr>
            <w:r>
              <w:rPr/>
              <w:t>       </w:t>
            </w:r>
            <w:r>
              <w:rPr>
                <w:sz w:val="16"/>
              </w:rPr>
              <w:t>(92,894)</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4.8%</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76.5%</w:t>
            </w:r>
          </w:p>
        </w:tc>
        <w:tc>
          <w:tcPr>
            <w:tcW w:w="1115" w:type="dxa"/>
            <w:tcBorders/>
            <w:vAlign w:val="center"/>
          </w:tcPr>
          <w:p>
            <w:pPr>
              <w:pStyle w:val="TableContents"/>
              <w:bidi w:val="0"/>
              <w:spacing w:before="0" w:after="283"/>
              <w:jc w:val="right"/>
              <w:rPr/>
            </w:pPr>
            <w:r>
              <w:rPr/>
              <w:t>     </w:t>
            </w:r>
            <w:r>
              <w:rPr>
                <w:sz w:val="16"/>
              </w:rPr>
              <w:t>(131,996)</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sz w:val="16"/>
              </w:rPr>
              <w:t>(181,493)</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37.5%</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b/>
                <w:sz w:val="16"/>
              </w:rPr>
            </w:pPr>
            <w:r>
              <w:rPr>
                <w:b/>
                <w:sz w:val="16"/>
              </w:rPr>
              <w:t>Total expenses</w:t>
            </w:r>
          </w:p>
        </w:tc>
        <w:tc>
          <w:tcPr>
            <w:tcW w:w="1115" w:type="dxa"/>
            <w:tcBorders/>
            <w:vAlign w:val="center"/>
          </w:tcPr>
          <w:p>
            <w:pPr>
              <w:pStyle w:val="TableContents"/>
              <w:bidi w:val="0"/>
              <w:spacing w:before="0" w:after="283"/>
              <w:jc w:val="right"/>
              <w:rPr/>
            </w:pPr>
            <w:r>
              <w:rPr/>
              <w:t>  </w:t>
            </w:r>
            <w:r>
              <w:rPr>
                <w:b/>
                <w:sz w:val="16"/>
              </w:rPr>
              <w:t>(1,981,125)</w:t>
            </w:r>
          </w:p>
        </w:tc>
        <w:tc>
          <w:tcPr>
            <w:tcW w:w="1115" w:type="dxa"/>
            <w:tcBorders/>
            <w:vAlign w:val="center"/>
          </w:tcPr>
          <w:p>
            <w:pPr>
              <w:pStyle w:val="TableContents"/>
              <w:bidi w:val="0"/>
              <w:spacing w:before="0" w:after="283"/>
              <w:jc w:val="right"/>
              <w:rPr/>
            </w:pPr>
            <w:r>
              <w:rPr/>
              <w:t>  </w:t>
            </w:r>
            <w:r>
              <w:rPr>
                <w:b/>
                <w:sz w:val="16"/>
              </w:rPr>
              <w:t>(2,126,908)</w:t>
            </w:r>
          </w:p>
        </w:tc>
        <w:tc>
          <w:tcPr>
            <w:tcW w:w="1115" w:type="dxa"/>
            <w:tcBorders/>
            <w:vAlign w:val="center"/>
          </w:tcPr>
          <w:p>
            <w:pPr>
              <w:pStyle w:val="TableContents"/>
              <w:bidi w:val="0"/>
              <w:spacing w:before="0" w:after="283"/>
              <w:jc w:val="right"/>
              <w:rPr/>
            </w:pPr>
            <w:r>
              <w:rPr/>
              <w:t>  </w:t>
            </w:r>
            <w:r>
              <w:rPr>
                <w:b/>
                <w:sz w:val="16"/>
              </w:rPr>
              <w:t>(2,195,966)</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3.2%</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10.8%</w:t>
            </w:r>
          </w:p>
        </w:tc>
        <w:tc>
          <w:tcPr>
            <w:tcW w:w="1115" w:type="dxa"/>
            <w:tcBorders/>
            <w:vAlign w:val="center"/>
          </w:tcPr>
          <w:p>
            <w:pPr>
              <w:pStyle w:val="TableContents"/>
              <w:bidi w:val="0"/>
              <w:spacing w:before="0" w:after="283"/>
              <w:jc w:val="right"/>
              <w:rPr/>
            </w:pPr>
            <w:r>
              <w:rPr/>
              <w:t>  </w:t>
            </w:r>
            <w:r>
              <w:rPr>
                <w:b/>
                <w:sz w:val="16"/>
              </w:rPr>
              <w:t>(3,855,644)</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b/>
                <w:sz w:val="16"/>
              </w:rPr>
              <w:t>(4,322,874)</w:t>
            </w:r>
          </w:p>
        </w:tc>
        <w:tc>
          <w:tcPr>
            <w:tcW w:w="821"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12.1%</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304" w:type="dxa"/>
            <w:tcBorders/>
            <w:vAlign w:val="center"/>
          </w:tcPr>
          <w:p>
            <w:pPr>
              <w:pStyle w:val="TableContents"/>
              <w:bidi w:val="0"/>
              <w:spacing w:before="0" w:after="283"/>
              <w:jc w:val="left"/>
              <w:rPr/>
            </w:pPr>
            <w:r>
              <w:rPr/>
              <w:t> </w:t>
            </w:r>
          </w:p>
        </w:tc>
        <w:tc>
          <w:tcPr>
            <w:tcW w:w="240" w:type="dxa"/>
            <w:tcBorders>
              <w:right w:val="single" w:sz="8" w:space="0" w:color="000000"/>
            </w:tcBorders>
            <w:tcMar>
              <w:right w:w="28" w:type="dxa"/>
            </w:tcMar>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763" w:type="dxa"/>
            <w:gridSpan w:val="3"/>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Profit before income tax </w:t>
            </w:r>
          </w:p>
        </w:tc>
        <w:tc>
          <w:tcPr>
            <w:tcW w:w="1115" w:type="dxa"/>
            <w:tcBorders/>
            <w:vAlign w:val="center"/>
          </w:tcPr>
          <w:p>
            <w:pPr>
              <w:pStyle w:val="TableContents"/>
              <w:bidi w:val="0"/>
              <w:spacing w:before="0" w:after="283"/>
              <w:jc w:val="right"/>
              <w:rPr/>
            </w:pPr>
            <w:r>
              <w:rPr/>
              <w:t>   </w:t>
            </w:r>
            <w:r>
              <w:rPr>
                <w:b/>
                <w:sz w:val="16"/>
              </w:rPr>
              <w:t>1,684,479</w:t>
            </w:r>
          </w:p>
        </w:tc>
        <w:tc>
          <w:tcPr>
            <w:tcW w:w="1115" w:type="dxa"/>
            <w:tcBorders/>
            <w:vAlign w:val="center"/>
          </w:tcPr>
          <w:p>
            <w:pPr>
              <w:pStyle w:val="TableContents"/>
              <w:bidi w:val="0"/>
              <w:spacing w:before="0" w:after="283"/>
              <w:jc w:val="right"/>
              <w:rPr/>
            </w:pPr>
            <w:r>
              <w:rPr/>
              <w:t>   </w:t>
            </w:r>
            <w:r>
              <w:rPr>
                <w:b/>
                <w:sz w:val="16"/>
              </w:rPr>
              <w:t>1,907,799</w:t>
            </w:r>
          </w:p>
        </w:tc>
        <w:tc>
          <w:tcPr>
            <w:tcW w:w="1115" w:type="dxa"/>
            <w:tcBorders/>
            <w:vAlign w:val="center"/>
          </w:tcPr>
          <w:p>
            <w:pPr>
              <w:pStyle w:val="TableContents"/>
              <w:bidi w:val="0"/>
              <w:spacing w:before="0" w:after="283"/>
              <w:jc w:val="right"/>
              <w:rPr/>
            </w:pPr>
            <w:r>
              <w:rPr/>
              <w:t>   </w:t>
            </w:r>
            <w:r>
              <w:rPr>
                <w:b/>
                <w:sz w:val="16"/>
              </w:rPr>
              <w:t>1,934,289</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1.4%</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14.8%</w:t>
            </w:r>
          </w:p>
        </w:tc>
        <w:tc>
          <w:tcPr>
            <w:tcW w:w="1115" w:type="dxa"/>
            <w:tcBorders/>
            <w:vAlign w:val="center"/>
          </w:tcPr>
          <w:p>
            <w:pPr>
              <w:pStyle w:val="TableContents"/>
              <w:bidi w:val="0"/>
              <w:spacing w:before="0" w:after="283"/>
              <w:jc w:val="right"/>
              <w:rPr/>
            </w:pPr>
            <w:r>
              <w:rPr/>
              <w:t>   </w:t>
            </w:r>
            <w:r>
              <w:rPr>
                <w:b/>
                <w:sz w:val="16"/>
              </w:rPr>
              <w:t>3,430,142</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3,842,088</w:t>
            </w:r>
          </w:p>
        </w:tc>
        <w:tc>
          <w:tcPr>
            <w:tcW w:w="821"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12.0%</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304" w:type="dxa"/>
            <w:tcBorders/>
            <w:vAlign w:val="center"/>
          </w:tcPr>
          <w:p>
            <w:pPr>
              <w:pStyle w:val="TableContents"/>
              <w:bidi w:val="0"/>
              <w:spacing w:before="0" w:after="283"/>
              <w:jc w:val="left"/>
              <w:rPr/>
            </w:pPr>
            <w:r>
              <w:rPr/>
              <w:t> </w:t>
            </w:r>
          </w:p>
        </w:tc>
        <w:tc>
          <w:tcPr>
            <w:tcW w:w="240" w:type="dxa"/>
            <w:tcBorders>
              <w:right w:val="single" w:sz="8" w:space="0" w:color="000000"/>
            </w:tcBorders>
            <w:tcMar>
              <w:right w:w="28" w:type="dxa"/>
            </w:tcMar>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544" w:type="dxa"/>
            <w:gridSpan w:val="2"/>
            <w:tcBorders>
              <w:right w:val="single" w:sz="8" w:space="0" w:color="000000"/>
            </w:tcBorders>
            <w:tcMar>
              <w:right w:w="28" w:type="dxa"/>
            </w:tcMar>
            <w:vAlign w:val="center"/>
          </w:tcPr>
          <w:p>
            <w:pPr>
              <w:pStyle w:val="TableContents"/>
              <w:bidi w:val="0"/>
              <w:spacing w:before="0" w:after="283"/>
              <w:jc w:val="left"/>
              <w:rPr>
                <w:sz w:val="16"/>
              </w:rPr>
            </w:pPr>
            <w:r>
              <w:rPr>
                <w:sz w:val="16"/>
              </w:rPr>
              <w:t>Income tax</w:t>
            </w:r>
          </w:p>
        </w:tc>
        <w:tc>
          <w:tcPr>
            <w:tcW w:w="1115" w:type="dxa"/>
            <w:tcBorders/>
            <w:vAlign w:val="center"/>
          </w:tcPr>
          <w:p>
            <w:pPr>
              <w:pStyle w:val="TableContents"/>
              <w:bidi w:val="0"/>
              <w:spacing w:before="0" w:after="283"/>
              <w:jc w:val="right"/>
              <w:rPr/>
            </w:pPr>
            <w:r>
              <w:rPr/>
              <w:t>     </w:t>
            </w:r>
            <w:r>
              <w:rPr>
                <w:sz w:val="16"/>
              </w:rPr>
              <w:t>(513,182)</w:t>
            </w:r>
          </w:p>
        </w:tc>
        <w:tc>
          <w:tcPr>
            <w:tcW w:w="1115" w:type="dxa"/>
            <w:tcBorders/>
            <w:vAlign w:val="center"/>
          </w:tcPr>
          <w:p>
            <w:pPr>
              <w:pStyle w:val="TableContents"/>
              <w:bidi w:val="0"/>
              <w:spacing w:before="0" w:after="283"/>
              <w:jc w:val="right"/>
              <w:rPr/>
            </w:pPr>
            <w:r>
              <w:rPr/>
              <w:t>     </w:t>
            </w:r>
            <w:r>
              <w:rPr>
                <w:sz w:val="16"/>
              </w:rPr>
              <w:t>(493,466)</w:t>
            </w:r>
          </w:p>
        </w:tc>
        <w:tc>
          <w:tcPr>
            <w:tcW w:w="1115" w:type="dxa"/>
            <w:tcBorders/>
            <w:vAlign w:val="center"/>
          </w:tcPr>
          <w:p>
            <w:pPr>
              <w:pStyle w:val="TableContents"/>
              <w:bidi w:val="0"/>
              <w:spacing w:before="0" w:after="283"/>
              <w:jc w:val="right"/>
              <w:rPr/>
            </w:pPr>
            <w:r>
              <w:rPr/>
              <w:t>     </w:t>
            </w:r>
            <w:r>
              <w:rPr>
                <w:sz w:val="16"/>
              </w:rPr>
              <w:t>(504,472)</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2.2%</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-1.7%</w:t>
            </w:r>
          </w:p>
        </w:tc>
        <w:tc>
          <w:tcPr>
            <w:tcW w:w="1115" w:type="dxa"/>
            <w:tcBorders/>
            <w:vAlign w:val="center"/>
          </w:tcPr>
          <w:p>
            <w:pPr>
              <w:pStyle w:val="TableContents"/>
              <w:bidi w:val="0"/>
              <w:spacing w:before="0" w:after="283"/>
              <w:jc w:val="right"/>
              <w:rPr/>
            </w:pPr>
            <w:r>
              <w:rPr/>
              <w:t>  </w:t>
            </w:r>
            <w:r>
              <w:rPr>
                <w:sz w:val="16"/>
              </w:rPr>
              <w:t>(1,059,182)</w:t>
            </w:r>
          </w:p>
        </w:tc>
        <w:tc>
          <w:tcPr>
            <w:tcW w:w="1115" w:type="dxa"/>
            <w:tcBorders>
              <w:right w:val="single" w:sz="8" w:space="0" w:color="000000"/>
            </w:tcBorders>
            <w:tcMar>
              <w:right w:w="28" w:type="dxa"/>
            </w:tcMar>
            <w:vAlign w:val="center"/>
          </w:tcPr>
          <w:p>
            <w:pPr>
              <w:pStyle w:val="TableContents"/>
              <w:bidi w:val="0"/>
              <w:spacing w:before="0" w:after="283"/>
              <w:jc w:val="right"/>
              <w:rPr/>
            </w:pPr>
            <w:r>
              <w:rPr/>
              <w:t>     </w:t>
            </w:r>
            <w:r>
              <w:rPr>
                <w:sz w:val="16"/>
              </w:rPr>
              <w:t>(997,938)</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-5.8%</w:t>
            </w:r>
          </w:p>
        </w:tc>
      </w:tr>
      <w:tr>
        <w:trPr/>
        <w:tc>
          <w:tcPr>
            <w:tcW w:w="219" w:type="dxa"/>
            <w:tcBorders>
              <w:left w:val="single" w:sz="8" w:space="0" w:color="000000"/>
            </w:tcBorders>
            <w:tcMar>
              <w:left w:w="28" w:type="dxa"/>
            </w:tcMar>
            <w:vAlign w:val="center"/>
          </w:tcPr>
          <w:p>
            <w:pPr>
              <w:pStyle w:val="TableContents"/>
              <w:bidi w:val="0"/>
              <w:spacing w:before="0" w:after="283"/>
              <w:jc w:val="left"/>
              <w:rPr/>
            </w:pPr>
            <w:r>
              <w:rPr/>
              <w:t> </w:t>
            </w:r>
          </w:p>
        </w:tc>
        <w:tc>
          <w:tcPr>
            <w:tcW w:w="2304" w:type="dxa"/>
            <w:tcBorders/>
            <w:vAlign w:val="center"/>
          </w:tcPr>
          <w:p>
            <w:pPr>
              <w:pStyle w:val="TableContents"/>
              <w:bidi w:val="0"/>
              <w:spacing w:before="0" w:after="283"/>
              <w:jc w:val="left"/>
              <w:rPr/>
            </w:pPr>
            <w:r>
              <w:rPr/>
              <w:t> </w:t>
            </w:r>
          </w:p>
        </w:tc>
        <w:tc>
          <w:tcPr>
            <w:tcW w:w="240" w:type="dxa"/>
            <w:tcBorders>
              <w:right w:val="single" w:sz="8" w:space="0" w:color="000000"/>
            </w:tcBorders>
            <w:tcMar>
              <w:right w:w="28" w:type="dxa"/>
            </w:tcMar>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1115" w:type="dxa"/>
            <w:tcBorders/>
            <w:vAlign w:val="center"/>
          </w:tcPr>
          <w:p>
            <w:pPr>
              <w:pStyle w:val="TableContents"/>
              <w:bidi w:val="0"/>
              <w:spacing w:before="0" w:after="283"/>
              <w:jc w:val="right"/>
              <w:rPr/>
            </w:pPr>
            <w:r>
              <w:rPr/>
              <w:t> </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right"/>
              <w:rPr/>
            </w:pPr>
            <w:r>
              <w:rPr/>
              <w:t> </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p>
        </w:tc>
        <w:tc>
          <w:tcPr>
            <w:tcW w:w="821"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763" w:type="dxa"/>
            <w:gridSpan w:val="3"/>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Net profit</w:t>
            </w:r>
          </w:p>
        </w:tc>
        <w:tc>
          <w:tcPr>
            <w:tcW w:w="1115" w:type="dxa"/>
            <w:tcBorders/>
            <w:vAlign w:val="center"/>
          </w:tcPr>
          <w:p>
            <w:pPr>
              <w:pStyle w:val="TableContents"/>
              <w:bidi w:val="0"/>
              <w:spacing w:before="0" w:after="283"/>
              <w:jc w:val="right"/>
              <w:rPr/>
            </w:pPr>
            <w:r>
              <w:rPr/>
              <w:t>   </w:t>
            </w:r>
            <w:r>
              <w:rPr>
                <w:b/>
                <w:sz w:val="16"/>
              </w:rPr>
              <w:t>1,171,297</w:t>
            </w:r>
          </w:p>
        </w:tc>
        <w:tc>
          <w:tcPr>
            <w:tcW w:w="1115" w:type="dxa"/>
            <w:tcBorders/>
            <w:vAlign w:val="center"/>
          </w:tcPr>
          <w:p>
            <w:pPr>
              <w:pStyle w:val="TableContents"/>
              <w:bidi w:val="0"/>
              <w:spacing w:before="0" w:after="283"/>
              <w:jc w:val="right"/>
              <w:rPr/>
            </w:pPr>
            <w:r>
              <w:rPr/>
              <w:t>   </w:t>
            </w:r>
            <w:r>
              <w:rPr>
                <w:b/>
                <w:sz w:val="16"/>
              </w:rPr>
              <w:t>1,414,333</w:t>
            </w:r>
          </w:p>
        </w:tc>
        <w:tc>
          <w:tcPr>
            <w:tcW w:w="1115" w:type="dxa"/>
            <w:tcBorders/>
            <w:vAlign w:val="center"/>
          </w:tcPr>
          <w:p>
            <w:pPr>
              <w:pStyle w:val="TableContents"/>
              <w:bidi w:val="0"/>
              <w:spacing w:before="0" w:after="283"/>
              <w:jc w:val="right"/>
              <w:rPr/>
            </w:pPr>
            <w:r>
              <w:rPr/>
              <w:t>   </w:t>
            </w:r>
            <w:r>
              <w:rPr>
                <w:b/>
                <w:sz w:val="16"/>
              </w:rPr>
              <w:t>1,429,817</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1.1%</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22.1%</w:t>
            </w:r>
          </w:p>
        </w:tc>
        <w:tc>
          <w:tcPr>
            <w:tcW w:w="1115" w:type="dxa"/>
            <w:tcBorders/>
            <w:vAlign w:val="center"/>
          </w:tcPr>
          <w:p>
            <w:pPr>
              <w:pStyle w:val="TableContents"/>
              <w:bidi w:val="0"/>
              <w:spacing w:before="0" w:after="283"/>
              <w:jc w:val="right"/>
              <w:rPr/>
            </w:pPr>
            <w:r>
              <w:rPr/>
              <w:t>   </w:t>
            </w:r>
            <w:r>
              <w:rPr>
                <w:b/>
                <w:sz w:val="16"/>
              </w:rPr>
              <w:t>2,370,960</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2,844,150</w:t>
            </w:r>
          </w:p>
        </w:tc>
        <w:tc>
          <w:tcPr>
            <w:tcW w:w="821"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20.0%</w:t>
            </w:r>
          </w:p>
        </w:tc>
      </w:tr>
      <w:tr>
        <w:trPr/>
        <w:tc>
          <w:tcPr>
            <w:tcW w:w="2763" w:type="dxa"/>
            <w:gridSpan w:val="3"/>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sz w:val="16"/>
              </w:rPr>
            </w:pPr>
            <w:r>
              <w:rPr>
                <w:sz w:val="16"/>
              </w:rPr>
              <w:t>Non-controlling interest</w:t>
            </w:r>
          </w:p>
        </w:tc>
        <w:tc>
          <w:tcPr>
            <w:tcW w:w="1115" w:type="dxa"/>
            <w:tcBorders/>
            <w:vAlign w:val="center"/>
          </w:tcPr>
          <w:p>
            <w:pPr>
              <w:pStyle w:val="TableContents"/>
              <w:bidi w:val="0"/>
              <w:spacing w:before="0" w:after="283"/>
              <w:jc w:val="right"/>
              <w:rPr/>
            </w:pPr>
            <w:r>
              <w:rPr/>
              <w:t>        </w:t>
            </w:r>
            <w:r>
              <w:rPr>
                <w:sz w:val="16"/>
              </w:rPr>
              <w:t>28,420</w:t>
            </w:r>
          </w:p>
        </w:tc>
        <w:tc>
          <w:tcPr>
            <w:tcW w:w="1115" w:type="dxa"/>
            <w:tcBorders/>
            <w:vAlign w:val="center"/>
          </w:tcPr>
          <w:p>
            <w:pPr>
              <w:pStyle w:val="TableContents"/>
              <w:bidi w:val="0"/>
              <w:spacing w:before="0" w:after="283"/>
              <w:jc w:val="right"/>
              <w:rPr/>
            </w:pPr>
            <w:r>
              <w:rPr/>
              <w:t>        </w:t>
            </w:r>
            <w:r>
              <w:rPr>
                <w:sz w:val="16"/>
              </w:rPr>
              <w:t>30,060</w:t>
            </w:r>
          </w:p>
        </w:tc>
        <w:tc>
          <w:tcPr>
            <w:tcW w:w="1115" w:type="dxa"/>
            <w:tcBorders/>
            <w:vAlign w:val="center"/>
          </w:tcPr>
          <w:p>
            <w:pPr>
              <w:pStyle w:val="TableContents"/>
              <w:bidi w:val="0"/>
              <w:spacing w:before="0" w:after="283"/>
              <w:jc w:val="right"/>
              <w:rPr/>
            </w:pPr>
            <w:r>
              <w:rPr/>
              <w:t>        </w:t>
            </w:r>
            <w:r>
              <w:rPr>
                <w:sz w:val="16"/>
              </w:rPr>
              <w:t>28,550</w:t>
            </w:r>
          </w:p>
        </w:tc>
        <w:tc>
          <w:tcPr>
            <w:tcW w:w="523"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-5.0%</w:t>
            </w:r>
          </w:p>
        </w:tc>
        <w:tc>
          <w:tcPr>
            <w:tcW w:w="52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0.5%</w:t>
            </w:r>
          </w:p>
        </w:tc>
        <w:tc>
          <w:tcPr>
            <w:tcW w:w="1115" w:type="dxa"/>
            <w:tcBorders/>
            <w:vAlign w:val="center"/>
          </w:tcPr>
          <w:p>
            <w:pPr>
              <w:pStyle w:val="TableContents"/>
              <w:bidi w:val="0"/>
              <w:spacing w:before="0" w:after="283"/>
              <w:jc w:val="right"/>
              <w:rPr/>
            </w:pPr>
            <w:r>
              <w:rPr/>
              <w:t>        </w:t>
            </w:r>
            <w:r>
              <w:rPr>
                <w:sz w:val="16"/>
              </w:rPr>
              <w:t>56,206</w:t>
            </w:r>
          </w:p>
        </w:tc>
        <w:tc>
          <w:tcPr>
            <w:tcW w:w="1115" w:type="dxa"/>
            <w:tcBorders>
              <w:right w:val="single" w:sz="8" w:space="0" w:color="000000"/>
            </w:tcBorders>
            <w:tcMar>
              <w:right w:w="60" w:type="dxa"/>
            </w:tcMar>
            <w:vAlign w:val="center"/>
          </w:tcPr>
          <w:p>
            <w:pPr>
              <w:pStyle w:val="TableContents"/>
              <w:bidi w:val="0"/>
              <w:spacing w:before="0" w:after="283"/>
              <w:jc w:val="right"/>
              <w:rPr/>
            </w:pPr>
            <w:r>
              <w:rPr/>
              <w:t>        </w:t>
            </w:r>
            <w:r>
              <w:rPr>
                <w:sz w:val="16"/>
              </w:rPr>
              <w:t>58,610</w:t>
            </w:r>
          </w:p>
        </w:tc>
        <w:tc>
          <w:tcPr>
            <w:tcW w:w="821" w:type="dxa"/>
            <w:tcBorders>
              <w:right w:val="single" w:sz="8" w:space="0" w:color="000000"/>
            </w:tcBorders>
            <w:tcMar>
              <w:right w:w="28" w:type="dxa"/>
            </w:tcMar>
            <w:vAlign w:val="center"/>
          </w:tcPr>
          <w:p>
            <w:pPr>
              <w:pStyle w:val="TableContents"/>
              <w:bidi w:val="0"/>
              <w:spacing w:before="0" w:after="283"/>
              <w:jc w:val="center"/>
              <w:rPr>
                <w:sz w:val="16"/>
              </w:rPr>
            </w:pPr>
            <w:r>
              <w:rPr>
                <w:sz w:val="16"/>
              </w:rPr>
              <w:t>4.3%</w:t>
            </w:r>
          </w:p>
        </w:tc>
      </w:tr>
      <w:tr>
        <w:trPr/>
        <w:tc>
          <w:tcPr>
            <w:tcW w:w="2763" w:type="dxa"/>
            <w:gridSpan w:val="3"/>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left"/>
              <w:rPr>
                <w:b/>
                <w:sz w:val="16"/>
              </w:rPr>
            </w:pPr>
            <w:r>
              <w:rPr>
                <w:b/>
                <w:sz w:val="16"/>
              </w:rPr>
              <w:t>Net profit attributable to Credicorp</w:t>
            </w:r>
          </w:p>
        </w:tc>
        <w:tc>
          <w:tcPr>
            <w:tcW w:w="1115" w:type="dxa"/>
            <w:tcBorders>
              <w:bottom w:val="single" w:sz="8" w:space="0" w:color="000000"/>
            </w:tcBorders>
            <w:tcMar>
              <w:bottom w:w="28" w:type="dxa"/>
            </w:tcMar>
            <w:vAlign w:val="center"/>
          </w:tcPr>
          <w:p>
            <w:pPr>
              <w:pStyle w:val="TableContents"/>
              <w:bidi w:val="0"/>
              <w:spacing w:before="0" w:after="283"/>
              <w:jc w:val="right"/>
              <w:rPr/>
            </w:pPr>
            <w:r>
              <w:rPr/>
              <w:t>   </w:t>
            </w:r>
            <w:r>
              <w:rPr>
                <w:b/>
                <w:sz w:val="16"/>
              </w:rPr>
              <w:t>1,142,877</w:t>
            </w:r>
          </w:p>
        </w:tc>
        <w:tc>
          <w:tcPr>
            <w:tcW w:w="1115" w:type="dxa"/>
            <w:tcBorders>
              <w:bottom w:val="single" w:sz="8" w:space="0" w:color="000000"/>
            </w:tcBorders>
            <w:tcMar>
              <w:bottom w:w="28" w:type="dxa"/>
            </w:tcMar>
            <w:vAlign w:val="center"/>
          </w:tcPr>
          <w:p>
            <w:pPr>
              <w:pStyle w:val="TableContents"/>
              <w:bidi w:val="0"/>
              <w:spacing w:before="0" w:after="283"/>
              <w:jc w:val="right"/>
              <w:rPr/>
            </w:pPr>
            <w:r>
              <w:rPr/>
              <w:t>   </w:t>
            </w:r>
            <w:r>
              <w:rPr>
                <w:b/>
                <w:sz w:val="16"/>
              </w:rPr>
              <w:t>1,384,273</w:t>
            </w:r>
          </w:p>
        </w:tc>
        <w:tc>
          <w:tcPr>
            <w:tcW w:w="1115" w:type="dxa"/>
            <w:tcBorders>
              <w:bottom w:val="single" w:sz="8" w:space="0" w:color="000000"/>
            </w:tcBorders>
            <w:tcMar>
              <w:bottom w:w="28" w:type="dxa"/>
            </w:tcMar>
            <w:vAlign w:val="center"/>
          </w:tcPr>
          <w:p>
            <w:pPr>
              <w:pStyle w:val="TableContents"/>
              <w:bidi w:val="0"/>
              <w:spacing w:before="0" w:after="283"/>
              <w:jc w:val="right"/>
              <w:rPr/>
            </w:pPr>
            <w:r>
              <w:rPr/>
              <w:t>   </w:t>
            </w:r>
            <w:r>
              <w:rPr>
                <w:b/>
                <w:sz w:val="16"/>
              </w:rPr>
              <w:t>1,401,267</w:t>
            </w:r>
          </w:p>
        </w:tc>
        <w:tc>
          <w:tcPr>
            <w:tcW w:w="52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center"/>
              <w:rPr>
                <w:b/>
                <w:sz w:val="16"/>
              </w:rPr>
            </w:pPr>
            <w:r>
              <w:rPr>
                <w:b/>
                <w:sz w:val="16"/>
              </w:rPr>
              <w:t>1.2%</w:t>
            </w:r>
          </w:p>
        </w:tc>
        <w:tc>
          <w:tcPr>
            <w:tcW w:w="523"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b/>
                <w:sz w:val="16"/>
              </w:rPr>
            </w:pPr>
            <w:r>
              <w:rPr>
                <w:b/>
                <w:sz w:val="16"/>
              </w:rPr>
              <w:t>22.6%</w:t>
            </w:r>
          </w:p>
        </w:tc>
        <w:tc>
          <w:tcPr>
            <w:tcW w:w="1115" w:type="dxa"/>
            <w:tcBorders>
              <w:bottom w:val="single" w:sz="8" w:space="0" w:color="000000"/>
            </w:tcBorders>
            <w:tcMar>
              <w:bottom w:w="28" w:type="dxa"/>
            </w:tcMar>
            <w:vAlign w:val="center"/>
          </w:tcPr>
          <w:p>
            <w:pPr>
              <w:pStyle w:val="TableContents"/>
              <w:bidi w:val="0"/>
              <w:spacing w:before="0" w:after="283"/>
              <w:jc w:val="right"/>
              <w:rPr/>
            </w:pPr>
            <w:r>
              <w:rPr/>
              <w:t>   </w:t>
            </w:r>
            <w:r>
              <w:rPr>
                <w:b/>
                <w:sz w:val="16"/>
              </w:rPr>
              <w:t>2,314,754</w:t>
            </w:r>
          </w:p>
        </w:tc>
        <w:tc>
          <w:tcPr>
            <w:tcW w:w="1115" w:type="dxa"/>
            <w:tcBorders>
              <w:bottom w:val="single" w:sz="8" w:space="0" w:color="000000"/>
              <w:right w:val="single" w:sz="8" w:space="0" w:color="000000"/>
            </w:tcBorders>
            <w:tcMar>
              <w:bottom w:w="28" w:type="dxa"/>
              <w:right w:w="60" w:type="dxa"/>
            </w:tcMar>
            <w:vAlign w:val="center"/>
          </w:tcPr>
          <w:p>
            <w:pPr>
              <w:pStyle w:val="TableContents"/>
              <w:bidi w:val="0"/>
              <w:spacing w:before="0" w:after="283"/>
              <w:jc w:val="right"/>
              <w:rPr/>
            </w:pPr>
            <w:r>
              <w:rPr/>
              <w:t>   </w:t>
            </w:r>
            <w:r>
              <w:rPr>
                <w:b/>
                <w:sz w:val="16"/>
              </w:rPr>
              <w:t>2,785,540</w:t>
            </w:r>
          </w:p>
        </w:tc>
        <w:tc>
          <w:tcPr>
            <w:tcW w:w="821"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b/>
                <w:sz w:val="16"/>
              </w:rPr>
            </w:pPr>
            <w:r>
              <w:rPr>
                <w:b/>
                <w:sz w:val="16"/>
              </w:rPr>
              <w:t>20.3%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8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31" descr=""/>
                          <pic:cNvPicPr>
                            <a:picLocks noChangeAspect="1" noChangeArrowheads="1"/>
                          </pic:cNvPicPr>
                        </pic:nvPicPr>
                        <pic:blipFill>
                          <a:blip r:embed="rId150"/>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12.6.2. Credicorp Stand-alone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Credicorp Ltd.</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Separate Statement of Financal Position</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 thousands, IFRS)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4"/>
        <w:gridCol w:w="1415"/>
        <w:gridCol w:w="1415"/>
        <w:gridCol w:w="1115"/>
        <w:gridCol w:w="545"/>
        <w:gridCol w:w="593"/>
        <w:gridCol w:w="1035"/>
        <w:gridCol w:w="1025"/>
        <w:gridCol w:w="808"/>
      </w:tblGrid>
      <w:tr>
        <w:trPr/>
        <w:tc>
          <w:tcPr>
            <w:tcW w:w="2254" w:type="dxa"/>
            <w:tcBorders/>
            <w:shd w:fill="FFFFFF" w:val="clear"/>
            <w:vAlign w:val="center"/>
          </w:tcPr>
          <w:p>
            <w:pPr>
              <w:pStyle w:val="TableContents"/>
              <w:bidi w:val="0"/>
              <w:spacing w:before="0" w:after="283"/>
              <w:jc w:val="center"/>
              <w:rPr/>
            </w:pPr>
            <w:r>
              <w:rPr/>
              <w:t> </w:t>
            </w:r>
          </w:p>
        </w:tc>
        <w:tc>
          <w:tcPr>
            <w:tcW w:w="3945" w:type="dxa"/>
            <w:gridSpan w:val="3"/>
            <w:tcBorders>
              <w:top w:val="single" w:sz="8" w:space="0" w:color="000000"/>
              <w:left w:val="single" w:sz="8" w:space="0" w:color="000000"/>
            </w:tcBorders>
            <w:shd w:fill="2AD2C9" w:val="clear"/>
            <w:tcMar>
              <w:top w:w="28" w:type="dxa"/>
              <w:left w:w="28" w:type="dxa"/>
            </w:tcMar>
            <w:vAlign w:val="center"/>
          </w:tcPr>
          <w:p>
            <w:pPr>
              <w:pStyle w:val="TableContents"/>
              <w:bidi w:val="0"/>
              <w:spacing w:before="0" w:after="283"/>
              <w:jc w:val="center"/>
              <w:rPr>
                <w:b/>
                <w:color w:val="FFFFFF"/>
                <w:sz w:val="16"/>
              </w:rPr>
            </w:pPr>
            <w:r>
              <w:rPr>
                <w:b/>
                <w:color w:val="FFFFFF"/>
                <w:sz w:val="16"/>
              </w:rPr>
              <w:t>As of </w:t>
            </w:r>
          </w:p>
        </w:tc>
        <w:tc>
          <w:tcPr>
            <w:tcW w:w="1138" w:type="dxa"/>
            <w:gridSpan w:val="2"/>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103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283"/>
              <w:jc w:val="center"/>
              <w:rPr/>
            </w:pPr>
            <w:r>
              <w:rPr/>
              <w:t> </w:t>
            </w:r>
          </w:p>
        </w:tc>
        <w:tc>
          <w:tcPr>
            <w:tcW w:w="1415" w:type="dxa"/>
            <w:tcBorders>
              <w:left w:val="single" w:sz="8" w:space="0" w:color="000000"/>
              <w:bottom w:val="single" w:sz="8" w:space="0" w:color="000000"/>
            </w:tcBorders>
            <w:shd w:fill="2AD2C9" w:val="clear"/>
            <w:tcMar>
              <w:left w:w="28" w:type="dxa"/>
              <w:bottom w:w="28" w:type="dxa"/>
            </w:tcMar>
            <w:vAlign w:val="center"/>
          </w:tcPr>
          <w:p>
            <w:pPr>
              <w:pStyle w:val="TableContents"/>
              <w:bidi w:val="0"/>
              <w:spacing w:before="0" w:after="283"/>
              <w:jc w:val="center"/>
              <w:rPr>
                <w:b/>
                <w:color w:val="FFFFFF"/>
                <w:sz w:val="16"/>
              </w:rPr>
            </w:pPr>
            <w:r>
              <w:rPr>
                <w:b/>
                <w:color w:val="FFFFFF"/>
                <w:sz w:val="16"/>
              </w:rPr>
              <w:t>Jun22</w:t>
            </w:r>
          </w:p>
        </w:tc>
        <w:tc>
          <w:tcPr>
            <w:tcW w:w="1415"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Mar23</w:t>
            </w:r>
          </w:p>
        </w:tc>
        <w:tc>
          <w:tcPr>
            <w:tcW w:w="1115"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Jun23</w:t>
            </w:r>
          </w:p>
        </w:tc>
        <w:tc>
          <w:tcPr>
            <w:tcW w:w="545" w:type="dxa"/>
            <w:tcBorders>
              <w:left w:val="single" w:sz="8" w:space="0" w:color="000000"/>
              <w:bottom w:val="single" w:sz="8" w:space="0" w:color="000000"/>
            </w:tcBorders>
            <w:shd w:fill="2AD2C9" w:val="clear"/>
            <w:tcMar>
              <w:left w:w="28" w:type="dxa"/>
              <w:bottom w:w="28" w:type="dxa"/>
            </w:tcMar>
            <w:vAlign w:val="center"/>
          </w:tcPr>
          <w:p>
            <w:pPr>
              <w:pStyle w:val="TableContents"/>
              <w:bidi w:val="0"/>
              <w:spacing w:before="0" w:after="283"/>
              <w:jc w:val="center"/>
              <w:rPr>
                <w:b/>
                <w:color w:val="FFFFFF"/>
                <w:sz w:val="16"/>
              </w:rPr>
            </w:pPr>
            <w:r>
              <w:rPr>
                <w:b/>
                <w:color w:val="FFFFFF"/>
                <w:sz w:val="16"/>
              </w:rPr>
              <w:t>QoQ</w:t>
            </w:r>
          </w:p>
        </w:tc>
        <w:tc>
          <w:tcPr>
            <w:tcW w:w="593"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YoY</w:t>
            </w:r>
          </w:p>
        </w:tc>
        <w:tc>
          <w:tcPr>
            <w:tcW w:w="103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 </w:t>
            </w:r>
          </w:p>
        </w:tc>
      </w:tr>
      <w:tr>
        <w:trPr/>
        <w:tc>
          <w:tcPr>
            <w:tcW w:w="2254" w:type="dxa"/>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left"/>
              <w:rPr>
                <w:b/>
                <w:sz w:val="16"/>
              </w:rPr>
            </w:pPr>
            <w:r>
              <w:rPr>
                <w:b/>
                <w:sz w:val="16"/>
              </w:rPr>
              <w:t>ASSETS</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Cash and cash equivalents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115,612</w:t>
            </w:r>
          </w:p>
        </w:tc>
        <w:tc>
          <w:tcPr>
            <w:tcW w:w="1415" w:type="dxa"/>
            <w:tcBorders/>
            <w:shd w:fill="FFFFFF" w:val="clear"/>
            <w:vAlign w:val="center"/>
          </w:tcPr>
          <w:p>
            <w:pPr>
              <w:pStyle w:val="TableContents"/>
              <w:bidi w:val="0"/>
              <w:spacing w:before="0" w:after="283"/>
              <w:jc w:val="right"/>
              <w:rPr/>
            </w:pPr>
            <w:r>
              <w:rPr/>
              <w:t>           </w:t>
            </w:r>
            <w:r>
              <w:rPr>
                <w:sz w:val="16"/>
              </w:rPr>
              <w:t>131,218</w:t>
            </w:r>
          </w:p>
        </w:tc>
        <w:tc>
          <w:tcPr>
            <w:tcW w:w="1115" w:type="dxa"/>
            <w:tcBorders/>
            <w:shd w:fill="FFFFFF" w:val="clear"/>
            <w:vAlign w:val="center"/>
          </w:tcPr>
          <w:p>
            <w:pPr>
              <w:pStyle w:val="TableContents"/>
              <w:bidi w:val="0"/>
              <w:spacing w:before="0" w:after="283"/>
              <w:jc w:val="right"/>
              <w:rPr/>
            </w:pPr>
            <w:r>
              <w:rPr/>
              <w:t>      </w:t>
            </w:r>
            <w:r>
              <w:rPr>
                <w:sz w:val="16"/>
              </w:rPr>
              <w:t>122,665</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-6.5%</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6.1%</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At fair value through profit or loss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938,816</w:t>
            </w:r>
          </w:p>
        </w:tc>
        <w:tc>
          <w:tcPr>
            <w:tcW w:w="1415" w:type="dxa"/>
            <w:tcBorders/>
            <w:shd w:fill="FFFFFF" w:val="clear"/>
            <w:vAlign w:val="center"/>
          </w:tcPr>
          <w:p>
            <w:pPr>
              <w:pStyle w:val="TableContents"/>
              <w:bidi w:val="0"/>
              <w:spacing w:before="0" w:after="283"/>
              <w:jc w:val="right"/>
              <w:rPr/>
            </w:pPr>
            <w:r>
              <w:rPr/>
              <w:t>           </w:t>
            </w:r>
            <w:r>
              <w:rPr>
                <w:sz w:val="16"/>
              </w:rPr>
              <w:t>949,378</w:t>
            </w:r>
          </w:p>
        </w:tc>
        <w:tc>
          <w:tcPr>
            <w:tcW w:w="1115" w:type="dxa"/>
            <w:tcBorders/>
            <w:shd w:fill="FFFFFF" w:val="clear"/>
            <w:vAlign w:val="center"/>
          </w:tcPr>
          <w:p>
            <w:pPr>
              <w:pStyle w:val="TableContents"/>
              <w:bidi w:val="0"/>
              <w:spacing w:before="0" w:after="283"/>
              <w:jc w:val="right"/>
              <w:rPr/>
            </w:pPr>
            <w:r>
              <w:rPr/>
              <w:t>      </w:t>
            </w:r>
            <w:r>
              <w:rPr>
                <w:sz w:val="16"/>
              </w:rPr>
              <w:t>937,921</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-1.2%</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Fair value through other comprehensive income investments </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332,280</w:t>
            </w:r>
          </w:p>
        </w:tc>
        <w:tc>
          <w:tcPr>
            <w:tcW w:w="1415" w:type="dxa"/>
            <w:tcBorders/>
            <w:shd w:fill="FFFFFF" w:val="clear"/>
            <w:vAlign w:val="center"/>
          </w:tcPr>
          <w:p>
            <w:pPr>
              <w:pStyle w:val="TableContents"/>
              <w:bidi w:val="0"/>
              <w:spacing w:before="0" w:after="283"/>
              <w:jc w:val="right"/>
              <w:rPr/>
            </w:pPr>
            <w:r>
              <w:rPr/>
              <w:t>           </w:t>
            </w:r>
            <w:r>
              <w:rPr>
                <w:sz w:val="16"/>
              </w:rPr>
              <w:t>318,962</w:t>
            </w:r>
          </w:p>
        </w:tc>
        <w:tc>
          <w:tcPr>
            <w:tcW w:w="1115" w:type="dxa"/>
            <w:tcBorders/>
            <w:shd w:fill="FFFFFF" w:val="clear"/>
            <w:vAlign w:val="center"/>
          </w:tcPr>
          <w:p>
            <w:pPr>
              <w:pStyle w:val="TableContents"/>
              <w:bidi w:val="0"/>
              <w:spacing w:before="0" w:after="283"/>
              <w:jc w:val="right"/>
              <w:rPr/>
            </w:pPr>
            <w:r>
              <w:rPr/>
              <w:t>      </w:t>
            </w:r>
            <w:r>
              <w:rPr>
                <w:sz w:val="16"/>
              </w:rPr>
              <w:t>317,479</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-0.5%</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-4.5%</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In subsidiaries and associates investments </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31,251,710</w:t>
            </w:r>
          </w:p>
        </w:tc>
        <w:tc>
          <w:tcPr>
            <w:tcW w:w="1415" w:type="dxa"/>
            <w:tcBorders/>
            <w:shd w:fill="FFFFFF" w:val="clear"/>
            <w:vAlign w:val="center"/>
          </w:tcPr>
          <w:p>
            <w:pPr>
              <w:pStyle w:val="TableContents"/>
              <w:bidi w:val="0"/>
              <w:spacing w:before="0" w:after="283"/>
              <w:jc w:val="right"/>
              <w:rPr/>
            </w:pPr>
            <w:r>
              <w:rPr/>
              <w:t>       </w:t>
            </w:r>
            <w:r>
              <w:rPr>
                <w:sz w:val="16"/>
              </w:rPr>
              <w:t>35,207,564</w:t>
            </w:r>
          </w:p>
        </w:tc>
        <w:tc>
          <w:tcPr>
            <w:tcW w:w="1115" w:type="dxa"/>
            <w:tcBorders/>
            <w:shd w:fill="FFFFFF" w:val="clear"/>
            <w:vAlign w:val="center"/>
          </w:tcPr>
          <w:p>
            <w:pPr>
              <w:pStyle w:val="TableContents"/>
              <w:bidi w:val="0"/>
              <w:spacing w:before="0" w:after="283"/>
              <w:jc w:val="right"/>
              <w:rPr/>
            </w:pPr>
            <w:r>
              <w:rPr/>
              <w:t>  </w:t>
            </w:r>
            <w:r>
              <w:rPr>
                <w:sz w:val="16"/>
              </w:rPr>
              <w:t>34,755,621</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-1.3%</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11.2%</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Loans</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r>
              <w:rPr>
                <w:sz w:val="16"/>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0.0%</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0.0%</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Other assets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230</w:t>
            </w:r>
          </w:p>
        </w:tc>
        <w:tc>
          <w:tcPr>
            <w:tcW w:w="1415" w:type="dxa"/>
            <w:tcBorders/>
            <w:shd w:fill="FFFFFF" w:val="clear"/>
            <w:vAlign w:val="center"/>
          </w:tcPr>
          <w:p>
            <w:pPr>
              <w:pStyle w:val="TableContents"/>
              <w:bidi w:val="0"/>
              <w:spacing w:before="0" w:after="283"/>
              <w:jc w:val="right"/>
              <w:rPr/>
            </w:pPr>
            <w:r>
              <w:rPr/>
              <w:t>             </w:t>
            </w:r>
            <w:r>
              <w:rPr>
                <w:sz w:val="16"/>
              </w:rPr>
              <w:t>69,217</w:t>
            </w:r>
          </w:p>
        </w:tc>
        <w:tc>
          <w:tcPr>
            <w:tcW w:w="1115" w:type="dxa"/>
            <w:tcBorders/>
            <w:vAlign w:val="center"/>
          </w:tcPr>
          <w:p>
            <w:pPr>
              <w:pStyle w:val="TableContents"/>
              <w:bidi w:val="0"/>
              <w:spacing w:before="0" w:after="283"/>
              <w:jc w:val="right"/>
              <w:rPr/>
            </w:pPr>
            <w:r>
              <w:rPr/>
              <w:t>             </w:t>
            </w:r>
            <w:r>
              <w:rPr>
                <w:sz w:val="16"/>
              </w:rPr>
              <w:t>197</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n.a</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Assets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32,638,648</w:t>
            </w:r>
          </w:p>
        </w:tc>
        <w:tc>
          <w:tcPr>
            <w:tcW w:w="1415" w:type="dxa"/>
            <w:tcBorders/>
            <w:shd w:fill="FFFFFF" w:val="clear"/>
            <w:vAlign w:val="center"/>
          </w:tcPr>
          <w:p>
            <w:pPr>
              <w:pStyle w:val="TableContents"/>
              <w:bidi w:val="0"/>
              <w:spacing w:before="0" w:after="283"/>
              <w:jc w:val="right"/>
              <w:rPr/>
            </w:pPr>
            <w:r>
              <w:rPr/>
              <w:t>       </w:t>
            </w:r>
            <w:r>
              <w:rPr>
                <w:b/>
                <w:sz w:val="16"/>
              </w:rPr>
              <w:t>36,676,339</w:t>
            </w:r>
          </w:p>
        </w:tc>
        <w:tc>
          <w:tcPr>
            <w:tcW w:w="1115" w:type="dxa"/>
            <w:tcBorders/>
            <w:shd w:fill="FFFFFF" w:val="clear"/>
            <w:vAlign w:val="center"/>
          </w:tcPr>
          <w:p>
            <w:pPr>
              <w:pStyle w:val="TableContents"/>
              <w:bidi w:val="0"/>
              <w:spacing w:before="0" w:after="283"/>
              <w:jc w:val="right"/>
              <w:rPr/>
            </w:pPr>
            <w:r>
              <w:rPr/>
              <w:t>  </w:t>
            </w:r>
            <w:r>
              <w:rPr>
                <w:b/>
                <w:sz w:val="16"/>
              </w:rPr>
              <w:t>36,133,883</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-1.5%</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10.7%</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LIABILITIES AND NET SHAREHOLDERS’ EQUITY</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Due to banks, correspondents and other entities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240,996</w:t>
            </w:r>
          </w:p>
        </w:tc>
        <w:tc>
          <w:tcPr>
            <w:tcW w:w="1415" w:type="dxa"/>
            <w:tcBorders/>
            <w:shd w:fill="FFFFFF" w:val="clear"/>
            <w:vAlign w:val="center"/>
          </w:tcPr>
          <w:p>
            <w:pPr>
              <w:pStyle w:val="TableContents"/>
              <w:bidi w:val="0"/>
              <w:spacing w:before="0" w:after="283"/>
              <w:jc w:val="left"/>
              <w:rPr/>
            </w:pPr>
            <w:r>
              <w:rPr/>
              <w:t>                    </w:t>
            </w:r>
            <w:r>
              <w:rPr>
                <w:sz w:val="16"/>
              </w:rPr>
              <w:t>-   </w:t>
            </w:r>
          </w:p>
        </w:tc>
        <w:tc>
          <w:tcPr>
            <w:tcW w:w="1115" w:type="dxa"/>
            <w:tcBorders/>
            <w:shd w:fill="FFFFFF" w:val="clear"/>
            <w:vAlign w:val="center"/>
          </w:tcPr>
          <w:p>
            <w:pPr>
              <w:pStyle w:val="TableContents"/>
              <w:bidi w:val="0"/>
              <w:spacing w:before="0" w:after="283"/>
              <w:jc w:val="left"/>
              <w:rPr/>
            </w:pPr>
            <w:r>
              <w:rPr/>
              <w:t>               </w:t>
            </w:r>
            <w:r>
              <w:rPr>
                <w:sz w:val="16"/>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n.a.</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Dividends payable</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r>
              <w:rPr>
                <w:sz w:val="16"/>
              </w:rPr>
              <w:t>-   </w:t>
            </w:r>
          </w:p>
        </w:tc>
        <w:tc>
          <w:tcPr>
            <w:tcW w:w="1415" w:type="dxa"/>
            <w:tcBorders/>
            <w:shd w:fill="FFFFFF" w:val="clear"/>
            <w:vAlign w:val="center"/>
          </w:tcPr>
          <w:p>
            <w:pPr>
              <w:pStyle w:val="TableContents"/>
              <w:bidi w:val="0"/>
              <w:spacing w:before="0" w:after="283"/>
              <w:jc w:val="left"/>
              <w:rPr/>
            </w:pPr>
            <w:r>
              <w:rPr/>
              <w:t>                    </w:t>
            </w:r>
            <w:r>
              <w:rPr>
                <w:sz w:val="16"/>
              </w:rPr>
              <w:t>-   </w:t>
            </w:r>
          </w:p>
        </w:tc>
        <w:tc>
          <w:tcPr>
            <w:tcW w:w="1115" w:type="dxa"/>
            <w:tcBorders/>
            <w:shd w:fill="FFFFFF" w:val="clear"/>
            <w:vAlign w:val="center"/>
          </w:tcPr>
          <w:p>
            <w:pPr>
              <w:pStyle w:val="TableContents"/>
              <w:bidi w:val="0"/>
              <w:spacing w:before="0" w:after="283"/>
              <w:jc w:val="left"/>
              <w:rPr/>
            </w:pPr>
            <w:r>
              <w:rPr/>
              <w:t>               </w:t>
            </w:r>
            <w:r>
              <w:rPr>
                <w:sz w:val="16"/>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#DIV/0!</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#DIV/0!</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Bonds and notes issued</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1,901,462</w:t>
            </w:r>
          </w:p>
        </w:tc>
        <w:tc>
          <w:tcPr>
            <w:tcW w:w="1415" w:type="dxa"/>
            <w:tcBorders/>
            <w:shd w:fill="FFFFFF" w:val="clear"/>
            <w:vAlign w:val="center"/>
          </w:tcPr>
          <w:p>
            <w:pPr>
              <w:pStyle w:val="TableContents"/>
              <w:bidi w:val="0"/>
              <w:spacing w:before="0" w:after="283"/>
              <w:jc w:val="right"/>
              <w:rPr/>
            </w:pPr>
            <w:r>
              <w:rPr/>
              <w:t>         </w:t>
            </w:r>
            <w:r>
              <w:rPr>
                <w:sz w:val="16"/>
              </w:rPr>
              <w:t>1,885,839</w:t>
            </w:r>
          </w:p>
        </w:tc>
        <w:tc>
          <w:tcPr>
            <w:tcW w:w="1115" w:type="dxa"/>
            <w:tcBorders/>
            <w:shd w:fill="FFFFFF" w:val="clear"/>
            <w:vAlign w:val="center"/>
          </w:tcPr>
          <w:p>
            <w:pPr>
              <w:pStyle w:val="TableContents"/>
              <w:bidi w:val="0"/>
              <w:spacing w:before="0" w:after="283"/>
              <w:jc w:val="right"/>
              <w:rPr/>
            </w:pPr>
            <w:r>
              <w:rPr/>
              <w:t>   </w:t>
            </w:r>
            <w:r>
              <w:rPr>
                <w:sz w:val="16"/>
              </w:rPr>
              <w:t>1,803,725</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-4.4%</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-5.1%</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Other liabilities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164,451</w:t>
            </w:r>
          </w:p>
        </w:tc>
        <w:tc>
          <w:tcPr>
            <w:tcW w:w="1415" w:type="dxa"/>
            <w:tcBorders/>
            <w:shd w:fill="FFFFFF" w:val="clear"/>
            <w:vAlign w:val="center"/>
          </w:tcPr>
          <w:p>
            <w:pPr>
              <w:pStyle w:val="TableContents"/>
              <w:bidi w:val="0"/>
              <w:spacing w:before="0" w:after="283"/>
              <w:jc w:val="right"/>
              <w:rPr/>
            </w:pPr>
            <w:r>
              <w:rPr/>
              <w:t>           </w:t>
            </w:r>
            <w:r>
              <w:rPr>
                <w:sz w:val="16"/>
              </w:rPr>
              <w:t>267,558</w:t>
            </w:r>
          </w:p>
        </w:tc>
        <w:tc>
          <w:tcPr>
            <w:tcW w:w="1115" w:type="dxa"/>
            <w:tcBorders/>
            <w:shd w:fill="FFFFFF" w:val="clear"/>
            <w:vAlign w:val="center"/>
          </w:tcPr>
          <w:p>
            <w:pPr>
              <w:pStyle w:val="TableContents"/>
              <w:bidi w:val="0"/>
              <w:spacing w:before="0" w:after="283"/>
              <w:jc w:val="right"/>
              <w:rPr/>
            </w:pPr>
            <w:r>
              <w:rPr/>
              <w:t>      </w:t>
            </w:r>
            <w:r>
              <w:rPr>
                <w:sz w:val="16"/>
              </w:rPr>
              <w:t>161,170</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-39.8%</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-2.0%</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Liabilities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2,306,909</w:t>
            </w:r>
          </w:p>
        </w:tc>
        <w:tc>
          <w:tcPr>
            <w:tcW w:w="1415" w:type="dxa"/>
            <w:tcBorders/>
            <w:shd w:fill="FFFFFF" w:val="clear"/>
            <w:vAlign w:val="center"/>
          </w:tcPr>
          <w:p>
            <w:pPr>
              <w:pStyle w:val="TableContents"/>
              <w:bidi w:val="0"/>
              <w:spacing w:before="0" w:after="283"/>
              <w:jc w:val="right"/>
              <w:rPr/>
            </w:pPr>
            <w:r>
              <w:rPr/>
              <w:t>         </w:t>
            </w:r>
            <w:r>
              <w:rPr>
                <w:b/>
                <w:sz w:val="16"/>
              </w:rPr>
              <w:t>2,153,397</w:t>
            </w:r>
          </w:p>
        </w:tc>
        <w:tc>
          <w:tcPr>
            <w:tcW w:w="1115" w:type="dxa"/>
            <w:tcBorders/>
            <w:shd w:fill="FFFFFF" w:val="clear"/>
            <w:vAlign w:val="center"/>
          </w:tcPr>
          <w:p>
            <w:pPr>
              <w:pStyle w:val="TableContents"/>
              <w:bidi w:val="0"/>
              <w:spacing w:before="0" w:after="283"/>
              <w:jc w:val="right"/>
              <w:rPr/>
            </w:pPr>
            <w:r>
              <w:rPr/>
              <w:t>   </w:t>
            </w:r>
            <w:r>
              <w:rPr>
                <w:b/>
                <w:sz w:val="16"/>
              </w:rPr>
              <w:t>1,964,895</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-8.8%</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-14.8%</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NET EQUITY</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Capital stock</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1,318,993</w:t>
            </w:r>
          </w:p>
        </w:tc>
        <w:tc>
          <w:tcPr>
            <w:tcW w:w="1415" w:type="dxa"/>
            <w:tcBorders/>
            <w:shd w:fill="FFFFFF" w:val="clear"/>
            <w:vAlign w:val="center"/>
          </w:tcPr>
          <w:p>
            <w:pPr>
              <w:pStyle w:val="TableContents"/>
              <w:bidi w:val="0"/>
              <w:spacing w:before="0" w:after="283"/>
              <w:jc w:val="right"/>
              <w:rPr/>
            </w:pPr>
            <w:r>
              <w:rPr/>
              <w:t>         </w:t>
            </w:r>
            <w:r>
              <w:rPr>
                <w:sz w:val="16"/>
              </w:rPr>
              <w:t>1,318,993</w:t>
            </w:r>
          </w:p>
        </w:tc>
        <w:tc>
          <w:tcPr>
            <w:tcW w:w="1115" w:type="dxa"/>
            <w:tcBorders/>
            <w:shd w:fill="FFFFFF" w:val="clear"/>
            <w:vAlign w:val="center"/>
          </w:tcPr>
          <w:p>
            <w:pPr>
              <w:pStyle w:val="TableContents"/>
              <w:bidi w:val="0"/>
              <w:spacing w:before="0" w:after="283"/>
              <w:jc w:val="right"/>
              <w:rPr/>
            </w:pPr>
            <w:r>
              <w:rPr/>
              <w:t>   </w:t>
            </w:r>
            <w:r>
              <w:rPr>
                <w:sz w:val="16"/>
              </w:rPr>
              <w:t>1,318,993</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0.0%</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0.0%</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Capital Surplus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384,542</w:t>
            </w:r>
          </w:p>
        </w:tc>
        <w:tc>
          <w:tcPr>
            <w:tcW w:w="1415" w:type="dxa"/>
            <w:tcBorders/>
            <w:shd w:fill="FFFFFF" w:val="clear"/>
            <w:vAlign w:val="center"/>
          </w:tcPr>
          <w:p>
            <w:pPr>
              <w:pStyle w:val="TableContents"/>
              <w:bidi w:val="0"/>
              <w:spacing w:before="0" w:after="283"/>
              <w:jc w:val="right"/>
              <w:rPr/>
            </w:pPr>
            <w:r>
              <w:rPr/>
              <w:t>           </w:t>
            </w:r>
            <w:r>
              <w:rPr>
                <w:sz w:val="16"/>
              </w:rPr>
              <w:t>384,542</w:t>
            </w:r>
          </w:p>
        </w:tc>
        <w:tc>
          <w:tcPr>
            <w:tcW w:w="1115" w:type="dxa"/>
            <w:tcBorders/>
            <w:shd w:fill="FFFFFF" w:val="clear"/>
            <w:vAlign w:val="center"/>
          </w:tcPr>
          <w:p>
            <w:pPr>
              <w:pStyle w:val="TableContents"/>
              <w:bidi w:val="0"/>
              <w:spacing w:before="0" w:after="283"/>
              <w:jc w:val="right"/>
              <w:rPr/>
            </w:pPr>
            <w:r>
              <w:rPr/>
              <w:t>      </w:t>
            </w:r>
            <w:r>
              <w:rPr>
                <w:sz w:val="16"/>
              </w:rPr>
              <w:t>384,542</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0.0%</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0.0%</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Reserve</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23,300,350</w:t>
            </w:r>
          </w:p>
        </w:tc>
        <w:tc>
          <w:tcPr>
            <w:tcW w:w="1415" w:type="dxa"/>
            <w:tcBorders/>
            <w:shd w:fill="FFFFFF" w:val="clear"/>
            <w:vAlign w:val="center"/>
          </w:tcPr>
          <w:p>
            <w:pPr>
              <w:pStyle w:val="TableContents"/>
              <w:bidi w:val="0"/>
              <w:spacing w:before="0" w:after="283"/>
              <w:jc w:val="right"/>
              <w:rPr/>
            </w:pPr>
            <w:r>
              <w:rPr/>
              <w:t>       </w:t>
            </w:r>
            <w:r>
              <w:rPr>
                <w:sz w:val="16"/>
              </w:rPr>
              <w:t>23,300,350</w:t>
            </w:r>
          </w:p>
        </w:tc>
        <w:tc>
          <w:tcPr>
            <w:tcW w:w="1115" w:type="dxa"/>
            <w:tcBorders/>
            <w:shd w:fill="FFFFFF" w:val="clear"/>
            <w:vAlign w:val="center"/>
          </w:tcPr>
          <w:p>
            <w:pPr>
              <w:pStyle w:val="TableContents"/>
              <w:bidi w:val="0"/>
              <w:spacing w:before="0" w:after="283"/>
              <w:jc w:val="right"/>
              <w:rPr/>
            </w:pPr>
            <w:r>
              <w:rPr/>
              <w:t>  </w:t>
            </w:r>
            <w:r>
              <w:rPr>
                <w:sz w:val="16"/>
              </w:rPr>
              <w:t>25,905,604</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11.2%</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11.2%</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Unrealized results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(1,285,376)</w:t>
            </w:r>
          </w:p>
        </w:tc>
        <w:tc>
          <w:tcPr>
            <w:tcW w:w="1415" w:type="dxa"/>
            <w:tcBorders/>
            <w:shd w:fill="FFFFFF" w:val="clear"/>
            <w:vAlign w:val="center"/>
          </w:tcPr>
          <w:p>
            <w:pPr>
              <w:pStyle w:val="TableContents"/>
              <w:bidi w:val="0"/>
              <w:spacing w:before="0" w:after="283"/>
              <w:jc w:val="right"/>
              <w:rPr/>
            </w:pPr>
            <w:r>
              <w:rPr/>
              <w:t>          </w:t>
            </w:r>
            <w:r>
              <w:rPr>
                <w:sz w:val="16"/>
              </w:rPr>
              <w:t>(592,006)</w:t>
            </w:r>
          </w:p>
        </w:tc>
        <w:tc>
          <w:tcPr>
            <w:tcW w:w="1115" w:type="dxa"/>
            <w:tcBorders/>
            <w:shd w:fill="FFFFFF" w:val="clear"/>
            <w:vAlign w:val="center"/>
          </w:tcPr>
          <w:p>
            <w:pPr>
              <w:pStyle w:val="TableContents"/>
              <w:bidi w:val="0"/>
              <w:spacing w:before="0" w:after="283"/>
              <w:jc w:val="right"/>
              <w:rPr/>
            </w:pPr>
            <w:r>
              <w:rPr/>
              <w:t>     </w:t>
            </w:r>
            <w:r>
              <w:rPr>
                <w:sz w:val="16"/>
              </w:rPr>
              <w:t>(362,199)</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-38.8%</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Retained earnings</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6,613,230</w:t>
            </w:r>
          </w:p>
        </w:tc>
        <w:tc>
          <w:tcPr>
            <w:tcW w:w="1415" w:type="dxa"/>
            <w:tcBorders/>
            <w:shd w:fill="FFFFFF" w:val="clear"/>
            <w:vAlign w:val="center"/>
          </w:tcPr>
          <w:p>
            <w:pPr>
              <w:pStyle w:val="TableContents"/>
              <w:bidi w:val="0"/>
              <w:spacing w:before="0" w:after="283"/>
              <w:jc w:val="right"/>
              <w:rPr/>
            </w:pPr>
            <w:r>
              <w:rPr/>
              <w:t>       </w:t>
            </w:r>
            <w:r>
              <w:rPr>
                <w:sz w:val="16"/>
              </w:rPr>
              <w:t>10,111,063</w:t>
            </w:r>
          </w:p>
        </w:tc>
        <w:tc>
          <w:tcPr>
            <w:tcW w:w="1115" w:type="dxa"/>
            <w:tcBorders/>
            <w:shd w:fill="FFFFFF" w:val="clear"/>
            <w:vAlign w:val="center"/>
          </w:tcPr>
          <w:p>
            <w:pPr>
              <w:pStyle w:val="TableContents"/>
              <w:bidi w:val="0"/>
              <w:spacing w:before="0" w:after="283"/>
              <w:jc w:val="right"/>
              <w:rPr/>
            </w:pPr>
            <w:r>
              <w:rPr/>
              <w:t>   </w:t>
            </w:r>
            <w:r>
              <w:rPr>
                <w:sz w:val="16"/>
              </w:rPr>
              <w:t>6,922,048</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-31.5%</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4.7%</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net equity</w:t>
            </w:r>
          </w:p>
        </w:tc>
        <w:tc>
          <w:tcPr>
            <w:tcW w:w="1415"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30,331,739</w:t>
            </w:r>
          </w:p>
        </w:tc>
        <w:tc>
          <w:tcPr>
            <w:tcW w:w="1415" w:type="dxa"/>
            <w:tcBorders/>
            <w:shd w:fill="FFFFFF" w:val="clear"/>
            <w:vAlign w:val="center"/>
          </w:tcPr>
          <w:p>
            <w:pPr>
              <w:pStyle w:val="TableContents"/>
              <w:bidi w:val="0"/>
              <w:spacing w:before="0" w:after="283"/>
              <w:jc w:val="right"/>
              <w:rPr/>
            </w:pPr>
            <w:r>
              <w:rPr/>
              <w:t>       </w:t>
            </w:r>
            <w:r>
              <w:rPr>
                <w:b/>
                <w:sz w:val="16"/>
              </w:rPr>
              <w:t>34,522,942</w:t>
            </w:r>
          </w:p>
        </w:tc>
        <w:tc>
          <w:tcPr>
            <w:tcW w:w="1115" w:type="dxa"/>
            <w:tcBorders/>
            <w:shd w:fill="FFFFFF" w:val="clear"/>
            <w:vAlign w:val="center"/>
          </w:tcPr>
          <w:p>
            <w:pPr>
              <w:pStyle w:val="TableContents"/>
              <w:bidi w:val="0"/>
              <w:spacing w:before="0" w:after="283"/>
              <w:jc w:val="right"/>
              <w:rPr/>
            </w:pPr>
            <w:r>
              <w:rPr/>
              <w:t>  </w:t>
            </w:r>
            <w:r>
              <w:rPr>
                <w:b/>
                <w:sz w:val="16"/>
              </w:rPr>
              <w:t>34,168,988</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-1.0%</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12.7%</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b/>
                <w:sz w:val="16"/>
              </w:rPr>
            </w:pPr>
            <w:r>
              <w:rPr>
                <w:b/>
                <w:sz w:val="16"/>
              </w:rPr>
              <w:t>Total Liabilities And Equity</w:t>
            </w:r>
          </w:p>
        </w:tc>
        <w:tc>
          <w:tcPr>
            <w:tcW w:w="1415"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right"/>
              <w:rPr/>
            </w:pPr>
            <w:r>
              <w:rPr/>
              <w:t>       </w:t>
            </w:r>
            <w:r>
              <w:rPr>
                <w:b/>
                <w:sz w:val="16"/>
              </w:rPr>
              <w:t>32,638,648</w:t>
            </w:r>
          </w:p>
        </w:tc>
        <w:tc>
          <w:tcPr>
            <w:tcW w:w="1415" w:type="dxa"/>
            <w:tcBorders>
              <w:bottom w:val="single" w:sz="8" w:space="0" w:color="000000"/>
            </w:tcBorders>
            <w:tcMar>
              <w:bottom w:w="28" w:type="dxa"/>
            </w:tcMar>
            <w:vAlign w:val="center"/>
          </w:tcPr>
          <w:p>
            <w:pPr>
              <w:pStyle w:val="TableContents"/>
              <w:bidi w:val="0"/>
              <w:spacing w:before="0" w:after="283"/>
              <w:jc w:val="right"/>
              <w:rPr/>
            </w:pPr>
            <w:r>
              <w:rPr/>
              <w:t>       </w:t>
            </w:r>
            <w:r>
              <w:rPr>
                <w:b/>
                <w:sz w:val="16"/>
              </w:rPr>
              <w:t>36,676,339</w:t>
            </w:r>
          </w:p>
        </w:tc>
        <w:tc>
          <w:tcPr>
            <w:tcW w:w="1115" w:type="dxa"/>
            <w:tcBorders>
              <w:bottom w:val="single" w:sz="8" w:space="0" w:color="000000"/>
            </w:tcBorders>
            <w:tcMar>
              <w:bottom w:w="28" w:type="dxa"/>
            </w:tcMar>
            <w:vAlign w:val="center"/>
          </w:tcPr>
          <w:p>
            <w:pPr>
              <w:pStyle w:val="TableContents"/>
              <w:bidi w:val="0"/>
              <w:spacing w:before="0" w:after="283"/>
              <w:jc w:val="right"/>
              <w:rPr/>
            </w:pPr>
            <w:r>
              <w:rPr/>
              <w:t>  </w:t>
            </w:r>
            <w:r>
              <w:rPr>
                <w:b/>
                <w:sz w:val="16"/>
              </w:rPr>
              <w:t>36,133,883</w:t>
            </w:r>
          </w:p>
        </w:tc>
        <w:tc>
          <w:tcPr>
            <w:tcW w:w="545"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center"/>
              <w:rPr>
                <w:b/>
                <w:sz w:val="16"/>
              </w:rPr>
            </w:pPr>
            <w:r>
              <w:rPr>
                <w:b/>
                <w:sz w:val="16"/>
              </w:rPr>
              <w:t>-1.5%</w:t>
            </w:r>
          </w:p>
        </w:tc>
        <w:tc>
          <w:tcPr>
            <w:tcW w:w="593"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b/>
                <w:sz w:val="16"/>
              </w:rPr>
            </w:pPr>
            <w:r>
              <w:rPr>
                <w:b/>
                <w:sz w:val="16"/>
              </w:rPr>
              <w:t>10.7%</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shd w:fill="FFFFFF" w:val="clear"/>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shd w:fill="FFFFFF" w:val="clear"/>
            <w:vAlign w:val="center"/>
          </w:tcPr>
          <w:p>
            <w:pPr>
              <w:pStyle w:val="TableContents"/>
              <w:bidi w:val="0"/>
              <w:spacing w:before="0" w:after="283"/>
              <w:jc w:val="left"/>
              <w:rPr/>
            </w:pPr>
            <w:r>
              <w:rPr/>
              <w:t> </w:t>
            </w:r>
          </w:p>
        </w:tc>
        <w:tc>
          <w:tcPr>
            <w:tcW w:w="3945" w:type="dxa"/>
            <w:gridSpan w:val="3"/>
            <w:tcBorders>
              <w:top w:val="single" w:sz="8" w:space="0" w:color="000000"/>
              <w:left w:val="single" w:sz="8" w:space="0" w:color="000000"/>
            </w:tcBorders>
            <w:shd w:fill="2AD2C9" w:val="clear"/>
            <w:tcMar>
              <w:top w:w="28" w:type="dxa"/>
              <w:left w:w="28" w:type="dxa"/>
            </w:tcMar>
            <w:vAlign w:val="center"/>
          </w:tcPr>
          <w:p>
            <w:pPr>
              <w:pStyle w:val="TableContents"/>
              <w:bidi w:val="0"/>
              <w:spacing w:before="0" w:after="283"/>
              <w:jc w:val="center"/>
              <w:rPr>
                <w:b/>
                <w:color w:val="FFFFFF"/>
                <w:sz w:val="16"/>
              </w:rPr>
            </w:pPr>
            <w:r>
              <w:rPr>
                <w:b/>
                <w:color w:val="FFFFFF"/>
                <w:sz w:val="16"/>
              </w:rPr>
              <w:t>Quarter</w:t>
            </w:r>
          </w:p>
        </w:tc>
        <w:tc>
          <w:tcPr>
            <w:tcW w:w="1138" w:type="dxa"/>
            <w:gridSpan w:val="2"/>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2060" w:type="dxa"/>
            <w:gridSpan w:val="2"/>
            <w:tcBorders>
              <w:top w:val="single" w:sz="8" w:space="0" w:color="000000"/>
              <w:right w:val="single" w:sz="8" w:space="0" w:color="000000"/>
            </w:tcBorders>
            <w:shd w:fill="2AD2C9" w:val="clear"/>
            <w:tcMar>
              <w:top w:w="28" w:type="dxa"/>
              <w:right w:w="60" w:type="dxa"/>
            </w:tcMar>
            <w:vAlign w:val="center"/>
          </w:tcPr>
          <w:p>
            <w:pPr>
              <w:pStyle w:val="TableContents"/>
              <w:bidi w:val="0"/>
              <w:spacing w:before="0" w:after="283"/>
              <w:jc w:val="center"/>
              <w:rPr>
                <w:b/>
                <w:color w:val="FFFFFF"/>
                <w:sz w:val="16"/>
              </w:rPr>
            </w:pPr>
            <w:r>
              <w:rPr>
                <w:b/>
                <w:color w:val="FFFFFF"/>
                <w:sz w:val="16"/>
              </w:rPr>
              <w:t>As of</w:t>
            </w:r>
          </w:p>
        </w:tc>
        <w:tc>
          <w:tcPr>
            <w:tcW w:w="808" w:type="dxa"/>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2254" w:type="dxa"/>
            <w:tcBorders/>
            <w:shd w:fill="FFFFFF" w:val="clear"/>
            <w:vAlign w:val="center"/>
          </w:tcPr>
          <w:p>
            <w:pPr>
              <w:pStyle w:val="TableContents"/>
              <w:bidi w:val="0"/>
              <w:spacing w:before="0" w:after="283"/>
              <w:jc w:val="left"/>
              <w:rPr/>
            </w:pPr>
            <w:r>
              <w:rPr/>
              <w:t> </w:t>
            </w:r>
          </w:p>
        </w:tc>
        <w:tc>
          <w:tcPr>
            <w:tcW w:w="1415"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2Q22</w:t>
            </w:r>
          </w:p>
        </w:tc>
        <w:tc>
          <w:tcPr>
            <w:tcW w:w="1415" w:type="dxa"/>
            <w:tcBorders/>
            <w:shd w:fill="2AD2C9" w:val="clear"/>
            <w:vAlign w:val="center"/>
          </w:tcPr>
          <w:p>
            <w:pPr>
              <w:pStyle w:val="TableContents"/>
              <w:bidi w:val="0"/>
              <w:spacing w:before="0" w:after="283"/>
              <w:jc w:val="center"/>
              <w:rPr>
                <w:b/>
                <w:color w:val="FFFFFF"/>
                <w:sz w:val="16"/>
              </w:rPr>
            </w:pPr>
            <w:r>
              <w:rPr>
                <w:b/>
                <w:color w:val="FFFFFF"/>
                <w:sz w:val="16"/>
              </w:rPr>
              <w:t>1Q23</w:t>
            </w:r>
          </w:p>
        </w:tc>
        <w:tc>
          <w:tcPr>
            <w:tcW w:w="1115" w:type="dxa"/>
            <w:tcBorders/>
            <w:shd w:fill="2AD2C9" w:val="clear"/>
            <w:vAlign w:val="center"/>
          </w:tcPr>
          <w:p>
            <w:pPr>
              <w:pStyle w:val="TableContents"/>
              <w:bidi w:val="0"/>
              <w:spacing w:before="0" w:after="283"/>
              <w:jc w:val="center"/>
              <w:rPr>
                <w:b/>
                <w:color w:val="FFFFFF"/>
                <w:sz w:val="16"/>
              </w:rPr>
            </w:pPr>
            <w:r>
              <w:rPr>
                <w:b/>
                <w:color w:val="FFFFFF"/>
                <w:sz w:val="16"/>
              </w:rPr>
              <w:t>2Q23</w:t>
            </w:r>
          </w:p>
        </w:tc>
        <w:tc>
          <w:tcPr>
            <w:tcW w:w="545"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QoQ</w:t>
            </w:r>
          </w:p>
        </w:tc>
        <w:tc>
          <w:tcPr>
            <w:tcW w:w="593" w:type="dxa"/>
            <w:tcBorders>
              <w:right w:val="single" w:sz="8" w:space="0" w:color="000000"/>
            </w:tcBorders>
            <w:shd w:fill="2AD2C9" w:val="clear"/>
            <w:tcMar>
              <w:right w:w="28" w:type="dxa"/>
            </w:tcMar>
            <w:vAlign w:val="center"/>
          </w:tcPr>
          <w:p>
            <w:pPr>
              <w:pStyle w:val="TableContents"/>
              <w:bidi w:val="0"/>
              <w:spacing w:before="0" w:after="283"/>
              <w:jc w:val="center"/>
              <w:rPr>
                <w:b/>
                <w:color w:val="FFFFFF"/>
                <w:sz w:val="16"/>
              </w:rPr>
            </w:pPr>
            <w:r>
              <w:rPr>
                <w:b/>
                <w:color w:val="FFFFFF"/>
                <w:sz w:val="16"/>
              </w:rPr>
              <w:t>YoY</w:t>
            </w:r>
          </w:p>
        </w:tc>
        <w:tc>
          <w:tcPr>
            <w:tcW w:w="1035" w:type="dxa"/>
            <w:tcBorders/>
            <w:shd w:fill="2AD2C9" w:val="clear"/>
            <w:vAlign w:val="center"/>
          </w:tcPr>
          <w:p>
            <w:pPr>
              <w:pStyle w:val="TableContents"/>
              <w:bidi w:val="0"/>
              <w:spacing w:before="0" w:after="283"/>
              <w:jc w:val="center"/>
              <w:rPr>
                <w:b/>
                <w:color w:val="FFFFFF"/>
                <w:sz w:val="16"/>
              </w:rPr>
            </w:pPr>
            <w:r>
              <w:rPr>
                <w:b/>
                <w:color w:val="FFFFFF"/>
                <w:sz w:val="16"/>
              </w:rPr>
              <w:t>1H22</w:t>
            </w:r>
          </w:p>
        </w:tc>
        <w:tc>
          <w:tcPr>
            <w:tcW w:w="1025" w:type="dxa"/>
            <w:tcBorders>
              <w:right w:val="single" w:sz="8" w:space="0" w:color="000000"/>
            </w:tcBorders>
            <w:shd w:fill="2AD2C9" w:val="clear"/>
            <w:tcMar>
              <w:right w:w="60" w:type="dxa"/>
            </w:tcMar>
            <w:vAlign w:val="center"/>
          </w:tcPr>
          <w:p>
            <w:pPr>
              <w:pStyle w:val="TableContents"/>
              <w:bidi w:val="0"/>
              <w:spacing w:before="0" w:after="283"/>
              <w:jc w:val="center"/>
              <w:rPr>
                <w:b/>
                <w:color w:val="FFFFFF"/>
                <w:sz w:val="16"/>
              </w:rPr>
            </w:pPr>
            <w:r>
              <w:rPr>
                <w:b/>
                <w:color w:val="FFFFFF"/>
                <w:sz w:val="16"/>
              </w:rPr>
              <w:t>1H23</w:t>
            </w:r>
          </w:p>
        </w:tc>
        <w:tc>
          <w:tcPr>
            <w:tcW w:w="808" w:type="dxa"/>
            <w:tcBorders>
              <w:right w:val="single" w:sz="8" w:space="0" w:color="000000"/>
            </w:tcBorders>
            <w:shd w:fill="2AD2C9" w:val="clear"/>
            <w:tcMar>
              <w:right w:w="28" w:type="dxa"/>
            </w:tcMar>
            <w:vAlign w:val="center"/>
          </w:tcPr>
          <w:p>
            <w:pPr>
              <w:pStyle w:val="TableContents"/>
              <w:bidi w:val="0"/>
              <w:spacing w:before="0" w:after="283"/>
              <w:jc w:val="center"/>
              <w:rPr>
                <w:b/>
                <w:color w:val="FFFFFF"/>
                <w:sz w:val="16"/>
              </w:rPr>
            </w:pPr>
            <w:r>
              <w:rPr>
                <w:b/>
                <w:color w:val="FFFFFF"/>
                <w:sz w:val="16"/>
              </w:rPr>
              <w:t>1H23/1H22</w:t>
            </w:r>
          </w:p>
        </w:tc>
      </w:tr>
      <w:tr>
        <w:trPr/>
        <w:tc>
          <w:tcPr>
            <w:tcW w:w="2254" w:type="dxa"/>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bidi w:val="0"/>
              <w:spacing w:before="0" w:after="283"/>
              <w:jc w:val="left"/>
              <w:rPr>
                <w:b/>
                <w:sz w:val="16"/>
              </w:rPr>
            </w:pPr>
            <w:r>
              <w:rPr>
                <w:b/>
                <w:sz w:val="16"/>
              </w:rPr>
              <w:t>Interest income</w:t>
            </w:r>
          </w:p>
        </w:tc>
        <w:tc>
          <w:tcPr>
            <w:tcW w:w="1415" w:type="dxa"/>
            <w:tcBorders>
              <w:top w:val="single" w:sz="8" w:space="0" w:color="000000"/>
            </w:tcBorders>
            <w:shd w:fill="FFFFFF" w:val="clear"/>
            <w:tcMar>
              <w:top w:w="28" w:type="dxa"/>
            </w:tcMar>
            <w:vAlign w:val="center"/>
          </w:tcPr>
          <w:p>
            <w:pPr>
              <w:pStyle w:val="TableContents"/>
              <w:bidi w:val="0"/>
              <w:spacing w:before="0" w:after="283"/>
              <w:jc w:val="right"/>
              <w:rPr/>
            </w:pPr>
            <w:r>
              <w:rPr/>
              <w:t> </w:t>
            </w:r>
          </w:p>
        </w:tc>
        <w:tc>
          <w:tcPr>
            <w:tcW w:w="1415" w:type="dxa"/>
            <w:tcBorders>
              <w:top w:val="single" w:sz="8" w:space="0" w:color="000000"/>
            </w:tcBorders>
            <w:shd w:fill="FFFFFF" w:val="clear"/>
            <w:tcMar>
              <w:top w:w="28" w:type="dxa"/>
            </w:tcMar>
            <w:vAlign w:val="center"/>
          </w:tcPr>
          <w:p>
            <w:pPr>
              <w:pStyle w:val="TableContents"/>
              <w:bidi w:val="0"/>
              <w:spacing w:before="0" w:after="283"/>
              <w:jc w:val="right"/>
              <w:rPr/>
            </w:pPr>
            <w:r>
              <w:rPr/>
              <w:t> </w:t>
            </w:r>
          </w:p>
        </w:tc>
        <w:tc>
          <w:tcPr>
            <w:tcW w:w="1115" w:type="dxa"/>
            <w:tcBorders>
              <w:top w:val="single" w:sz="8" w:space="0" w:color="000000"/>
              <w:right w:val="single" w:sz="8" w:space="0" w:color="000000"/>
            </w:tcBorders>
            <w:shd w:fill="FFFFFF" w:val="clear"/>
            <w:tcMar>
              <w:top w:w="28" w:type="dxa"/>
              <w:right w:w="60" w:type="dxa"/>
            </w:tcMar>
            <w:vAlign w:val="center"/>
          </w:tcPr>
          <w:p>
            <w:pPr>
              <w:pStyle w:val="TableContents"/>
              <w:bidi w:val="0"/>
              <w:spacing w:before="0" w:after="283"/>
              <w:jc w:val="right"/>
              <w:rPr/>
            </w:pPr>
            <w:r>
              <w:rPr/>
              <w:t> </w:t>
            </w:r>
          </w:p>
        </w:tc>
        <w:tc>
          <w:tcPr>
            <w:tcW w:w="545" w:type="dxa"/>
            <w:tcBorders>
              <w:top w:val="single" w:sz="8" w:space="0" w:color="000000"/>
            </w:tcBorders>
            <w:shd w:fill="FFFFFF" w:val="clear"/>
            <w:tcMar>
              <w:top w:w="28" w:type="dxa"/>
            </w:tcMar>
            <w:vAlign w:val="center"/>
          </w:tcPr>
          <w:p>
            <w:pPr>
              <w:pStyle w:val="TableContents"/>
              <w:bidi w:val="0"/>
              <w:spacing w:before="0" w:after="283"/>
              <w:jc w:val="right"/>
              <w:rPr/>
            </w:pPr>
            <w:r>
              <w:rPr/>
              <w:t> </w:t>
            </w:r>
          </w:p>
        </w:tc>
        <w:tc>
          <w:tcPr>
            <w:tcW w:w="593"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right"/>
              <w:rPr/>
            </w:pPr>
            <w:r>
              <w:rPr/>
              <w:t> </w:t>
            </w:r>
          </w:p>
        </w:tc>
        <w:tc>
          <w:tcPr>
            <w:tcW w:w="1035" w:type="dxa"/>
            <w:tcBorders>
              <w:top w:val="single" w:sz="8" w:space="0" w:color="000000"/>
            </w:tcBorders>
            <w:shd w:fill="FFFFFF" w:val="clear"/>
            <w:tcMar>
              <w:top w:w="28" w:type="dxa"/>
            </w:tcMar>
            <w:vAlign w:val="center"/>
          </w:tcPr>
          <w:p>
            <w:pPr>
              <w:pStyle w:val="TableContents"/>
              <w:bidi w:val="0"/>
              <w:spacing w:before="0" w:after="283"/>
              <w:jc w:val="right"/>
              <w:rPr/>
            </w:pPr>
            <w:r>
              <w:rPr/>
              <w:t> </w:t>
            </w:r>
          </w:p>
        </w:tc>
        <w:tc>
          <w:tcPr>
            <w:tcW w:w="1025" w:type="dxa"/>
            <w:tcBorders>
              <w:top w:val="single" w:sz="8" w:space="0" w:color="000000"/>
              <w:right w:val="single" w:sz="8" w:space="0" w:color="000000"/>
            </w:tcBorders>
            <w:shd w:fill="FFFFFF" w:val="clear"/>
            <w:tcMar>
              <w:top w:w="28" w:type="dxa"/>
              <w:right w:w="60" w:type="dxa"/>
            </w:tcMar>
            <w:vAlign w:val="center"/>
          </w:tcPr>
          <w:p>
            <w:pPr>
              <w:pStyle w:val="TableContents"/>
              <w:bidi w:val="0"/>
              <w:spacing w:before="0" w:after="283"/>
              <w:jc w:val="right"/>
              <w:rPr/>
            </w:pPr>
            <w:r>
              <w:rPr/>
              <w:t> </w:t>
            </w:r>
          </w:p>
        </w:tc>
        <w:tc>
          <w:tcPr>
            <w:tcW w:w="808"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right"/>
              <w:rPr/>
            </w:pPr>
            <w:r>
              <w:rPr/>
              <w:t> </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right w:val="single" w:sz="8" w:space="0" w:color="000000"/>
            </w:tcBorders>
            <w:shd w:fill="FFFFFF" w:val="clear"/>
            <w:tcMar>
              <w:right w:w="60" w:type="dxa"/>
            </w:tcM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right"/>
              <w:rPr/>
            </w:pPr>
            <w:r>
              <w:rPr/>
              <w:t> </w:t>
            </w:r>
          </w:p>
        </w:tc>
        <w:tc>
          <w:tcPr>
            <w:tcW w:w="1035" w:type="dxa"/>
            <w:tcBorders/>
            <w:shd w:fill="FFFFFF" w:val="clear"/>
            <w:vAlign w:val="center"/>
          </w:tcPr>
          <w:p>
            <w:pPr>
              <w:pStyle w:val="TableContents"/>
              <w:bidi w:val="0"/>
              <w:spacing w:before="0" w:after="283"/>
              <w:jc w:val="right"/>
              <w:rPr/>
            </w:pPr>
            <w:r>
              <w:rPr/>
              <w:t> </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p>
        </w:tc>
        <w:tc>
          <w:tcPr>
            <w:tcW w:w="808" w:type="dxa"/>
            <w:tcBorders>
              <w:right w:val="single" w:sz="8" w:space="0" w:color="000000"/>
            </w:tcBorders>
            <w:shd w:fill="FFFFFF" w:val="clear"/>
            <w:tcMar>
              <w:right w:w="28" w:type="dxa"/>
            </w:tcMar>
            <w:vAlign w:val="center"/>
          </w:tcPr>
          <w:p>
            <w:pPr>
              <w:pStyle w:val="TableContents"/>
              <w:bidi w:val="0"/>
              <w:spacing w:before="0" w:after="283"/>
              <w:jc w:val="right"/>
              <w:rPr/>
            </w:pPr>
            <w:r>
              <w:rPr/>
              <w:t> </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Net share of the income from investments in subsidiaries and associates</w:t>
            </w:r>
          </w:p>
        </w:tc>
        <w:tc>
          <w:tcPr>
            <w:tcW w:w="1415" w:type="dxa"/>
            <w:tcBorders/>
            <w:shd w:fill="FFFFFF" w:val="clear"/>
            <w:vAlign w:val="center"/>
          </w:tcPr>
          <w:p>
            <w:pPr>
              <w:pStyle w:val="TableContents"/>
              <w:bidi w:val="0"/>
              <w:spacing w:before="0" w:after="283"/>
              <w:jc w:val="right"/>
              <w:rPr/>
            </w:pPr>
            <w:r>
              <w:rPr/>
              <w:t>         </w:t>
            </w:r>
            <w:r>
              <w:rPr>
                <w:sz w:val="16"/>
              </w:rPr>
              <w:t>1,425,812</w:t>
            </w:r>
          </w:p>
        </w:tc>
        <w:tc>
          <w:tcPr>
            <w:tcW w:w="1415" w:type="dxa"/>
            <w:tcBorders/>
            <w:shd w:fill="FFFFFF" w:val="clear"/>
            <w:vAlign w:val="center"/>
          </w:tcPr>
          <w:p>
            <w:pPr>
              <w:pStyle w:val="TableContents"/>
              <w:bidi w:val="0"/>
              <w:spacing w:before="0" w:after="283"/>
              <w:jc w:val="right"/>
              <w:rPr/>
            </w:pPr>
            <w:r>
              <w:rPr/>
              <w:t>         </w:t>
            </w:r>
            <w:r>
              <w:rPr>
                <w:sz w:val="16"/>
              </w:rPr>
              <w:t>1,439,211</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1,804,873</w:t>
            </w:r>
          </w:p>
        </w:tc>
        <w:tc>
          <w:tcPr>
            <w:tcW w:w="545" w:type="dxa"/>
            <w:tcBorders/>
            <w:shd w:fill="FFFFFF" w:val="clear"/>
            <w:vAlign w:val="center"/>
          </w:tcPr>
          <w:p>
            <w:pPr>
              <w:pStyle w:val="TableContents"/>
              <w:bidi w:val="0"/>
              <w:spacing w:before="0" w:after="283"/>
              <w:jc w:val="center"/>
              <w:rPr>
                <w:sz w:val="16"/>
              </w:rPr>
            </w:pPr>
            <w:r>
              <w:rPr>
                <w:sz w:val="16"/>
              </w:rPr>
              <w:t>25.4%</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26.6%</w:t>
            </w:r>
          </w:p>
        </w:tc>
        <w:tc>
          <w:tcPr>
            <w:tcW w:w="1035" w:type="dxa"/>
            <w:tcBorders/>
            <w:shd w:fill="FFFFFF" w:val="clear"/>
            <w:vAlign w:val="center"/>
          </w:tcPr>
          <w:p>
            <w:pPr>
              <w:pStyle w:val="TableContents"/>
              <w:bidi w:val="0"/>
              <w:spacing w:before="0" w:after="283"/>
              <w:jc w:val="right"/>
              <w:rPr/>
            </w:pPr>
            <w:r>
              <w:rPr/>
              <w:t>   </w:t>
            </w:r>
            <w:r>
              <w:rPr>
                <w:sz w:val="16"/>
              </w:rPr>
              <w:t>2,661,844</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3,244,084</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21.9%</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Interest and similar income</w:t>
            </w:r>
          </w:p>
        </w:tc>
        <w:tc>
          <w:tcPr>
            <w:tcW w:w="1415" w:type="dxa"/>
            <w:tcBorders/>
            <w:shd w:fill="FFFFFF" w:val="clear"/>
            <w:vAlign w:val="center"/>
          </w:tcPr>
          <w:p>
            <w:pPr>
              <w:pStyle w:val="TableContents"/>
              <w:bidi w:val="0"/>
              <w:spacing w:before="0" w:after="283"/>
              <w:jc w:val="right"/>
              <w:rPr/>
            </w:pPr>
            <w:r>
              <w:rPr/>
              <w:t>               </w:t>
            </w:r>
            <w:r>
              <w:rPr>
                <w:sz w:val="16"/>
              </w:rPr>
              <w:t>7,056</w:t>
            </w:r>
          </w:p>
        </w:tc>
        <w:tc>
          <w:tcPr>
            <w:tcW w:w="1415" w:type="dxa"/>
            <w:tcBorders/>
            <w:shd w:fill="FFFFFF" w:val="clear"/>
            <w:vAlign w:val="center"/>
          </w:tcPr>
          <w:p>
            <w:pPr>
              <w:pStyle w:val="TableContents"/>
              <w:bidi w:val="0"/>
              <w:spacing w:before="0" w:after="283"/>
              <w:jc w:val="right"/>
              <w:rPr/>
            </w:pPr>
            <w:r>
              <w:rPr/>
              <w:t>                  </w:t>
            </w:r>
            <w:r>
              <w:rPr>
                <w:sz w:val="16"/>
              </w:rPr>
              <w:t>300</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8,996</w:t>
            </w:r>
          </w:p>
        </w:tc>
        <w:tc>
          <w:tcPr>
            <w:tcW w:w="545" w:type="dxa"/>
            <w:tcBorders/>
            <w:shd w:fill="FFFFFF" w:val="clear"/>
            <w:vAlign w:val="center"/>
          </w:tcPr>
          <w:p>
            <w:pPr>
              <w:pStyle w:val="TableContents"/>
              <w:bidi w:val="0"/>
              <w:spacing w:before="0" w:after="283"/>
              <w:jc w:val="center"/>
              <w:rPr>
                <w:sz w:val="16"/>
              </w:rPr>
            </w:pPr>
            <w:r>
              <w:rPr>
                <w:sz w:val="16"/>
              </w:rPr>
              <w:t>2898.7%</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27.5%</w:t>
            </w:r>
          </w:p>
        </w:tc>
        <w:tc>
          <w:tcPr>
            <w:tcW w:w="1035" w:type="dxa"/>
            <w:tcBorders/>
            <w:shd w:fill="FFFFFF" w:val="clear"/>
            <w:vAlign w:val="center"/>
          </w:tcPr>
          <w:p>
            <w:pPr>
              <w:pStyle w:val="TableContents"/>
              <w:bidi w:val="0"/>
              <w:spacing w:before="0" w:after="283"/>
              <w:jc w:val="right"/>
              <w:rPr/>
            </w:pPr>
            <w:r>
              <w:rPr/>
              <w:t>          </w:t>
            </w:r>
            <w:r>
              <w:rPr>
                <w:sz w:val="16"/>
              </w:rPr>
              <w:t>7,354</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9,296</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26.4%</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Net gain on financial assets at fair value through profit or loss </w:t>
            </w:r>
          </w:p>
        </w:tc>
        <w:tc>
          <w:tcPr>
            <w:tcW w:w="1415" w:type="dxa"/>
            <w:tcBorders/>
            <w:shd w:fill="FFFFFF" w:val="clear"/>
            <w:vAlign w:val="center"/>
          </w:tcPr>
          <w:p>
            <w:pPr>
              <w:pStyle w:val="TableContents"/>
              <w:bidi w:val="0"/>
              <w:spacing w:before="0" w:after="283"/>
              <w:jc w:val="right"/>
              <w:rPr/>
            </w:pPr>
            <w:r>
              <w:rPr/>
              <w:t>            </w:t>
            </w:r>
            <w:r>
              <w:rPr>
                <w:sz w:val="16"/>
              </w:rPr>
              <w:t>(41,316)</w:t>
            </w:r>
          </w:p>
        </w:tc>
        <w:tc>
          <w:tcPr>
            <w:tcW w:w="1415" w:type="dxa"/>
            <w:tcBorders/>
            <w:shd w:fill="FFFFFF" w:val="clear"/>
            <w:vAlign w:val="center"/>
          </w:tcPr>
          <w:p>
            <w:pPr>
              <w:pStyle w:val="TableContents"/>
              <w:bidi w:val="0"/>
              <w:spacing w:before="0" w:after="283"/>
              <w:jc w:val="right"/>
              <w:rPr/>
            </w:pPr>
            <w:r>
              <w:rPr/>
              <w:t>               </w:t>
            </w:r>
            <w:r>
              <w:rPr>
                <w:sz w:val="16"/>
              </w:rPr>
              <w:t>3,759</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22,618</w:t>
            </w:r>
          </w:p>
        </w:tc>
        <w:tc>
          <w:tcPr>
            <w:tcW w:w="545" w:type="dxa"/>
            <w:tcBorders/>
            <w:shd w:fill="FFFFFF" w:val="clear"/>
            <w:vAlign w:val="center"/>
          </w:tcPr>
          <w:p>
            <w:pPr>
              <w:pStyle w:val="TableContents"/>
              <w:bidi w:val="0"/>
              <w:spacing w:before="0" w:after="283"/>
              <w:jc w:val="center"/>
              <w:rPr>
                <w:sz w:val="16"/>
              </w:rPr>
            </w:pPr>
            <w:r>
              <w:rPr>
                <w:sz w:val="16"/>
              </w:rPr>
              <w:t>501.7%</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c>
          <w:tcPr>
            <w:tcW w:w="1035" w:type="dxa"/>
            <w:tcBorders/>
            <w:shd w:fill="FFFFFF" w:val="clear"/>
            <w:vAlign w:val="center"/>
          </w:tcPr>
          <w:p>
            <w:pPr>
              <w:pStyle w:val="TableContents"/>
              <w:bidi w:val="0"/>
              <w:spacing w:before="0" w:after="283"/>
              <w:jc w:val="right"/>
              <w:rPr/>
            </w:pPr>
            <w:r>
              <w:rPr/>
              <w:t>      </w:t>
            </w:r>
            <w:r>
              <w:rPr>
                <w:sz w:val="16"/>
              </w:rPr>
              <w:t>(68,214)</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26,377</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Total income</w:t>
            </w:r>
          </w:p>
        </w:tc>
        <w:tc>
          <w:tcPr>
            <w:tcW w:w="1415" w:type="dxa"/>
            <w:tcBorders/>
            <w:shd w:fill="FFFFFF" w:val="clear"/>
            <w:vAlign w:val="center"/>
          </w:tcPr>
          <w:p>
            <w:pPr>
              <w:pStyle w:val="TableContents"/>
              <w:bidi w:val="0"/>
              <w:spacing w:before="0" w:after="283"/>
              <w:jc w:val="right"/>
              <w:rPr/>
            </w:pPr>
            <w:r>
              <w:rPr/>
              <w:t>         </w:t>
            </w:r>
            <w:r>
              <w:rPr>
                <w:b/>
                <w:sz w:val="16"/>
              </w:rPr>
              <w:t>1,391,552</w:t>
            </w:r>
          </w:p>
        </w:tc>
        <w:tc>
          <w:tcPr>
            <w:tcW w:w="1415" w:type="dxa"/>
            <w:tcBorders/>
            <w:shd w:fill="FFFFFF" w:val="clear"/>
            <w:vAlign w:val="center"/>
          </w:tcPr>
          <w:p>
            <w:pPr>
              <w:pStyle w:val="TableContents"/>
              <w:bidi w:val="0"/>
              <w:spacing w:before="0" w:after="283"/>
              <w:jc w:val="right"/>
              <w:rPr/>
            </w:pPr>
            <w:r>
              <w:rPr/>
              <w:t>         </w:t>
            </w:r>
            <w:r>
              <w:rPr>
                <w:b/>
                <w:sz w:val="16"/>
              </w:rPr>
              <w:t>1,443,270</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1,836,487</w:t>
            </w:r>
          </w:p>
        </w:tc>
        <w:tc>
          <w:tcPr>
            <w:tcW w:w="545" w:type="dxa"/>
            <w:tcBorders/>
            <w:shd w:fill="FFFFFF" w:val="clear"/>
            <w:vAlign w:val="center"/>
          </w:tcPr>
          <w:p>
            <w:pPr>
              <w:pStyle w:val="TableContents"/>
              <w:bidi w:val="0"/>
              <w:spacing w:before="0" w:after="283"/>
              <w:jc w:val="center"/>
              <w:rPr>
                <w:sz w:val="16"/>
              </w:rPr>
            </w:pPr>
            <w:r>
              <w:rPr>
                <w:sz w:val="16"/>
              </w:rPr>
              <w:t>27.2%</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32.0%</w:t>
            </w:r>
          </w:p>
        </w:tc>
        <w:tc>
          <w:tcPr>
            <w:tcW w:w="1035" w:type="dxa"/>
            <w:tcBorders/>
            <w:shd w:fill="FFFFFF" w:val="clear"/>
            <w:vAlign w:val="center"/>
          </w:tcPr>
          <w:p>
            <w:pPr>
              <w:pStyle w:val="TableContents"/>
              <w:bidi w:val="0"/>
              <w:spacing w:before="0" w:after="283"/>
              <w:jc w:val="right"/>
              <w:rPr/>
            </w:pPr>
            <w:r>
              <w:rPr/>
              <w:t>   </w:t>
            </w:r>
            <w:r>
              <w:rPr>
                <w:b/>
                <w:sz w:val="16"/>
              </w:rPr>
              <w:t>2,600,984</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3,279,757</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26.1%</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right w:val="single" w:sz="8" w:space="0" w:color="000000"/>
            </w:tcBorders>
            <w:shd w:fill="FFFFFF" w:val="clear"/>
            <w:tcMar>
              <w:right w:w="60" w:type="dxa"/>
            </w:tcM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left"/>
              <w:rPr/>
            </w:pPr>
            <w:r>
              <w:rPr/>
              <w:t> </w:t>
            </w:r>
          </w:p>
        </w:tc>
        <w:tc>
          <w:tcPr>
            <w:tcW w:w="1025" w:type="dxa"/>
            <w:tcBorders>
              <w:right w:val="single" w:sz="8" w:space="0" w:color="000000"/>
            </w:tcBorders>
            <w:shd w:fill="FFFFFF" w:val="clear"/>
            <w:tcMar>
              <w:right w:w="60" w:type="dxa"/>
            </w:tcMar>
            <w:vAlign w:val="center"/>
          </w:tcPr>
          <w:p>
            <w:pPr>
              <w:pStyle w:val="TableContents"/>
              <w:bidi w:val="0"/>
              <w:spacing w:before="0" w:after="283"/>
              <w:jc w:val="left"/>
              <w:rPr/>
            </w:pPr>
            <w:r>
              <w:rPr/>
              <w:t> </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Interest and similar expense</w:t>
            </w:r>
          </w:p>
        </w:tc>
        <w:tc>
          <w:tcPr>
            <w:tcW w:w="1415" w:type="dxa"/>
            <w:tcBorders/>
            <w:shd w:fill="FFFFFF" w:val="clear"/>
            <w:vAlign w:val="center"/>
          </w:tcPr>
          <w:p>
            <w:pPr>
              <w:pStyle w:val="TableContents"/>
              <w:bidi w:val="0"/>
              <w:spacing w:before="0" w:after="283"/>
              <w:jc w:val="right"/>
              <w:rPr/>
            </w:pPr>
            <w:r>
              <w:rPr/>
              <w:t>            </w:t>
            </w:r>
            <w:r>
              <w:rPr>
                <w:sz w:val="16"/>
              </w:rPr>
              <w:t>(14,778)</w:t>
            </w:r>
          </w:p>
        </w:tc>
        <w:tc>
          <w:tcPr>
            <w:tcW w:w="1415" w:type="dxa"/>
            <w:tcBorders/>
            <w:shd w:fill="FFFFFF" w:val="clear"/>
            <w:vAlign w:val="center"/>
          </w:tcPr>
          <w:p>
            <w:pPr>
              <w:pStyle w:val="TableContents"/>
              <w:bidi w:val="0"/>
              <w:spacing w:before="0" w:after="283"/>
              <w:jc w:val="right"/>
              <w:rPr/>
            </w:pPr>
            <w:r>
              <w:rPr/>
              <w:t>            </w:t>
            </w:r>
            <w:r>
              <w:rPr>
                <w:sz w:val="16"/>
              </w:rPr>
              <w:t>(13,796)</w:t>
            </w:r>
          </w:p>
        </w:tc>
        <w:tc>
          <w:tcPr>
            <w:tcW w:w="111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(14,156)</w:t>
            </w:r>
          </w:p>
        </w:tc>
        <w:tc>
          <w:tcPr>
            <w:tcW w:w="545" w:type="dxa"/>
            <w:tcBorders/>
            <w:shd w:fill="FFFFFF" w:val="clear"/>
            <w:vAlign w:val="center"/>
          </w:tcPr>
          <w:p>
            <w:pPr>
              <w:pStyle w:val="TableContents"/>
              <w:bidi w:val="0"/>
              <w:spacing w:before="0" w:after="283"/>
              <w:jc w:val="center"/>
              <w:rPr>
                <w:sz w:val="16"/>
              </w:rPr>
            </w:pPr>
            <w:r>
              <w:rPr>
                <w:sz w:val="16"/>
              </w:rPr>
              <w:t>2.6%</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-4.2%</w:t>
            </w:r>
          </w:p>
        </w:tc>
        <w:tc>
          <w:tcPr>
            <w:tcW w:w="1035" w:type="dxa"/>
            <w:tcBorders/>
            <w:shd w:fill="FFFFFF" w:val="clear"/>
            <w:vAlign w:val="center"/>
          </w:tcPr>
          <w:p>
            <w:pPr>
              <w:pStyle w:val="TableContents"/>
              <w:bidi w:val="0"/>
              <w:spacing w:before="0" w:after="283"/>
              <w:jc w:val="right"/>
              <w:rPr/>
            </w:pPr>
            <w:r>
              <w:rPr/>
              <w:t>      </w:t>
            </w:r>
            <w:r>
              <w:rPr>
                <w:sz w:val="16"/>
              </w:rPr>
              <w:t>(28,429)</w:t>
            </w:r>
          </w:p>
        </w:tc>
        <w:tc>
          <w:tcPr>
            <w:tcW w:w="102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(27,952)</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-1.7%</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Administrative and general expenses</w:t>
            </w:r>
          </w:p>
        </w:tc>
        <w:tc>
          <w:tcPr>
            <w:tcW w:w="1415" w:type="dxa"/>
            <w:tcBorders/>
            <w:shd w:fill="FFFFFF" w:val="clear"/>
            <w:vAlign w:val="center"/>
          </w:tcPr>
          <w:p>
            <w:pPr>
              <w:pStyle w:val="TableContents"/>
              <w:bidi w:val="0"/>
              <w:spacing w:before="0" w:after="283"/>
              <w:jc w:val="right"/>
              <w:rPr/>
            </w:pPr>
            <w:r>
              <w:rPr/>
              <w:t>              </w:t>
            </w:r>
            <w:r>
              <w:rPr>
                <w:sz w:val="16"/>
              </w:rPr>
              <w:t>(3,766)</w:t>
            </w:r>
          </w:p>
        </w:tc>
        <w:tc>
          <w:tcPr>
            <w:tcW w:w="1415" w:type="dxa"/>
            <w:tcBorders/>
            <w:shd w:fill="FFFFFF" w:val="clear"/>
            <w:vAlign w:val="center"/>
          </w:tcPr>
          <w:p>
            <w:pPr>
              <w:pStyle w:val="TableContents"/>
              <w:bidi w:val="0"/>
              <w:spacing w:before="0" w:after="283"/>
              <w:jc w:val="right"/>
              <w:rPr/>
            </w:pPr>
            <w:r>
              <w:rPr/>
              <w:t>              </w:t>
            </w:r>
            <w:r>
              <w:rPr>
                <w:sz w:val="16"/>
              </w:rPr>
              <w:t>(4,407)</w:t>
            </w:r>
          </w:p>
        </w:tc>
        <w:tc>
          <w:tcPr>
            <w:tcW w:w="111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(7,584)</w:t>
            </w:r>
          </w:p>
        </w:tc>
        <w:tc>
          <w:tcPr>
            <w:tcW w:w="545" w:type="dxa"/>
            <w:tcBorders/>
            <w:shd w:fill="FFFFFF" w:val="clear"/>
            <w:vAlign w:val="center"/>
          </w:tcPr>
          <w:p>
            <w:pPr>
              <w:pStyle w:val="TableContents"/>
              <w:bidi w:val="0"/>
              <w:spacing w:before="0" w:after="283"/>
              <w:jc w:val="center"/>
              <w:rPr>
                <w:sz w:val="16"/>
              </w:rPr>
            </w:pPr>
            <w:r>
              <w:rPr>
                <w:sz w:val="16"/>
              </w:rPr>
              <w:t>72.1%</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101.4%</w:t>
            </w:r>
          </w:p>
        </w:tc>
        <w:tc>
          <w:tcPr>
            <w:tcW w:w="1035" w:type="dxa"/>
            <w:tcBorders/>
            <w:shd w:fill="FFFFFF" w:val="clear"/>
            <w:vAlign w:val="center"/>
          </w:tcPr>
          <w:p>
            <w:pPr>
              <w:pStyle w:val="TableContents"/>
              <w:bidi w:val="0"/>
              <w:spacing w:before="0" w:after="283"/>
              <w:jc w:val="right"/>
              <w:rPr/>
            </w:pPr>
            <w:r>
              <w:rPr/>
              <w:t>        </w:t>
            </w:r>
            <w:r>
              <w:rPr>
                <w:sz w:val="16"/>
              </w:rPr>
              <w:t>(8,025)</w:t>
            </w:r>
          </w:p>
        </w:tc>
        <w:tc>
          <w:tcPr>
            <w:tcW w:w="102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(11,991)</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49.4%</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Total expenses</w:t>
            </w:r>
          </w:p>
        </w:tc>
        <w:tc>
          <w:tcPr>
            <w:tcW w:w="1415" w:type="dxa"/>
            <w:tcBorders/>
            <w:shd w:fill="FFFFFF" w:val="clear"/>
            <w:vAlign w:val="center"/>
          </w:tcPr>
          <w:p>
            <w:pPr>
              <w:pStyle w:val="TableContents"/>
              <w:bidi w:val="0"/>
              <w:spacing w:before="0" w:after="283"/>
              <w:jc w:val="right"/>
              <w:rPr/>
            </w:pPr>
            <w:r>
              <w:rPr/>
              <w:t>            </w:t>
            </w:r>
            <w:r>
              <w:rPr>
                <w:b/>
                <w:sz w:val="16"/>
              </w:rPr>
              <w:t>(18,544)</w:t>
            </w:r>
          </w:p>
        </w:tc>
        <w:tc>
          <w:tcPr>
            <w:tcW w:w="1415" w:type="dxa"/>
            <w:tcBorders/>
            <w:shd w:fill="FFFFFF" w:val="clear"/>
            <w:vAlign w:val="center"/>
          </w:tcPr>
          <w:p>
            <w:pPr>
              <w:pStyle w:val="TableContents"/>
              <w:bidi w:val="0"/>
              <w:spacing w:before="0" w:after="283"/>
              <w:jc w:val="right"/>
              <w:rPr/>
            </w:pPr>
            <w:r>
              <w:rPr/>
              <w:t>            </w:t>
            </w:r>
            <w:r>
              <w:rPr>
                <w:b/>
                <w:sz w:val="16"/>
              </w:rPr>
              <w:t>(18,203)</w:t>
            </w:r>
          </w:p>
        </w:tc>
        <w:tc>
          <w:tcPr>
            <w:tcW w:w="111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b/>
                <w:sz w:val="16"/>
              </w:rPr>
              <w:t>(21,740)</w:t>
            </w:r>
          </w:p>
        </w:tc>
        <w:tc>
          <w:tcPr>
            <w:tcW w:w="545" w:type="dxa"/>
            <w:tcBorders/>
            <w:shd w:fill="FFFFFF" w:val="clear"/>
            <w:vAlign w:val="center"/>
          </w:tcPr>
          <w:p>
            <w:pPr>
              <w:pStyle w:val="TableContents"/>
              <w:bidi w:val="0"/>
              <w:spacing w:before="0" w:after="283"/>
              <w:jc w:val="center"/>
              <w:rPr>
                <w:sz w:val="16"/>
              </w:rPr>
            </w:pPr>
            <w:r>
              <w:rPr>
                <w:sz w:val="16"/>
              </w:rPr>
              <w:t>19.4%</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17.2%</w:t>
            </w:r>
          </w:p>
        </w:tc>
        <w:tc>
          <w:tcPr>
            <w:tcW w:w="1035" w:type="dxa"/>
            <w:tcBorders/>
            <w:shd w:fill="FFFFFF" w:val="clear"/>
            <w:vAlign w:val="center"/>
          </w:tcPr>
          <w:p>
            <w:pPr>
              <w:pStyle w:val="TableContents"/>
              <w:bidi w:val="0"/>
              <w:spacing w:before="0" w:after="283"/>
              <w:jc w:val="right"/>
              <w:rPr/>
            </w:pPr>
            <w:r>
              <w:rPr/>
              <w:t>      </w:t>
            </w:r>
            <w:r>
              <w:rPr>
                <w:b/>
                <w:sz w:val="16"/>
              </w:rPr>
              <w:t>(36,454)</w:t>
            </w:r>
          </w:p>
        </w:tc>
        <w:tc>
          <w:tcPr>
            <w:tcW w:w="102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b/>
                <w:sz w:val="16"/>
              </w:rPr>
              <w:t>(39,943)</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9.6%</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415" w:type="dxa"/>
            <w:tcBorders/>
            <w:shd w:fill="FFFFFF" w:val="clear"/>
            <w:vAlign w:val="center"/>
          </w:tcPr>
          <w:p>
            <w:pPr>
              <w:pStyle w:val="TableContents"/>
              <w:bidi w:val="0"/>
              <w:spacing w:before="0" w:after="283"/>
              <w:jc w:val="right"/>
              <w:rPr/>
            </w:pPr>
            <w:r>
              <w:rPr/>
              <w:t> </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p>
        </w:tc>
        <w:tc>
          <w:tcPr>
            <w:tcW w:w="545" w:type="dxa"/>
            <w:tcBorders/>
            <w:shd w:fill="FFFFFF" w:val="cle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right"/>
              <w:rPr/>
            </w:pPr>
            <w:r>
              <w:rPr/>
              <w:t> </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Operating income</w:t>
            </w:r>
          </w:p>
        </w:tc>
        <w:tc>
          <w:tcPr>
            <w:tcW w:w="1415" w:type="dxa"/>
            <w:tcBorders/>
            <w:shd w:fill="FFFFFF" w:val="clear"/>
            <w:vAlign w:val="center"/>
          </w:tcPr>
          <w:p>
            <w:pPr>
              <w:pStyle w:val="TableContents"/>
              <w:bidi w:val="0"/>
              <w:spacing w:before="0" w:after="283"/>
              <w:jc w:val="right"/>
              <w:rPr/>
            </w:pPr>
            <w:r>
              <w:rPr/>
              <w:t>         </w:t>
            </w:r>
            <w:r>
              <w:rPr>
                <w:b/>
                <w:sz w:val="16"/>
              </w:rPr>
              <w:t>1,373,008</w:t>
            </w:r>
          </w:p>
        </w:tc>
        <w:tc>
          <w:tcPr>
            <w:tcW w:w="1415" w:type="dxa"/>
            <w:tcBorders/>
            <w:shd w:fill="FFFFFF" w:val="clear"/>
            <w:vAlign w:val="center"/>
          </w:tcPr>
          <w:p>
            <w:pPr>
              <w:pStyle w:val="TableContents"/>
              <w:bidi w:val="0"/>
              <w:spacing w:before="0" w:after="283"/>
              <w:jc w:val="right"/>
              <w:rPr/>
            </w:pPr>
            <w:r>
              <w:rPr/>
              <w:t>         </w:t>
            </w:r>
            <w:r>
              <w:rPr>
                <w:b/>
                <w:sz w:val="16"/>
              </w:rPr>
              <w:t>1,425,067</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1,814,747</w:t>
            </w:r>
          </w:p>
        </w:tc>
        <w:tc>
          <w:tcPr>
            <w:tcW w:w="545" w:type="dxa"/>
            <w:tcBorders/>
            <w:shd w:fill="FFFFFF" w:val="clear"/>
            <w:vAlign w:val="center"/>
          </w:tcPr>
          <w:p>
            <w:pPr>
              <w:pStyle w:val="TableContents"/>
              <w:bidi w:val="0"/>
              <w:spacing w:before="0" w:after="283"/>
              <w:jc w:val="center"/>
              <w:rPr>
                <w:sz w:val="16"/>
              </w:rPr>
            </w:pPr>
            <w:r>
              <w:rPr>
                <w:sz w:val="16"/>
              </w:rPr>
              <w:t>27.3%</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32.2%</w:t>
            </w:r>
          </w:p>
        </w:tc>
        <w:tc>
          <w:tcPr>
            <w:tcW w:w="1035" w:type="dxa"/>
            <w:tcBorders/>
            <w:shd w:fill="FFFFFF" w:val="clear"/>
            <w:vAlign w:val="center"/>
          </w:tcPr>
          <w:p>
            <w:pPr>
              <w:pStyle w:val="TableContents"/>
              <w:bidi w:val="0"/>
              <w:spacing w:before="0" w:after="283"/>
              <w:jc w:val="right"/>
              <w:rPr/>
            </w:pPr>
            <w:r>
              <w:rPr/>
              <w:t>   </w:t>
            </w:r>
            <w:r>
              <w:rPr>
                <w:b/>
                <w:sz w:val="16"/>
              </w:rPr>
              <w:t>2,564,530</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3,239,814</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26.3%</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415" w:type="dxa"/>
            <w:tcBorders/>
            <w:shd w:fill="FFFFFF" w:val="clear"/>
            <w:vAlign w:val="center"/>
          </w:tcPr>
          <w:p>
            <w:pPr>
              <w:pStyle w:val="TableContents"/>
              <w:bidi w:val="0"/>
              <w:spacing w:before="0" w:after="283"/>
              <w:jc w:val="right"/>
              <w:rPr/>
            </w:pPr>
            <w:r>
              <w:rPr/>
              <w:t> </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p>
        </w:tc>
        <w:tc>
          <w:tcPr>
            <w:tcW w:w="545" w:type="dxa"/>
            <w:tcBorders/>
            <w:shd w:fill="FFFFFF" w:val="cle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right"/>
              <w:rPr/>
            </w:pPr>
            <w:r>
              <w:rPr/>
              <w:t> </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2254"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sz w:val="16"/>
              </w:rPr>
            </w:pPr>
            <w:r>
              <w:rPr>
                <w:sz w:val="16"/>
              </w:rPr>
              <w:t>Net gain (losses) from exchange differences</w:t>
            </w:r>
          </w:p>
        </w:tc>
        <w:tc>
          <w:tcPr>
            <w:tcW w:w="1415" w:type="dxa"/>
            <w:tcBorders/>
            <w:shd w:fill="FFFFFF" w:val="clear"/>
            <w:vAlign w:val="center"/>
          </w:tcPr>
          <w:p>
            <w:pPr>
              <w:pStyle w:val="TableContents"/>
              <w:bidi w:val="0"/>
              <w:spacing w:before="0" w:after="283"/>
              <w:jc w:val="right"/>
              <w:rPr/>
            </w:pPr>
            <w:r>
              <w:rPr/>
              <w:t>                </w:t>
            </w:r>
            <w:r>
              <w:rPr>
                <w:sz w:val="16"/>
              </w:rPr>
              <w:t>(752)</w:t>
            </w:r>
          </w:p>
        </w:tc>
        <w:tc>
          <w:tcPr>
            <w:tcW w:w="1415" w:type="dxa"/>
            <w:tcBorders/>
            <w:shd w:fill="FFFFFF" w:val="clear"/>
            <w:vAlign w:val="center"/>
          </w:tcPr>
          <w:p>
            <w:pPr>
              <w:pStyle w:val="TableContents"/>
              <w:bidi w:val="0"/>
              <w:spacing w:before="0" w:after="283"/>
              <w:jc w:val="right"/>
              <w:rPr/>
            </w:pPr>
            <w:r>
              <w:rPr/>
              <w:t>                </w:t>
            </w:r>
            <w:r>
              <w:rPr>
                <w:sz w:val="16"/>
              </w:rPr>
              <w:t>(158)</w:t>
            </w:r>
          </w:p>
        </w:tc>
        <w:tc>
          <w:tcPr>
            <w:tcW w:w="111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(3,284)</w:t>
            </w:r>
          </w:p>
        </w:tc>
        <w:tc>
          <w:tcPr>
            <w:tcW w:w="545" w:type="dxa"/>
            <w:tcBorders/>
            <w:shd w:fill="FFFFFF" w:val="clear"/>
            <w:vAlign w:val="center"/>
          </w:tcPr>
          <w:p>
            <w:pPr>
              <w:pStyle w:val="TableContents"/>
              <w:bidi w:val="0"/>
              <w:spacing w:before="0" w:after="283"/>
              <w:jc w:val="center"/>
              <w:rPr>
                <w:sz w:val="16"/>
              </w:rPr>
            </w:pPr>
            <w:r>
              <w:rPr>
                <w:sz w:val="16"/>
              </w:rPr>
              <w:t>1978.5%</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336.7%</w:t>
            </w:r>
          </w:p>
        </w:tc>
        <w:tc>
          <w:tcPr>
            <w:tcW w:w="1035" w:type="dxa"/>
            <w:tcBorders/>
            <w:shd w:fill="FFFFFF" w:val="clear"/>
            <w:vAlign w:val="center"/>
          </w:tcPr>
          <w:p>
            <w:pPr>
              <w:pStyle w:val="TableContents"/>
              <w:bidi w:val="0"/>
              <w:spacing w:before="0" w:after="283"/>
              <w:jc w:val="right"/>
              <w:rPr/>
            </w:pPr>
            <w:r>
              <w:rPr/>
              <w:t>           </w:t>
            </w:r>
            <w:r>
              <w:rPr>
                <w:sz w:val="16"/>
              </w:rPr>
              <w:t>(897)</w:t>
            </w:r>
          </w:p>
        </w:tc>
        <w:tc>
          <w:tcPr>
            <w:tcW w:w="102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(3,442)</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283.7%</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Other, net</w:t>
            </w:r>
          </w:p>
        </w:tc>
        <w:tc>
          <w:tcPr>
            <w:tcW w:w="1415" w:type="dxa"/>
            <w:tcBorders/>
            <w:shd w:fill="FFFFFF" w:val="clear"/>
            <w:vAlign w:val="center"/>
          </w:tcPr>
          <w:p>
            <w:pPr>
              <w:pStyle w:val="TableContents"/>
              <w:bidi w:val="0"/>
              <w:spacing w:before="0" w:after="283"/>
              <w:jc w:val="right"/>
              <w:rPr/>
            </w:pPr>
            <w:r>
              <w:rPr/>
              <w:t>                  </w:t>
            </w:r>
            <w:r>
              <w:rPr>
                <w:sz w:val="16"/>
              </w:rPr>
              <w:t>(13)</w:t>
            </w:r>
          </w:p>
        </w:tc>
        <w:tc>
          <w:tcPr>
            <w:tcW w:w="1415" w:type="dxa"/>
            <w:tcBorders/>
            <w:shd w:fill="FFFFFF" w:val="clear"/>
            <w:vAlign w:val="center"/>
          </w:tcPr>
          <w:p>
            <w:pPr>
              <w:pStyle w:val="TableContents"/>
              <w:bidi w:val="0"/>
              <w:spacing w:before="0" w:after="283"/>
              <w:jc w:val="right"/>
              <w:rPr/>
            </w:pPr>
            <w:r>
              <w:rPr/>
              <w:t>                  </w:t>
            </w:r>
            <w:r>
              <w:rPr>
                <w:sz w:val="16"/>
              </w:rPr>
              <w:t>102</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99</w:t>
            </w:r>
          </w:p>
        </w:tc>
        <w:tc>
          <w:tcPr>
            <w:tcW w:w="545" w:type="dxa"/>
            <w:tcBorders/>
            <w:shd w:fill="FFFFFF" w:val="clear"/>
            <w:vAlign w:val="center"/>
          </w:tcPr>
          <w:p>
            <w:pPr>
              <w:pStyle w:val="TableContents"/>
              <w:bidi w:val="0"/>
              <w:spacing w:before="0" w:after="283"/>
              <w:jc w:val="center"/>
              <w:rPr>
                <w:sz w:val="16"/>
              </w:rPr>
            </w:pPr>
            <w:r>
              <w:rPr>
                <w:sz w:val="16"/>
              </w:rPr>
              <w:t>n.a</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c>
          <w:tcPr>
            <w:tcW w:w="1035" w:type="dxa"/>
            <w:tcBorders/>
            <w:shd w:fill="FFFFFF" w:val="clear"/>
            <w:vAlign w:val="center"/>
          </w:tcPr>
          <w:p>
            <w:pPr>
              <w:pStyle w:val="TableContents"/>
              <w:bidi w:val="0"/>
              <w:spacing w:before="0" w:after="283"/>
              <w:jc w:val="right"/>
              <w:rPr/>
            </w:pPr>
            <w:r>
              <w:rPr/>
              <w:t>            </w:t>
            </w:r>
            <w:r>
              <w:rPr>
                <w:sz w:val="16"/>
              </w:rPr>
              <w:t>219</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201</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-8.2%</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415" w:type="dxa"/>
            <w:tcBorders/>
            <w:shd w:fill="FFFFFF" w:val="clear"/>
            <w:vAlign w:val="center"/>
          </w:tcPr>
          <w:p>
            <w:pPr>
              <w:pStyle w:val="TableContents"/>
              <w:bidi w:val="0"/>
              <w:spacing w:before="0" w:after="283"/>
              <w:jc w:val="right"/>
              <w:rPr/>
            </w:pPr>
            <w:r>
              <w:rPr/>
              <w:t>                  </w:t>
            </w:r>
            <w:r>
              <w:rPr>
                <w:sz w:val="16"/>
              </w:rPr>
              <w:t>(56)</w:t>
            </w:r>
          </w:p>
        </w:tc>
        <w:tc>
          <w:tcPr>
            <w:tcW w:w="111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(3,185)</w:t>
            </w:r>
          </w:p>
        </w:tc>
        <w:tc>
          <w:tcPr>
            <w:tcW w:w="545" w:type="dxa"/>
            <w:tcBorders/>
            <w:shd w:fill="FFFFFF" w:val="cle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right"/>
              <w:rPr/>
            </w:pPr>
            <w:r>
              <w:rPr/>
              <w:t>           </w:t>
            </w:r>
            <w:r>
              <w:rPr>
                <w:sz w:val="16"/>
              </w:rPr>
              <w:t>(678)</w:t>
            </w:r>
          </w:p>
        </w:tc>
        <w:tc>
          <w:tcPr>
            <w:tcW w:w="102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(3,241)</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415" w:type="dxa"/>
            <w:tcBorders/>
            <w:shd w:fill="FFFFFF" w:val="clear"/>
            <w:vAlign w:val="center"/>
          </w:tcPr>
          <w:p>
            <w:pPr>
              <w:pStyle w:val="TableContents"/>
              <w:bidi w:val="0"/>
              <w:spacing w:before="0" w:after="283"/>
              <w:jc w:val="right"/>
              <w:rPr/>
            </w:pPr>
            <w:r>
              <w:rPr/>
              <w:t> </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p>
        </w:tc>
        <w:tc>
          <w:tcPr>
            <w:tcW w:w="545" w:type="dxa"/>
            <w:tcBorders/>
            <w:shd w:fill="FFFFFF" w:val="clear"/>
            <w:vAlign w:val="center"/>
          </w:tcPr>
          <w:p>
            <w:pPr>
              <w:pStyle w:val="TableContents"/>
              <w:bidi w:val="0"/>
              <w:spacing w:before="0" w:after="283"/>
              <w:jc w:val="center"/>
              <w:rPr/>
            </w:pPr>
            <w:r>
              <w:rPr/>
              <w:t> </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right"/>
              <w:rPr/>
            </w:pPr>
            <w:r>
              <w:rPr/>
              <w:t> </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Profit before income tax</w:t>
            </w:r>
          </w:p>
        </w:tc>
        <w:tc>
          <w:tcPr>
            <w:tcW w:w="1415" w:type="dxa"/>
            <w:tcBorders/>
            <w:shd w:fill="FFFFFF" w:val="clear"/>
            <w:vAlign w:val="center"/>
          </w:tcPr>
          <w:p>
            <w:pPr>
              <w:pStyle w:val="TableContents"/>
              <w:bidi w:val="0"/>
              <w:spacing w:before="0" w:after="283"/>
              <w:jc w:val="right"/>
              <w:rPr/>
            </w:pPr>
            <w:r>
              <w:rPr/>
              <w:t>         </w:t>
            </w:r>
            <w:r>
              <w:rPr>
                <w:b/>
                <w:sz w:val="16"/>
              </w:rPr>
              <w:t>1,372,243</w:t>
            </w:r>
          </w:p>
        </w:tc>
        <w:tc>
          <w:tcPr>
            <w:tcW w:w="1415" w:type="dxa"/>
            <w:tcBorders/>
            <w:shd w:fill="FFFFFF" w:val="clear"/>
            <w:vAlign w:val="center"/>
          </w:tcPr>
          <w:p>
            <w:pPr>
              <w:pStyle w:val="TableContents"/>
              <w:bidi w:val="0"/>
              <w:spacing w:before="0" w:after="283"/>
              <w:jc w:val="right"/>
              <w:rPr/>
            </w:pPr>
            <w:r>
              <w:rPr/>
              <w:t>         </w:t>
            </w:r>
            <w:r>
              <w:rPr>
                <w:b/>
                <w:sz w:val="16"/>
              </w:rPr>
              <w:t>1,425,011</w:t>
            </w:r>
          </w:p>
        </w:tc>
        <w:tc>
          <w:tcPr>
            <w:tcW w:w="11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1,811,562</w:t>
            </w:r>
          </w:p>
        </w:tc>
        <w:tc>
          <w:tcPr>
            <w:tcW w:w="545" w:type="dxa"/>
            <w:tcBorders/>
            <w:shd w:fill="FFFFFF" w:val="clear"/>
            <w:vAlign w:val="center"/>
          </w:tcPr>
          <w:p>
            <w:pPr>
              <w:pStyle w:val="TableContents"/>
              <w:bidi w:val="0"/>
              <w:spacing w:before="0" w:after="283"/>
              <w:jc w:val="center"/>
              <w:rPr>
                <w:sz w:val="16"/>
              </w:rPr>
            </w:pPr>
            <w:r>
              <w:rPr>
                <w:sz w:val="16"/>
              </w:rPr>
              <w:t>27.1%</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32.0%</w:t>
            </w:r>
          </w:p>
        </w:tc>
        <w:tc>
          <w:tcPr>
            <w:tcW w:w="1035" w:type="dxa"/>
            <w:tcBorders/>
            <w:shd w:fill="FFFFFF" w:val="clear"/>
            <w:vAlign w:val="center"/>
          </w:tcPr>
          <w:p>
            <w:pPr>
              <w:pStyle w:val="TableContents"/>
              <w:bidi w:val="0"/>
              <w:spacing w:before="0" w:after="283"/>
              <w:jc w:val="right"/>
              <w:rPr/>
            </w:pPr>
            <w:r>
              <w:rPr/>
              <w:t>   </w:t>
            </w:r>
            <w:r>
              <w:rPr>
                <w:b/>
                <w:sz w:val="16"/>
              </w:rPr>
              <w:t>2,563,852</w:t>
            </w:r>
          </w:p>
        </w:tc>
        <w:tc>
          <w:tcPr>
            <w:tcW w:w="102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3,236,573</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26.2%</w:t>
            </w:r>
          </w:p>
        </w:tc>
      </w:tr>
      <w:tr>
        <w:trPr/>
        <w:tc>
          <w:tcPr>
            <w:tcW w:w="2254"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Income tax</w:t>
            </w:r>
          </w:p>
        </w:tc>
        <w:tc>
          <w:tcPr>
            <w:tcW w:w="1415" w:type="dxa"/>
            <w:tcBorders/>
            <w:shd w:fill="FFFFFF" w:val="clear"/>
            <w:vAlign w:val="center"/>
          </w:tcPr>
          <w:p>
            <w:pPr>
              <w:pStyle w:val="TableContents"/>
              <w:bidi w:val="0"/>
              <w:spacing w:before="0" w:after="283"/>
              <w:jc w:val="right"/>
              <w:rPr/>
            </w:pPr>
            <w:r>
              <w:rPr/>
              <w:t>            </w:t>
            </w:r>
            <w:r>
              <w:rPr>
                <w:sz w:val="16"/>
              </w:rPr>
              <w:t>(42,290)</w:t>
            </w:r>
          </w:p>
        </w:tc>
        <w:tc>
          <w:tcPr>
            <w:tcW w:w="1415" w:type="dxa"/>
            <w:tcBorders/>
            <w:shd w:fill="FFFFFF" w:val="clear"/>
            <w:vAlign w:val="center"/>
          </w:tcPr>
          <w:p>
            <w:pPr>
              <w:pStyle w:val="TableContents"/>
              <w:bidi w:val="0"/>
              <w:spacing w:before="0" w:after="283"/>
              <w:jc w:val="right"/>
              <w:rPr/>
            </w:pPr>
            <w:r>
              <w:rPr/>
              <w:t>            </w:t>
            </w:r>
            <w:r>
              <w:rPr>
                <w:sz w:val="16"/>
              </w:rPr>
              <w:t>(46,795)</w:t>
            </w:r>
          </w:p>
        </w:tc>
        <w:tc>
          <w:tcPr>
            <w:tcW w:w="111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(47,093)</w:t>
            </w:r>
          </w:p>
        </w:tc>
        <w:tc>
          <w:tcPr>
            <w:tcW w:w="545" w:type="dxa"/>
            <w:tcBorders/>
            <w:shd w:fill="FFFFFF" w:val="clear"/>
            <w:vAlign w:val="center"/>
          </w:tcPr>
          <w:p>
            <w:pPr>
              <w:pStyle w:val="TableContents"/>
              <w:bidi w:val="0"/>
              <w:spacing w:before="0" w:after="283"/>
              <w:jc w:val="center"/>
              <w:rPr>
                <w:sz w:val="16"/>
              </w:rPr>
            </w:pPr>
            <w:r>
              <w:rPr>
                <w:sz w:val="16"/>
              </w:rPr>
              <w:t>0.6%</w:t>
            </w:r>
          </w:p>
        </w:tc>
        <w:tc>
          <w:tcPr>
            <w:tcW w:w="59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11.4%</w:t>
            </w:r>
          </w:p>
        </w:tc>
        <w:tc>
          <w:tcPr>
            <w:tcW w:w="1035" w:type="dxa"/>
            <w:tcBorders/>
            <w:shd w:fill="FFFFFF" w:val="clear"/>
            <w:vAlign w:val="center"/>
          </w:tcPr>
          <w:p>
            <w:pPr>
              <w:pStyle w:val="TableContents"/>
              <w:bidi w:val="0"/>
              <w:spacing w:before="0" w:after="283"/>
              <w:jc w:val="right"/>
              <w:rPr/>
            </w:pPr>
            <w:r>
              <w:rPr/>
              <w:t>      </w:t>
            </w:r>
            <w:r>
              <w:rPr>
                <w:sz w:val="16"/>
              </w:rPr>
              <w:t>(84,290)</w:t>
            </w:r>
          </w:p>
        </w:tc>
        <w:tc>
          <w:tcPr>
            <w:tcW w:w="102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(93,888)</w:t>
            </w:r>
          </w:p>
        </w:tc>
        <w:tc>
          <w:tcPr>
            <w:tcW w:w="808"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11.4%</w:t>
            </w:r>
          </w:p>
        </w:tc>
      </w:tr>
      <w:tr>
        <w:trPr/>
        <w:tc>
          <w:tcPr>
            <w:tcW w:w="2254"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center"/>
          </w:tcPr>
          <w:p>
            <w:pPr>
              <w:pStyle w:val="TableContents"/>
              <w:bidi w:val="0"/>
              <w:spacing w:before="0" w:after="283"/>
              <w:jc w:val="left"/>
              <w:rPr>
                <w:b/>
                <w:sz w:val="16"/>
              </w:rPr>
            </w:pPr>
            <w:r>
              <w:rPr>
                <w:b/>
                <w:sz w:val="16"/>
              </w:rPr>
              <w:t>Net income</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1,329,953</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1,378,216</w:t>
            </w:r>
          </w:p>
        </w:tc>
        <w:tc>
          <w:tcPr>
            <w:tcW w:w="1115" w:type="dxa"/>
            <w:tcBorders>
              <w:bottom w:val="single" w:sz="8" w:space="0" w:color="000000"/>
              <w:right w:val="single" w:sz="8" w:space="0" w:color="000000"/>
            </w:tcBorders>
            <w:shd w:fill="FFFFFF" w:val="clear"/>
            <w:tcMar>
              <w:bottom w:w="28" w:type="dxa"/>
              <w:right w:w="60" w:type="dxa"/>
            </w:tcMar>
            <w:vAlign w:val="center"/>
          </w:tcPr>
          <w:p>
            <w:pPr>
              <w:pStyle w:val="TableContents"/>
              <w:bidi w:val="0"/>
              <w:spacing w:before="0" w:after="283"/>
              <w:jc w:val="right"/>
              <w:rPr/>
            </w:pPr>
            <w:r>
              <w:rPr/>
              <w:t>   </w:t>
            </w:r>
            <w:r>
              <w:rPr>
                <w:b/>
                <w:sz w:val="16"/>
              </w:rPr>
              <w:t>1,764,469</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sz w:val="16"/>
              </w:rPr>
              <w:t>28.0%</w:t>
            </w:r>
          </w:p>
        </w:tc>
        <w:tc>
          <w:tcPr>
            <w:tcW w:w="593"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sz w:val="16"/>
              </w:rPr>
            </w:pPr>
            <w:r>
              <w:rPr>
                <w:sz w:val="16"/>
              </w:rPr>
              <w:t>32.7%</w:t>
            </w:r>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2,479,562</w:t>
            </w:r>
          </w:p>
        </w:tc>
        <w:tc>
          <w:tcPr>
            <w:tcW w:w="1025" w:type="dxa"/>
            <w:tcBorders>
              <w:bottom w:val="single" w:sz="8" w:space="0" w:color="000000"/>
              <w:right w:val="single" w:sz="8" w:space="0" w:color="000000"/>
            </w:tcBorders>
            <w:shd w:fill="FFFFFF" w:val="clear"/>
            <w:tcMar>
              <w:bottom w:w="28" w:type="dxa"/>
              <w:right w:w="60" w:type="dxa"/>
            </w:tcMar>
            <w:vAlign w:val="center"/>
          </w:tcPr>
          <w:p>
            <w:pPr>
              <w:pStyle w:val="TableContents"/>
              <w:bidi w:val="0"/>
              <w:spacing w:before="0" w:after="283"/>
              <w:jc w:val="right"/>
              <w:rPr/>
            </w:pPr>
            <w:r>
              <w:rPr/>
              <w:t>   </w:t>
            </w:r>
            <w:r>
              <w:rPr>
                <w:b/>
                <w:sz w:val="16"/>
              </w:rPr>
              <w:t>3,142,685</w:t>
            </w:r>
          </w:p>
        </w:tc>
        <w:tc>
          <w:tcPr>
            <w:tcW w:w="808"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sz w:val="16"/>
              </w:rPr>
            </w:pPr>
            <w:r>
              <w:rPr>
                <w:sz w:val="16"/>
              </w:rPr>
              <w:t>26.7%</w:t>
            </w:r>
          </w:p>
        </w:tc>
      </w:tr>
      <w:tr>
        <w:trPr/>
        <w:tc>
          <w:tcPr>
            <w:tcW w:w="2254"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center"/>
              <w:rPr/>
            </w:pPr>
            <w:r>
              <w:rPr/>
              <w:t> </w:t>
            </w:r>
          </w:p>
        </w:tc>
        <w:tc>
          <w:tcPr>
            <w:tcW w:w="808" w:type="dxa"/>
            <w:tcBorders/>
            <w:shd w:fill="FFFFFF" w:val="clear"/>
            <w:vAlign w:val="center"/>
          </w:tcPr>
          <w:p>
            <w:pPr>
              <w:pStyle w:val="TableContents"/>
              <w:bidi w:val="0"/>
              <w:spacing w:before="0" w:after="283"/>
              <w:jc w:val="center"/>
              <w:rPr/>
            </w:pPr>
            <w:r>
              <w:rPr/>
              <w:t> </w:t>
            </w:r>
          </w:p>
        </w:tc>
      </w:tr>
      <w:tr>
        <w:trPr/>
        <w:tc>
          <w:tcPr>
            <w:tcW w:w="2254" w:type="dxa"/>
            <w:tcBorders>
              <w:top w:val="single" w:sz="8" w:space="0" w:color="000000"/>
              <w:left w:val="single" w:sz="8" w:space="0" w:color="000000"/>
              <w:bottom w:val="single" w:sz="8" w:space="0" w:color="000000"/>
            </w:tcBorders>
            <w:shd w:fill="FFFFFF" w:val="clear"/>
            <w:tcMar>
              <w:top w:w="28" w:type="dxa"/>
              <w:left w:w="28" w:type="dxa"/>
              <w:bottom w:w="28" w:type="dxa"/>
            </w:tcMar>
            <w:vAlign w:val="center"/>
          </w:tcPr>
          <w:p>
            <w:pPr>
              <w:pStyle w:val="TableContents"/>
              <w:bidi w:val="0"/>
              <w:spacing w:before="0" w:after="283"/>
              <w:jc w:val="left"/>
              <w:rPr>
                <w:b/>
                <w:sz w:val="16"/>
              </w:rPr>
            </w:pPr>
            <w:r>
              <w:rPr>
                <w:b/>
                <w:sz w:val="16"/>
              </w:rPr>
              <w:t>Double Leverage Ratio</w:t>
            </w:r>
          </w:p>
        </w:tc>
        <w:tc>
          <w:tcPr>
            <w:tcW w:w="1415"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right"/>
              <w:rPr>
                <w:b/>
                <w:sz w:val="16"/>
              </w:rPr>
            </w:pPr>
            <w:r>
              <w:rPr>
                <w:b/>
                <w:sz w:val="16"/>
              </w:rPr>
              <w:t>103.03%</w:t>
            </w:r>
          </w:p>
        </w:tc>
        <w:tc>
          <w:tcPr>
            <w:tcW w:w="14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16"/>
              </w:rPr>
            </w:pPr>
            <w:r>
              <w:rPr>
                <w:b/>
                <w:sz w:val="16"/>
              </w:rPr>
              <w:t>101.98%</w:t>
            </w:r>
          </w:p>
        </w:tc>
        <w:tc>
          <w:tcPr>
            <w:tcW w:w="1115"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283"/>
              <w:jc w:val="right"/>
              <w:rPr>
                <w:b/>
                <w:sz w:val="16"/>
              </w:rPr>
            </w:pPr>
            <w:r>
              <w:rPr>
                <w:b/>
                <w:sz w:val="16"/>
              </w:rPr>
              <w:t>101.72%</w:t>
            </w:r>
          </w:p>
        </w:tc>
        <w:tc>
          <w:tcPr>
            <w:tcW w:w="54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sz w:val="16"/>
              </w:rPr>
            </w:pPr>
            <w:r>
              <w:rPr>
                <w:sz w:val="16"/>
              </w:rPr>
              <w:t>-27bps</w:t>
            </w:r>
          </w:p>
        </w:tc>
        <w:tc>
          <w:tcPr>
            <w:tcW w:w="593" w:type="dxa"/>
            <w:tcBorders>
              <w:top w:val="single" w:sz="8" w:space="0" w:color="000000"/>
              <w:bottom w:val="single" w:sz="8"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sz w:val="16"/>
              </w:rPr>
            </w:pPr>
            <w:r>
              <w:rPr>
                <w:sz w:val="16"/>
              </w:rPr>
              <w:t>-132bps</w:t>
            </w:r>
          </w:p>
        </w:tc>
        <w:tc>
          <w:tcPr>
            <w:tcW w:w="103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16"/>
              </w:rPr>
            </w:pPr>
            <w:r>
              <w:rPr>
                <w:b/>
                <w:sz w:val="16"/>
              </w:rPr>
              <w:t>103.03%</w:t>
            </w:r>
          </w:p>
        </w:tc>
        <w:tc>
          <w:tcPr>
            <w:tcW w:w="1025"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283"/>
              <w:jc w:val="right"/>
              <w:rPr>
                <w:b/>
                <w:sz w:val="16"/>
              </w:rPr>
            </w:pPr>
            <w:r>
              <w:rPr>
                <w:b/>
                <w:sz w:val="16"/>
              </w:rPr>
              <w:t>101.72%</w:t>
            </w:r>
          </w:p>
        </w:tc>
        <w:tc>
          <w:tcPr>
            <w:tcW w:w="808" w:type="dxa"/>
            <w:tcBorders>
              <w:top w:val="single" w:sz="8" w:space="0" w:color="000000"/>
              <w:bottom w:val="single" w:sz="8"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sz w:val="16"/>
              </w:rPr>
            </w:pPr>
            <w:r>
              <w:rPr>
                <w:sz w:val="16"/>
              </w:rPr>
              <w:t>-132bps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90"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32" descr=""/>
                          <pic:cNvPicPr>
                            <a:picLocks noChangeAspect="1" noChangeArrowheads="1"/>
                          </pic:cNvPicPr>
                        </pic:nvPicPr>
                        <pic:blipFill>
                          <a:blip r:embed="rId151"/>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12.6.3. BCP Consolidated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BANCO DE CREDITO DEL PERU AND SUBSIDIARIES</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CONSOLIDATED STATEMENT OF FINANCIAL POSITION</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S/  thousands, IFRS)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
        <w:gridCol w:w="4314"/>
        <w:gridCol w:w="60"/>
        <w:gridCol w:w="1630"/>
        <w:gridCol w:w="1595"/>
        <w:gridCol w:w="1415"/>
        <w:gridCol w:w="556"/>
        <w:gridCol w:w="527"/>
      </w:tblGrid>
      <w:tr>
        <w:trPr/>
        <w:tc>
          <w:tcPr>
            <w:tcW w:w="108" w:type="dxa"/>
            <w:tcBorders/>
            <w:shd w:fill="FFFFFF" w:val="clear"/>
            <w:vAlign w:val="center"/>
          </w:tcPr>
          <w:p>
            <w:pPr>
              <w:pStyle w:val="TableContents"/>
              <w:bidi w:val="0"/>
              <w:spacing w:before="0" w:after="283"/>
              <w:jc w:val="center"/>
              <w:rPr/>
            </w:pPr>
            <w:r>
              <w:rPr/>
              <w:t> </w:t>
            </w:r>
          </w:p>
        </w:tc>
        <w:tc>
          <w:tcPr>
            <w:tcW w:w="43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4640" w:type="dxa"/>
            <w:gridSpan w:val="3"/>
            <w:tcBorders>
              <w:top w:val="single" w:sz="8" w:space="0" w:color="000000"/>
              <w:left w:val="single" w:sz="8" w:space="0" w:color="000000"/>
            </w:tcBorders>
            <w:shd w:fill="2AD2C9" w:val="clear"/>
            <w:tcMar>
              <w:top w:w="28" w:type="dxa"/>
              <w:left w:w="28" w:type="dxa"/>
            </w:tcMar>
            <w:vAlign w:val="center"/>
          </w:tcPr>
          <w:p>
            <w:pPr>
              <w:pStyle w:val="TableContents"/>
              <w:bidi w:val="0"/>
              <w:spacing w:before="0" w:after="283"/>
              <w:jc w:val="center"/>
              <w:rPr>
                <w:b/>
                <w:color w:val="FFFFFF"/>
                <w:sz w:val="16"/>
              </w:rPr>
            </w:pPr>
            <w:r>
              <w:rPr>
                <w:b/>
                <w:color w:val="FFFFFF"/>
                <w:sz w:val="16"/>
              </w:rPr>
              <w:t>As of</w:t>
            </w:r>
          </w:p>
        </w:tc>
        <w:tc>
          <w:tcPr>
            <w:tcW w:w="1083" w:type="dxa"/>
            <w:gridSpan w:val="2"/>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4482" w:type="dxa"/>
            <w:gridSpan w:val="3"/>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Jun 22</w:t>
            </w:r>
          </w:p>
        </w:tc>
        <w:tc>
          <w:tcPr>
            <w:tcW w:w="1595" w:type="dxa"/>
            <w:tcBorders/>
            <w:shd w:fill="2AD2C9" w:val="clear"/>
            <w:vAlign w:val="center"/>
          </w:tcPr>
          <w:p>
            <w:pPr>
              <w:pStyle w:val="TableContents"/>
              <w:bidi w:val="0"/>
              <w:spacing w:before="0" w:after="283"/>
              <w:jc w:val="center"/>
              <w:rPr>
                <w:b/>
                <w:color w:val="FFFFFF"/>
                <w:sz w:val="16"/>
              </w:rPr>
            </w:pPr>
            <w:r>
              <w:rPr>
                <w:b/>
                <w:color w:val="FFFFFF"/>
                <w:sz w:val="16"/>
              </w:rPr>
              <w:t>Mar 23</w:t>
            </w:r>
          </w:p>
        </w:tc>
        <w:tc>
          <w:tcPr>
            <w:tcW w:w="1415" w:type="dxa"/>
            <w:tcBorders/>
            <w:shd w:fill="2AD2C9" w:val="clear"/>
            <w:vAlign w:val="center"/>
          </w:tcPr>
          <w:p>
            <w:pPr>
              <w:pStyle w:val="TableContents"/>
              <w:bidi w:val="0"/>
              <w:spacing w:before="0" w:after="283"/>
              <w:jc w:val="center"/>
              <w:rPr>
                <w:b/>
                <w:color w:val="FFFFFF"/>
                <w:sz w:val="16"/>
              </w:rPr>
            </w:pPr>
            <w:r>
              <w:rPr>
                <w:b/>
                <w:color w:val="FFFFFF"/>
                <w:sz w:val="16"/>
              </w:rPr>
              <w:t>Jun 23</w:t>
            </w:r>
          </w:p>
        </w:tc>
        <w:tc>
          <w:tcPr>
            <w:tcW w:w="556"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QoQ</w:t>
            </w:r>
          </w:p>
        </w:tc>
        <w:tc>
          <w:tcPr>
            <w:tcW w:w="527" w:type="dxa"/>
            <w:tcBorders>
              <w:right w:val="single" w:sz="8" w:space="0" w:color="000000"/>
            </w:tcBorders>
            <w:shd w:fill="2AD2C9" w:val="clear"/>
            <w:tcMar>
              <w:right w:w="28" w:type="dxa"/>
            </w:tcMar>
            <w:vAlign w:val="center"/>
          </w:tcPr>
          <w:p>
            <w:pPr>
              <w:pStyle w:val="TableContents"/>
              <w:bidi w:val="0"/>
              <w:spacing w:before="0" w:after="283"/>
              <w:jc w:val="center"/>
              <w:rPr>
                <w:b/>
                <w:color w:val="FFFFFF"/>
                <w:sz w:val="16"/>
              </w:rPr>
            </w:pPr>
            <w:r>
              <w:rPr>
                <w:b/>
                <w:color w:val="FFFFFF"/>
                <w:sz w:val="16"/>
              </w:rPr>
              <w:t>YoY</w:t>
            </w:r>
          </w:p>
        </w:tc>
      </w:tr>
      <w:tr>
        <w:trPr/>
        <w:tc>
          <w:tcPr>
            <w:tcW w:w="4482" w:type="dxa"/>
            <w:gridSpan w:val="3"/>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left"/>
              <w:rPr>
                <w:b/>
                <w:sz w:val="16"/>
              </w:rPr>
            </w:pPr>
            <w:r>
              <w:rPr>
                <w:b/>
                <w:sz w:val="16"/>
              </w:rPr>
              <w:t>ASSETS</w:t>
            </w:r>
          </w:p>
        </w:tc>
        <w:tc>
          <w:tcPr>
            <w:tcW w:w="1630" w:type="dxa"/>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left"/>
              <w:rPr/>
            </w:pPr>
            <w:r>
              <w:rPr/>
              <w:t> </w:t>
            </w:r>
          </w:p>
        </w:tc>
        <w:tc>
          <w:tcPr>
            <w:tcW w:w="1595" w:type="dxa"/>
            <w:tcBorders>
              <w:top w:val="single" w:sz="8" w:space="0" w:color="000000"/>
            </w:tcBorders>
            <w:shd w:fill="FFFFFF" w:val="clear"/>
            <w:tcMar>
              <w:top w:w="28" w:type="dxa"/>
            </w:tcMar>
            <w:vAlign w:val="center"/>
          </w:tcPr>
          <w:p>
            <w:pPr>
              <w:pStyle w:val="TableContents"/>
              <w:bidi w:val="0"/>
              <w:spacing w:before="0" w:after="283"/>
              <w:jc w:val="left"/>
              <w:rPr/>
            </w:pPr>
            <w:r>
              <w:rPr/>
              <w:t> </w:t>
            </w:r>
          </w:p>
        </w:tc>
        <w:tc>
          <w:tcPr>
            <w:tcW w:w="1415" w:type="dxa"/>
            <w:tcBorders>
              <w:top w:val="single" w:sz="8" w:space="0" w:color="000000"/>
              <w:right w:val="single" w:sz="8" w:space="0" w:color="000000"/>
            </w:tcBorders>
            <w:shd w:fill="FFFFFF" w:val="clear"/>
            <w:tcMar>
              <w:top w:w="28" w:type="dxa"/>
              <w:right w:w="60" w:type="dxa"/>
            </w:tcMar>
            <w:vAlign w:val="center"/>
          </w:tcPr>
          <w:p>
            <w:pPr>
              <w:pStyle w:val="TableContents"/>
              <w:bidi w:val="0"/>
              <w:spacing w:before="0" w:after="283"/>
              <w:jc w:val="left"/>
              <w:rPr/>
            </w:pPr>
            <w:r>
              <w:rPr/>
              <w:t> </w:t>
            </w:r>
          </w:p>
        </w:tc>
        <w:tc>
          <w:tcPr>
            <w:tcW w:w="556" w:type="dxa"/>
            <w:tcBorders>
              <w:top w:val="single" w:sz="8" w:space="0" w:color="000000"/>
            </w:tcBorders>
            <w:shd w:fill="FFFFFF" w:val="clear"/>
            <w:tcMar>
              <w:top w:w="28" w:type="dxa"/>
            </w:tcMar>
            <w:vAlign w:val="center"/>
          </w:tcPr>
          <w:p>
            <w:pPr>
              <w:pStyle w:val="TableContents"/>
              <w:bidi w:val="0"/>
              <w:spacing w:before="0" w:after="283"/>
              <w:jc w:val="left"/>
              <w:rPr/>
            </w:pPr>
            <w:r>
              <w:rPr/>
              <w:t> </w:t>
            </w:r>
          </w:p>
        </w:tc>
        <w:tc>
          <w:tcPr>
            <w:tcW w:w="527"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left"/>
              <w:rPr/>
            </w:pPr>
            <w:r>
              <w:rPr/>
              <w:t> </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Cash and due from banks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sz w:val="16"/>
              </w:rPr>
            </w:pPr>
            <w:r>
              <w:rPr>
                <w:sz w:val="16"/>
              </w:rPr>
              <w:t>Non-interest bearing</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5,236,507</w:t>
            </w:r>
          </w:p>
        </w:tc>
        <w:tc>
          <w:tcPr>
            <w:tcW w:w="1595" w:type="dxa"/>
            <w:tcBorders/>
            <w:shd w:fill="FFFFFF" w:val="clear"/>
            <w:vAlign w:val="center"/>
          </w:tcPr>
          <w:p>
            <w:pPr>
              <w:pStyle w:val="TableContents"/>
              <w:bidi w:val="0"/>
              <w:spacing w:before="0" w:after="283"/>
              <w:jc w:val="right"/>
              <w:rPr/>
            </w:pPr>
            <w:r>
              <w:rPr/>
              <w:t>           </w:t>
            </w:r>
            <w:r>
              <w:rPr>
                <w:sz w:val="16"/>
              </w:rPr>
              <w:t>5,456,302</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5,300,381</w:t>
            </w:r>
          </w:p>
        </w:tc>
        <w:tc>
          <w:tcPr>
            <w:tcW w:w="556" w:type="dxa"/>
            <w:tcBorders/>
            <w:shd w:fill="FFFFFF" w:val="clear"/>
            <w:vAlign w:val="center"/>
          </w:tcPr>
          <w:p>
            <w:pPr>
              <w:pStyle w:val="TableContents"/>
              <w:bidi w:val="0"/>
              <w:spacing w:before="0" w:after="283"/>
              <w:jc w:val="center"/>
              <w:rPr>
                <w:sz w:val="16"/>
              </w:rPr>
            </w:pPr>
            <w:r>
              <w:rPr>
                <w:sz w:val="16"/>
              </w:rPr>
              <w:t>-2.9%</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1.2%</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sz w:val="16"/>
              </w:rPr>
            </w:pPr>
            <w:r>
              <w:rPr>
                <w:sz w:val="16"/>
              </w:rPr>
              <w:t>Interest bearing</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22,383,291</w:t>
            </w:r>
          </w:p>
        </w:tc>
        <w:tc>
          <w:tcPr>
            <w:tcW w:w="1595" w:type="dxa"/>
            <w:tcBorders/>
            <w:shd w:fill="FFFFFF" w:val="clear"/>
            <w:vAlign w:val="center"/>
          </w:tcPr>
          <w:p>
            <w:pPr>
              <w:pStyle w:val="TableContents"/>
              <w:bidi w:val="0"/>
              <w:spacing w:before="0" w:after="283"/>
              <w:jc w:val="right"/>
              <w:rPr/>
            </w:pPr>
            <w:r>
              <w:rPr/>
              <w:t>          </w:t>
            </w:r>
            <w:r>
              <w:rPr>
                <w:sz w:val="16"/>
              </w:rPr>
              <w:t>26,924,509</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25,182,623</w:t>
            </w:r>
          </w:p>
        </w:tc>
        <w:tc>
          <w:tcPr>
            <w:tcW w:w="556" w:type="dxa"/>
            <w:tcBorders/>
            <w:shd w:fill="FFFFFF" w:val="clear"/>
            <w:vAlign w:val="center"/>
          </w:tcPr>
          <w:p>
            <w:pPr>
              <w:pStyle w:val="TableContents"/>
              <w:bidi w:val="0"/>
              <w:spacing w:before="0" w:after="283"/>
              <w:jc w:val="center"/>
              <w:rPr>
                <w:sz w:val="16"/>
              </w:rPr>
            </w:pPr>
            <w:r>
              <w:rPr>
                <w:sz w:val="16"/>
              </w:rPr>
              <w:t>-6.5%</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12.5%</w:t>
            </w:r>
          </w:p>
        </w:tc>
      </w:tr>
      <w:tr>
        <w:trPr/>
        <w:tc>
          <w:tcPr>
            <w:tcW w:w="4482" w:type="dxa"/>
            <w:gridSpan w:val="3"/>
            <w:tcBorders>
              <w:left w:val="single" w:sz="8" w:space="0" w:color="000000"/>
            </w:tcBorders>
            <w:shd w:fill="FFFFFF" w:val="clear"/>
            <w:tcMar>
              <w:left w:w="180" w:type="dxa"/>
            </w:tcMar>
            <w:vAlign w:val="center"/>
          </w:tcPr>
          <w:p>
            <w:pPr>
              <w:pStyle w:val="TableContents"/>
              <w:bidi w:val="0"/>
              <w:spacing w:before="0" w:after="283"/>
              <w:jc w:val="left"/>
              <w:rPr>
                <w:b/>
                <w:sz w:val="16"/>
              </w:rPr>
            </w:pPr>
            <w:r>
              <w:rPr>
                <w:b/>
                <w:sz w:val="16"/>
              </w:rPr>
              <w:t>Total cash and due from banks</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27,619,798</w:t>
            </w:r>
          </w:p>
        </w:tc>
        <w:tc>
          <w:tcPr>
            <w:tcW w:w="1595" w:type="dxa"/>
            <w:tcBorders/>
            <w:shd w:fill="FFFFFF" w:val="clear"/>
            <w:vAlign w:val="center"/>
          </w:tcPr>
          <w:p>
            <w:pPr>
              <w:pStyle w:val="TableContents"/>
              <w:bidi w:val="0"/>
              <w:spacing w:before="0" w:after="283"/>
              <w:jc w:val="right"/>
              <w:rPr/>
            </w:pPr>
            <w:r>
              <w:rPr/>
              <w:t>          </w:t>
            </w:r>
            <w:r>
              <w:rPr>
                <w:b/>
                <w:sz w:val="16"/>
              </w:rPr>
              <w:t>32,380,811</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30,483,004</w:t>
            </w:r>
          </w:p>
        </w:tc>
        <w:tc>
          <w:tcPr>
            <w:tcW w:w="556" w:type="dxa"/>
            <w:tcBorders/>
            <w:shd w:fill="FFFFFF" w:val="clear"/>
            <w:vAlign w:val="center"/>
          </w:tcPr>
          <w:p>
            <w:pPr>
              <w:pStyle w:val="TableContents"/>
              <w:bidi w:val="0"/>
              <w:spacing w:before="0" w:after="283"/>
              <w:jc w:val="center"/>
              <w:rPr>
                <w:b/>
                <w:sz w:val="16"/>
              </w:rPr>
            </w:pPr>
            <w:r>
              <w:rPr>
                <w:b/>
                <w:sz w:val="16"/>
              </w:rPr>
              <w:t>-5.9%</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10.4%</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Cash collateral, reverse repurchase agreements and securities borrowing</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542,521</w:t>
            </w:r>
          </w:p>
        </w:tc>
        <w:tc>
          <w:tcPr>
            <w:tcW w:w="1595" w:type="dxa"/>
            <w:tcBorders/>
            <w:shd w:fill="FFFFFF" w:val="clear"/>
            <w:vAlign w:val="center"/>
          </w:tcPr>
          <w:p>
            <w:pPr>
              <w:pStyle w:val="TableContents"/>
              <w:bidi w:val="0"/>
              <w:spacing w:before="0" w:after="283"/>
              <w:jc w:val="right"/>
              <w:rPr/>
            </w:pPr>
            <w:r>
              <w:rPr/>
              <w:t>              </w:t>
            </w:r>
            <w:r>
              <w:rPr>
                <w:b/>
                <w:sz w:val="16"/>
              </w:rPr>
              <w:t>232,059</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537,814</w:t>
            </w:r>
          </w:p>
        </w:tc>
        <w:tc>
          <w:tcPr>
            <w:tcW w:w="556" w:type="dxa"/>
            <w:tcBorders/>
            <w:shd w:fill="FFFFFF" w:val="clear"/>
            <w:vAlign w:val="center"/>
          </w:tcPr>
          <w:p>
            <w:pPr>
              <w:pStyle w:val="TableContents"/>
              <w:bidi w:val="0"/>
              <w:spacing w:before="0" w:after="283"/>
              <w:jc w:val="center"/>
              <w:rPr>
                <w:b/>
                <w:sz w:val="16"/>
              </w:rPr>
            </w:pPr>
            <w:r>
              <w:rPr>
                <w:b/>
                <w:sz w:val="16"/>
              </w:rPr>
              <w:t>131.8%</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-0.9%</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b/>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Fair value through profit or loss investments </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163,187</w:t>
            </w:r>
          </w:p>
        </w:tc>
        <w:tc>
          <w:tcPr>
            <w:tcW w:w="1595" w:type="dxa"/>
            <w:tcBorders/>
            <w:shd w:fill="FFFFFF" w:val="clear"/>
            <w:vAlign w:val="center"/>
          </w:tcPr>
          <w:p>
            <w:pPr>
              <w:pStyle w:val="TableContents"/>
              <w:bidi w:val="0"/>
              <w:spacing w:before="0" w:after="283"/>
              <w:jc w:val="right"/>
              <w:rPr/>
            </w:pPr>
            <w:r>
              <w:rPr/>
              <w:t>                </w:t>
            </w:r>
            <w:r>
              <w:rPr>
                <w:b/>
                <w:sz w:val="16"/>
              </w:rPr>
              <w:t>39,638</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221,253</w:t>
            </w:r>
          </w:p>
        </w:tc>
        <w:tc>
          <w:tcPr>
            <w:tcW w:w="556" w:type="dxa"/>
            <w:tcBorders/>
            <w:shd w:fill="FFFFFF" w:val="clear"/>
            <w:vAlign w:val="center"/>
          </w:tcPr>
          <w:p>
            <w:pPr>
              <w:pStyle w:val="TableContents"/>
              <w:bidi w:val="0"/>
              <w:spacing w:before="0" w:after="283"/>
              <w:jc w:val="center"/>
              <w:rPr>
                <w:b/>
                <w:sz w:val="16"/>
              </w:rPr>
            </w:pPr>
            <w:r>
              <w:rPr>
                <w:b/>
                <w:sz w:val="16"/>
              </w:rPr>
              <w:t>458.2%</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35.6%</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Fair value through other comprehensive income investments</w:t>
            </w:r>
          </w:p>
        </w:tc>
        <w:tc>
          <w:tcPr>
            <w:tcW w:w="60" w:type="dxa"/>
            <w:tcBorders/>
            <w:shd w:fill="FFFFFF" w:val="clear"/>
            <w:vAlign w:val="center"/>
          </w:tcPr>
          <w:p>
            <w:pPr>
              <w:pStyle w:val="TableContents"/>
              <w:bidi w:val="0"/>
              <w:spacing w:before="0" w:after="283"/>
              <w:jc w:val="righ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17,868,118</w:t>
            </w:r>
          </w:p>
        </w:tc>
        <w:tc>
          <w:tcPr>
            <w:tcW w:w="1595" w:type="dxa"/>
            <w:tcBorders/>
            <w:shd w:fill="FFFFFF" w:val="clear"/>
            <w:vAlign w:val="center"/>
          </w:tcPr>
          <w:p>
            <w:pPr>
              <w:pStyle w:val="TableContents"/>
              <w:bidi w:val="0"/>
              <w:spacing w:before="0" w:after="283"/>
              <w:jc w:val="right"/>
              <w:rPr/>
            </w:pPr>
            <w:r>
              <w:rPr/>
              <w:t>          </w:t>
            </w:r>
            <w:r>
              <w:rPr>
                <w:b/>
                <w:sz w:val="16"/>
              </w:rPr>
              <w:t>17,702,831</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17,169,798</w:t>
            </w:r>
          </w:p>
        </w:tc>
        <w:tc>
          <w:tcPr>
            <w:tcW w:w="556" w:type="dxa"/>
            <w:tcBorders/>
            <w:shd w:fill="FFFFFF" w:val="clear"/>
            <w:vAlign w:val="center"/>
          </w:tcPr>
          <w:p>
            <w:pPr>
              <w:pStyle w:val="TableContents"/>
              <w:bidi w:val="0"/>
              <w:spacing w:before="0" w:after="283"/>
              <w:jc w:val="center"/>
              <w:rPr>
                <w:b/>
                <w:sz w:val="16"/>
              </w:rPr>
            </w:pPr>
            <w:r>
              <w:rPr>
                <w:b/>
                <w:sz w:val="16"/>
              </w:rPr>
              <w:t>-3.0%</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-3.9%</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Amortized cost investments</w:t>
            </w:r>
          </w:p>
        </w:tc>
        <w:tc>
          <w:tcPr>
            <w:tcW w:w="60" w:type="dxa"/>
            <w:tcBorders/>
            <w:shd w:fill="FFFFFF" w:val="clear"/>
            <w:vAlign w:val="center"/>
          </w:tcPr>
          <w:p>
            <w:pPr>
              <w:pStyle w:val="TableContents"/>
              <w:bidi w:val="0"/>
              <w:spacing w:before="0" w:after="283"/>
              <w:jc w:val="righ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7,630,677</w:t>
            </w:r>
          </w:p>
        </w:tc>
        <w:tc>
          <w:tcPr>
            <w:tcW w:w="1595" w:type="dxa"/>
            <w:tcBorders/>
            <w:shd w:fill="FFFFFF" w:val="clear"/>
            <w:vAlign w:val="center"/>
          </w:tcPr>
          <w:p>
            <w:pPr>
              <w:pStyle w:val="TableContents"/>
              <w:bidi w:val="0"/>
              <w:spacing w:before="0" w:after="283"/>
              <w:jc w:val="right"/>
              <w:rPr/>
            </w:pPr>
            <w:r>
              <w:rPr/>
              <w:t>           </w:t>
            </w:r>
            <w:r>
              <w:rPr>
                <w:b/>
                <w:sz w:val="16"/>
              </w:rPr>
              <w:t>9,661,389</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9,611,227</w:t>
            </w:r>
          </w:p>
        </w:tc>
        <w:tc>
          <w:tcPr>
            <w:tcW w:w="556" w:type="dxa"/>
            <w:tcBorders/>
            <w:shd w:fill="FFFFFF" w:val="clear"/>
            <w:vAlign w:val="center"/>
          </w:tcPr>
          <w:p>
            <w:pPr>
              <w:pStyle w:val="TableContents"/>
              <w:bidi w:val="0"/>
              <w:spacing w:before="0" w:after="283"/>
              <w:jc w:val="center"/>
              <w:rPr>
                <w:b/>
                <w:sz w:val="16"/>
              </w:rPr>
            </w:pPr>
            <w:r>
              <w:rPr>
                <w:b/>
                <w:sz w:val="16"/>
              </w:rPr>
              <w:t>-0.5%</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26.0%</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Loans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138,012,365</w:t>
            </w:r>
          </w:p>
        </w:tc>
        <w:tc>
          <w:tcPr>
            <w:tcW w:w="1595" w:type="dxa"/>
            <w:tcBorders/>
            <w:shd w:fill="FFFFFF" w:val="clear"/>
            <w:vAlign w:val="center"/>
          </w:tcPr>
          <w:p>
            <w:pPr>
              <w:pStyle w:val="TableContents"/>
              <w:bidi w:val="0"/>
              <w:spacing w:before="0" w:after="283"/>
              <w:jc w:val="right"/>
              <w:rPr/>
            </w:pPr>
            <w:r>
              <w:rPr/>
              <w:t>     </w:t>
            </w:r>
            <w:r>
              <w:rPr>
                <w:b/>
                <w:sz w:val="16"/>
              </w:rPr>
              <w:t>132,290,495</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130,175,792</w:t>
            </w:r>
          </w:p>
        </w:tc>
        <w:tc>
          <w:tcPr>
            <w:tcW w:w="556" w:type="dxa"/>
            <w:tcBorders/>
            <w:shd w:fill="FFFFFF" w:val="clear"/>
            <w:vAlign w:val="center"/>
          </w:tcPr>
          <w:p>
            <w:pPr>
              <w:pStyle w:val="TableContents"/>
              <w:bidi w:val="0"/>
              <w:spacing w:before="0" w:after="283"/>
              <w:jc w:val="center"/>
              <w:rPr>
                <w:b/>
                <w:sz w:val="16"/>
              </w:rPr>
            </w:pPr>
            <w:r>
              <w:rPr>
                <w:b/>
                <w:sz w:val="16"/>
              </w:rPr>
              <w:t>-1.6%</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-5.7%</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sz w:val="16"/>
              </w:rPr>
            </w:pPr>
            <w:r>
              <w:rPr>
                <w:sz w:val="16"/>
              </w:rPr>
              <w:t>Current</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132,146,911</w:t>
            </w:r>
          </w:p>
        </w:tc>
        <w:tc>
          <w:tcPr>
            <w:tcW w:w="1595" w:type="dxa"/>
            <w:tcBorders/>
            <w:shd w:fill="FFFFFF" w:val="clear"/>
            <w:vAlign w:val="center"/>
          </w:tcPr>
          <w:p>
            <w:pPr>
              <w:pStyle w:val="TableContents"/>
              <w:bidi w:val="0"/>
              <w:spacing w:before="0" w:after="283"/>
              <w:jc w:val="right"/>
              <w:rPr/>
            </w:pPr>
            <w:r>
              <w:rPr/>
              <w:t>        </w:t>
            </w:r>
            <w:r>
              <w:rPr>
                <w:sz w:val="16"/>
              </w:rPr>
              <w:t>126,846,139</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124,488,630</w:t>
            </w:r>
          </w:p>
        </w:tc>
        <w:tc>
          <w:tcPr>
            <w:tcW w:w="556" w:type="dxa"/>
            <w:tcBorders/>
            <w:shd w:fill="FFFFFF" w:val="clear"/>
            <w:vAlign w:val="center"/>
          </w:tcPr>
          <w:p>
            <w:pPr>
              <w:pStyle w:val="TableContents"/>
              <w:bidi w:val="0"/>
              <w:spacing w:before="0" w:after="283"/>
              <w:jc w:val="center"/>
              <w:rPr>
                <w:sz w:val="16"/>
              </w:rPr>
            </w:pPr>
            <w:r>
              <w:rPr>
                <w:sz w:val="16"/>
              </w:rPr>
              <w:t>-1.9%</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-5.8%</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vAlign w:val="center"/>
          </w:tcPr>
          <w:p>
            <w:pPr>
              <w:pStyle w:val="TableContents"/>
              <w:bidi w:val="0"/>
              <w:spacing w:before="0" w:after="283"/>
              <w:jc w:val="left"/>
              <w:rPr>
                <w:sz w:val="16"/>
              </w:rPr>
            </w:pPr>
            <w:r>
              <w:rPr>
                <w:sz w:val="16"/>
              </w:rPr>
              <w:t>Internal overdue loans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tcMar>
              <w:left w:w="28" w:type="dxa"/>
            </w:tcMar>
            <w:vAlign w:val="center"/>
          </w:tcPr>
          <w:p>
            <w:pPr>
              <w:pStyle w:val="TableContents"/>
              <w:bidi w:val="0"/>
              <w:spacing w:before="0" w:after="283"/>
              <w:jc w:val="right"/>
              <w:rPr/>
            </w:pPr>
            <w:r>
              <w:rPr/>
              <w:t>              </w:t>
            </w:r>
            <w:r>
              <w:rPr>
                <w:sz w:val="16"/>
              </w:rPr>
              <w:t>5,865,454</w:t>
            </w:r>
          </w:p>
        </w:tc>
        <w:tc>
          <w:tcPr>
            <w:tcW w:w="1595" w:type="dxa"/>
            <w:tcBorders/>
            <w:shd w:fill="FFFFFF" w:val="clear"/>
            <w:vAlign w:val="center"/>
          </w:tcPr>
          <w:p>
            <w:pPr>
              <w:pStyle w:val="TableContents"/>
              <w:bidi w:val="0"/>
              <w:spacing w:before="0" w:after="283"/>
              <w:jc w:val="right"/>
              <w:rPr/>
            </w:pPr>
            <w:r>
              <w:rPr/>
              <w:t>           </w:t>
            </w:r>
            <w:r>
              <w:rPr>
                <w:sz w:val="16"/>
              </w:rPr>
              <w:t>5,444,356</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5,687,162</w:t>
            </w:r>
          </w:p>
        </w:tc>
        <w:tc>
          <w:tcPr>
            <w:tcW w:w="556" w:type="dxa"/>
            <w:tcBorders/>
            <w:shd w:fill="FFFFFF" w:val="clear"/>
            <w:vAlign w:val="center"/>
          </w:tcPr>
          <w:p>
            <w:pPr>
              <w:pStyle w:val="TableContents"/>
              <w:bidi w:val="0"/>
              <w:spacing w:before="0" w:after="283"/>
              <w:jc w:val="center"/>
              <w:rPr>
                <w:sz w:val="16"/>
              </w:rPr>
            </w:pPr>
            <w:r>
              <w:rPr>
                <w:sz w:val="16"/>
              </w:rPr>
              <w:t>4.5%</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-3.0%</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sz w:val="16"/>
              </w:rPr>
            </w:pPr>
            <w:r>
              <w:rPr>
                <w:sz w:val="16"/>
              </w:rPr>
              <w:t>Less - allowance for loan losses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(7,813,526)</w:t>
            </w:r>
          </w:p>
        </w:tc>
        <w:tc>
          <w:tcPr>
            <w:tcW w:w="1595" w:type="dxa"/>
            <w:tcBorders/>
            <w:shd w:fill="FFFFFF" w:val="clear"/>
            <w:vAlign w:val="center"/>
          </w:tcPr>
          <w:p>
            <w:pPr>
              <w:pStyle w:val="TableContents"/>
              <w:bidi w:val="0"/>
              <w:spacing w:before="0" w:after="283"/>
              <w:jc w:val="right"/>
              <w:rPr/>
            </w:pPr>
            <w:r>
              <w:rPr/>
              <w:t>          </w:t>
            </w:r>
            <w:r>
              <w:rPr>
                <w:sz w:val="16"/>
              </w:rPr>
              <w:t>(7,450,091)</w:t>
            </w:r>
          </w:p>
        </w:tc>
        <w:tc>
          <w:tcPr>
            <w:tcW w:w="1415"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(7,504,879)</w:t>
            </w:r>
          </w:p>
        </w:tc>
        <w:tc>
          <w:tcPr>
            <w:tcW w:w="556" w:type="dxa"/>
            <w:tcBorders/>
            <w:shd w:fill="FFFFFF" w:val="clear"/>
            <w:vAlign w:val="center"/>
          </w:tcPr>
          <w:p>
            <w:pPr>
              <w:pStyle w:val="TableContents"/>
              <w:bidi w:val="0"/>
              <w:spacing w:before="0" w:after="283"/>
              <w:jc w:val="center"/>
              <w:rPr>
                <w:sz w:val="16"/>
              </w:rPr>
            </w:pPr>
            <w:r>
              <w:rPr>
                <w:sz w:val="16"/>
              </w:rPr>
              <w:t>0.7%</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-4.0%</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Loans, net</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130,198,839</w:t>
            </w:r>
          </w:p>
        </w:tc>
        <w:tc>
          <w:tcPr>
            <w:tcW w:w="1595" w:type="dxa"/>
            <w:tcBorders/>
            <w:shd w:fill="FFFFFF" w:val="clear"/>
            <w:vAlign w:val="center"/>
          </w:tcPr>
          <w:p>
            <w:pPr>
              <w:pStyle w:val="TableContents"/>
              <w:bidi w:val="0"/>
              <w:spacing w:before="0" w:after="283"/>
              <w:jc w:val="right"/>
              <w:rPr/>
            </w:pPr>
            <w:r>
              <w:rPr/>
              <w:t>        </w:t>
            </w:r>
            <w:r>
              <w:rPr>
                <w:b/>
                <w:sz w:val="16"/>
              </w:rPr>
              <w:t>124,840,404</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122,670,913</w:t>
            </w:r>
          </w:p>
        </w:tc>
        <w:tc>
          <w:tcPr>
            <w:tcW w:w="556" w:type="dxa"/>
            <w:tcBorders/>
            <w:shd w:fill="FFFFFF" w:val="clear"/>
            <w:vAlign w:val="center"/>
          </w:tcPr>
          <w:p>
            <w:pPr>
              <w:pStyle w:val="TableContents"/>
              <w:bidi w:val="0"/>
              <w:spacing w:before="0" w:after="283"/>
              <w:jc w:val="center"/>
              <w:rPr>
                <w:b/>
                <w:sz w:val="16"/>
              </w:rPr>
            </w:pPr>
            <w:r>
              <w:rPr>
                <w:b/>
                <w:sz w:val="16"/>
              </w:rPr>
              <w:t>-1.7%</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-5.8%</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Property, furniture and equipment, net (1)</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1,558,507</w:t>
            </w:r>
          </w:p>
        </w:tc>
        <w:tc>
          <w:tcPr>
            <w:tcW w:w="1595" w:type="dxa"/>
            <w:tcBorders/>
            <w:shd w:fill="FFFFFF" w:val="clear"/>
            <w:vAlign w:val="center"/>
          </w:tcPr>
          <w:p>
            <w:pPr>
              <w:pStyle w:val="TableContents"/>
              <w:bidi w:val="0"/>
              <w:spacing w:before="0" w:after="283"/>
              <w:jc w:val="right"/>
              <w:rPr/>
            </w:pPr>
            <w:r>
              <w:rPr/>
              <w:t>           </w:t>
            </w:r>
            <w:r>
              <w:rPr>
                <w:b/>
                <w:sz w:val="16"/>
              </w:rPr>
              <w:t>1,489,392</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1,460,108</w:t>
            </w:r>
          </w:p>
        </w:tc>
        <w:tc>
          <w:tcPr>
            <w:tcW w:w="556" w:type="dxa"/>
            <w:tcBorders/>
            <w:shd w:fill="FFFFFF" w:val="clear"/>
            <w:vAlign w:val="center"/>
          </w:tcPr>
          <w:p>
            <w:pPr>
              <w:pStyle w:val="TableContents"/>
              <w:bidi w:val="0"/>
              <w:spacing w:before="0" w:after="283"/>
              <w:jc w:val="center"/>
              <w:rPr>
                <w:b/>
                <w:sz w:val="16"/>
              </w:rPr>
            </w:pPr>
            <w:r>
              <w:rPr>
                <w:b/>
                <w:sz w:val="16"/>
              </w:rPr>
              <w:t>-2.0%</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-6.3%</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Due from customers on acceptances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743,925</w:t>
            </w:r>
          </w:p>
        </w:tc>
        <w:tc>
          <w:tcPr>
            <w:tcW w:w="1595" w:type="dxa"/>
            <w:tcBorders/>
            <w:shd w:fill="FFFFFF" w:val="clear"/>
            <w:vAlign w:val="center"/>
          </w:tcPr>
          <w:p>
            <w:pPr>
              <w:pStyle w:val="TableContents"/>
              <w:bidi w:val="0"/>
              <w:spacing w:before="0" w:after="283"/>
              <w:jc w:val="right"/>
              <w:rPr/>
            </w:pPr>
            <w:r>
              <w:rPr/>
              <w:t>              </w:t>
            </w:r>
            <w:r>
              <w:rPr>
                <w:b/>
                <w:sz w:val="16"/>
              </w:rPr>
              <w:t>496,170</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226,161</w:t>
            </w:r>
          </w:p>
        </w:tc>
        <w:tc>
          <w:tcPr>
            <w:tcW w:w="556" w:type="dxa"/>
            <w:tcBorders/>
            <w:shd w:fill="FFFFFF" w:val="clear"/>
            <w:vAlign w:val="center"/>
          </w:tcPr>
          <w:p>
            <w:pPr>
              <w:pStyle w:val="TableContents"/>
              <w:bidi w:val="0"/>
              <w:spacing w:before="0" w:after="283"/>
              <w:jc w:val="center"/>
              <w:rPr>
                <w:b/>
                <w:sz w:val="16"/>
              </w:rPr>
            </w:pPr>
            <w:r>
              <w:rPr>
                <w:b/>
                <w:sz w:val="16"/>
              </w:rPr>
              <w:t>-54.4%</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-69.6%</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Investments in associates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26,411</w:t>
            </w:r>
          </w:p>
        </w:tc>
        <w:tc>
          <w:tcPr>
            <w:tcW w:w="1595" w:type="dxa"/>
            <w:tcBorders/>
            <w:shd w:fill="FFFFFF" w:val="clear"/>
            <w:vAlign w:val="center"/>
          </w:tcPr>
          <w:p>
            <w:pPr>
              <w:pStyle w:val="TableContents"/>
              <w:bidi w:val="0"/>
              <w:spacing w:before="0" w:after="283"/>
              <w:jc w:val="right"/>
              <w:rPr/>
            </w:pPr>
            <w:r>
              <w:rPr/>
              <w:t>                </w:t>
            </w:r>
            <w:r>
              <w:rPr>
                <w:b/>
                <w:sz w:val="16"/>
              </w:rPr>
              <w:t>18,246</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16,670</w:t>
            </w:r>
          </w:p>
        </w:tc>
        <w:tc>
          <w:tcPr>
            <w:tcW w:w="556" w:type="dxa"/>
            <w:tcBorders/>
            <w:shd w:fill="FFFFFF" w:val="clear"/>
            <w:vAlign w:val="center"/>
          </w:tcPr>
          <w:p>
            <w:pPr>
              <w:pStyle w:val="TableContents"/>
              <w:bidi w:val="0"/>
              <w:spacing w:before="0" w:after="283"/>
              <w:jc w:val="center"/>
              <w:rPr>
                <w:b/>
                <w:sz w:val="16"/>
              </w:rPr>
            </w:pPr>
            <w:r>
              <w:rPr>
                <w:b/>
                <w:sz w:val="16"/>
              </w:rPr>
              <w:t>-8.6%</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-36.9%</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Other assets (2)</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7,018,343</w:t>
            </w:r>
          </w:p>
        </w:tc>
        <w:tc>
          <w:tcPr>
            <w:tcW w:w="1595" w:type="dxa"/>
            <w:tcBorders/>
            <w:shd w:fill="FFFFFF" w:val="clear"/>
            <w:vAlign w:val="center"/>
          </w:tcPr>
          <w:p>
            <w:pPr>
              <w:pStyle w:val="TableContents"/>
              <w:bidi w:val="0"/>
              <w:spacing w:before="0" w:after="283"/>
              <w:jc w:val="right"/>
              <w:rPr/>
            </w:pPr>
            <w:r>
              <w:rPr/>
              <w:t>           </w:t>
            </w:r>
            <w:r>
              <w:rPr>
                <w:b/>
                <w:sz w:val="16"/>
              </w:rPr>
              <w:t>6,873,005</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7,653,151</w:t>
            </w:r>
          </w:p>
        </w:tc>
        <w:tc>
          <w:tcPr>
            <w:tcW w:w="556" w:type="dxa"/>
            <w:tcBorders/>
            <w:shd w:fill="FFFFFF" w:val="clear"/>
            <w:vAlign w:val="center"/>
          </w:tcPr>
          <w:p>
            <w:pPr>
              <w:pStyle w:val="TableContents"/>
              <w:bidi w:val="0"/>
              <w:spacing w:before="0" w:after="283"/>
              <w:jc w:val="center"/>
              <w:rPr>
                <w:b/>
                <w:sz w:val="16"/>
              </w:rPr>
            </w:pPr>
            <w:r>
              <w:rPr>
                <w:b/>
                <w:sz w:val="16"/>
              </w:rPr>
              <w:t>11.4%</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9.0%</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82" w:type="dxa"/>
            <w:gridSpan w:val="3"/>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Assets</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b/>
                <w:sz w:val="16"/>
              </w:rPr>
            </w:pPr>
            <w:r>
              <w:rPr>
                <w:b/>
                <w:sz w:val="16"/>
              </w:rPr>
              <w:t>193,370,326</w:t>
            </w:r>
          </w:p>
        </w:tc>
        <w:tc>
          <w:tcPr>
            <w:tcW w:w="1595" w:type="dxa"/>
            <w:tcBorders/>
            <w:shd w:fill="FFFFFF" w:val="clear"/>
            <w:vAlign w:val="center"/>
          </w:tcPr>
          <w:p>
            <w:pPr>
              <w:pStyle w:val="TableContents"/>
              <w:bidi w:val="0"/>
              <w:spacing w:before="0" w:after="283"/>
              <w:jc w:val="right"/>
              <w:rPr>
                <w:b/>
                <w:sz w:val="16"/>
              </w:rPr>
            </w:pPr>
            <w:r>
              <w:rPr>
                <w:b/>
                <w:sz w:val="16"/>
              </w:rPr>
              <w:t>193,733,945</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b/>
                <w:sz w:val="16"/>
              </w:rPr>
            </w:pPr>
            <w:r>
              <w:rPr>
                <w:b/>
                <w:sz w:val="16"/>
              </w:rPr>
              <w:t>190,050,099</w:t>
            </w:r>
          </w:p>
        </w:tc>
        <w:tc>
          <w:tcPr>
            <w:tcW w:w="556" w:type="dxa"/>
            <w:tcBorders/>
            <w:shd w:fill="FFFFFF" w:val="clear"/>
            <w:vAlign w:val="center"/>
          </w:tcPr>
          <w:p>
            <w:pPr>
              <w:pStyle w:val="TableContents"/>
              <w:bidi w:val="0"/>
              <w:spacing w:before="0" w:after="283"/>
              <w:jc w:val="center"/>
              <w:rPr>
                <w:b/>
                <w:sz w:val="16"/>
              </w:rPr>
            </w:pPr>
            <w:r>
              <w:rPr>
                <w:b/>
                <w:sz w:val="16"/>
              </w:rPr>
              <w:t>-1.9%</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-1.7%</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82"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Liabilities and Equity</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22" w:type="dxa"/>
            <w:gridSpan w:val="2"/>
            <w:tcBorders>
              <w:left w:val="single" w:sz="8" w:space="0" w:color="000000"/>
            </w:tcBorders>
            <w:tcMar>
              <w:left w:w="28" w:type="dxa"/>
            </w:tcMar>
            <w:vAlign w:val="center"/>
          </w:tcPr>
          <w:p>
            <w:pPr>
              <w:pStyle w:val="TableContents"/>
              <w:bidi w:val="0"/>
              <w:spacing w:before="0" w:after="283"/>
              <w:jc w:val="left"/>
              <w:rPr>
                <w:b/>
                <w:sz w:val="16"/>
              </w:rPr>
            </w:pPr>
            <w:r>
              <w:rPr>
                <w:b/>
                <w:sz w:val="16"/>
              </w:rPr>
              <w:t>Deposits and obligations</w:t>
            </w:r>
          </w:p>
        </w:tc>
        <w:tc>
          <w:tcPr>
            <w:tcW w:w="60" w:type="dxa"/>
            <w:tcBorders/>
            <w:vAlign w:val="center"/>
          </w:tcPr>
          <w:p>
            <w:pPr>
              <w:pStyle w:val="TableContents"/>
              <w:bidi w:val="0"/>
              <w:spacing w:before="0" w:after="283"/>
              <w:jc w:val="left"/>
              <w:rPr/>
            </w:pPr>
            <w:r>
              <w:rPr/>
              <w:t> </w:t>
            </w:r>
          </w:p>
        </w:tc>
        <w:tc>
          <w:tcPr>
            <w:tcW w:w="1630" w:type="dxa"/>
            <w:tcBorders>
              <w:left w:val="single" w:sz="8" w:space="0" w:color="000000"/>
            </w:tcBorders>
            <w:tcMar>
              <w:left w:w="28" w:type="dxa"/>
            </w:tcMar>
            <w:vAlign w:val="center"/>
          </w:tcPr>
          <w:p>
            <w:pPr>
              <w:pStyle w:val="TableContents"/>
              <w:bidi w:val="0"/>
              <w:spacing w:before="0" w:after="283"/>
              <w:jc w:val="right"/>
              <w:rPr/>
            </w:pPr>
            <w:r>
              <w:rPr/>
              <w:t> </w:t>
            </w:r>
          </w:p>
        </w:tc>
        <w:tc>
          <w:tcPr>
            <w:tcW w:w="1595" w:type="dxa"/>
            <w:tcBorders/>
            <w:vAlign w:val="center"/>
          </w:tcPr>
          <w:p>
            <w:pPr>
              <w:pStyle w:val="TableContents"/>
              <w:bidi w:val="0"/>
              <w:spacing w:before="0" w:after="283"/>
              <w:jc w:val="right"/>
              <w:rPr/>
            </w:pPr>
            <w:r>
              <w:rPr/>
              <w:t>                       </w:t>
            </w:r>
            <w:r>
              <w:rPr>
                <w:sz w:val="16"/>
              </w:rPr>
              <w:t>-   </w:t>
            </w:r>
          </w:p>
        </w:tc>
        <w:tc>
          <w:tcPr>
            <w:tcW w:w="141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6" w:type="dxa"/>
            <w:tcBorders/>
            <w:vAlign w:val="center"/>
          </w:tcPr>
          <w:p>
            <w:pPr>
              <w:pStyle w:val="TableContents"/>
              <w:bidi w:val="0"/>
              <w:spacing w:before="0" w:after="283"/>
              <w:jc w:val="center"/>
              <w:rPr/>
            </w:pPr>
            <w:r>
              <w:rPr/>
              <w:t> </w:t>
            </w:r>
          </w:p>
        </w:tc>
        <w:tc>
          <w:tcPr>
            <w:tcW w:w="527"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lineRule="auto" w:line="240" w:before="0" w:after="283"/>
              <w:jc w:val="left"/>
              <w:rPr>
                <w:sz w:val="16"/>
              </w:rPr>
            </w:pPr>
            <w:r>
              <w:rPr>
                <w:sz w:val="16"/>
              </w:rPr>
              <w:t xml:space="preserve">Non-interest bearing </w:t>
            </w:r>
            <w:r>
              <w:rPr>
                <w:rFonts w:ascii="Arial;Helvetica;Sans-Serif" w:hAnsi="Arial;Helvetica;Sans-Serif"/>
                <w:b w:val="false"/>
                <w:i w:val="false"/>
                <w:caps w:val="false"/>
                <w:smallCaps w:val="false"/>
                <w:sz w:val="16"/>
              </w:rPr>
              <w:t>(1)</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40,994,205</w:t>
            </w:r>
          </w:p>
        </w:tc>
        <w:tc>
          <w:tcPr>
            <w:tcW w:w="1595" w:type="dxa"/>
            <w:tcBorders/>
            <w:shd w:fill="FFFFFF" w:val="clear"/>
            <w:vAlign w:val="center"/>
          </w:tcPr>
          <w:p>
            <w:pPr>
              <w:pStyle w:val="TableContents"/>
              <w:bidi w:val="0"/>
              <w:spacing w:before="0" w:after="283"/>
              <w:jc w:val="right"/>
              <w:rPr/>
            </w:pPr>
            <w:r>
              <w:rPr/>
              <w:t>          </w:t>
            </w:r>
            <w:r>
              <w:rPr>
                <w:sz w:val="16"/>
              </w:rPr>
              <w:t>37,978,204</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36,484,571</w:t>
            </w:r>
          </w:p>
        </w:tc>
        <w:tc>
          <w:tcPr>
            <w:tcW w:w="556" w:type="dxa"/>
            <w:tcBorders/>
            <w:shd w:fill="FFFFFF" w:val="clear"/>
            <w:vAlign w:val="center"/>
          </w:tcPr>
          <w:p>
            <w:pPr>
              <w:pStyle w:val="TableContents"/>
              <w:bidi w:val="0"/>
              <w:spacing w:before="0" w:after="283"/>
              <w:jc w:val="center"/>
              <w:rPr>
                <w:sz w:val="16"/>
              </w:rPr>
            </w:pPr>
            <w:r>
              <w:rPr>
                <w:sz w:val="16"/>
              </w:rPr>
              <w:t>-3.9%</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-11.0%</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lineRule="auto" w:line="240" w:before="0" w:after="283"/>
              <w:jc w:val="left"/>
              <w:rPr>
                <w:sz w:val="16"/>
              </w:rPr>
            </w:pPr>
            <w:r>
              <w:rPr>
                <w:sz w:val="16"/>
              </w:rPr>
              <w:t xml:space="preserve">Interest bearing </w:t>
            </w:r>
            <w:r>
              <w:rPr>
                <w:rFonts w:ascii="Arial;Helvetica;Sans-Serif" w:hAnsi="Arial;Helvetica;Sans-Serif"/>
                <w:b w:val="false"/>
                <w:i w:val="false"/>
                <w:caps w:val="false"/>
                <w:smallCaps w:val="false"/>
                <w:sz w:val="16"/>
              </w:rPr>
              <w:t>(1)</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88,145,130</w:t>
            </w:r>
          </w:p>
        </w:tc>
        <w:tc>
          <w:tcPr>
            <w:tcW w:w="1595" w:type="dxa"/>
            <w:tcBorders/>
            <w:shd w:fill="FFFFFF" w:val="clear"/>
            <w:vAlign w:val="center"/>
          </w:tcPr>
          <w:p>
            <w:pPr>
              <w:pStyle w:val="TableContents"/>
              <w:bidi w:val="0"/>
              <w:spacing w:before="0" w:after="283"/>
              <w:jc w:val="right"/>
              <w:rPr/>
            </w:pPr>
            <w:r>
              <w:rPr/>
              <w:t>          </w:t>
            </w:r>
            <w:r>
              <w:rPr>
                <w:sz w:val="16"/>
              </w:rPr>
              <w:t>93,952,305</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91,074,922</w:t>
            </w:r>
          </w:p>
        </w:tc>
        <w:tc>
          <w:tcPr>
            <w:tcW w:w="556" w:type="dxa"/>
            <w:tcBorders/>
            <w:shd w:fill="FFFFFF" w:val="clear"/>
            <w:vAlign w:val="center"/>
          </w:tcPr>
          <w:p>
            <w:pPr>
              <w:pStyle w:val="TableContents"/>
              <w:bidi w:val="0"/>
              <w:spacing w:before="0" w:after="283"/>
              <w:jc w:val="center"/>
              <w:rPr>
                <w:sz w:val="16"/>
              </w:rPr>
            </w:pPr>
            <w:r>
              <w:rPr>
                <w:sz w:val="16"/>
              </w:rPr>
              <w:t>-3.1%</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3.3%</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Total deposits and obligations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129,139,335</w:t>
            </w:r>
          </w:p>
        </w:tc>
        <w:tc>
          <w:tcPr>
            <w:tcW w:w="1595" w:type="dxa"/>
            <w:tcBorders/>
            <w:shd w:fill="FFFFFF" w:val="clear"/>
            <w:vAlign w:val="center"/>
          </w:tcPr>
          <w:p>
            <w:pPr>
              <w:pStyle w:val="TableContents"/>
              <w:bidi w:val="0"/>
              <w:spacing w:before="0" w:after="283"/>
              <w:jc w:val="right"/>
              <w:rPr/>
            </w:pPr>
            <w:r>
              <w:rPr/>
              <w:t>        </w:t>
            </w:r>
            <w:r>
              <w:rPr>
                <w:b/>
                <w:sz w:val="16"/>
              </w:rPr>
              <w:t>131,930,509</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127,559,493</w:t>
            </w:r>
          </w:p>
        </w:tc>
        <w:tc>
          <w:tcPr>
            <w:tcW w:w="556" w:type="dxa"/>
            <w:tcBorders/>
            <w:shd w:fill="FFFFFF" w:val="clear"/>
            <w:vAlign w:val="center"/>
          </w:tcPr>
          <w:p>
            <w:pPr>
              <w:pStyle w:val="TableContents"/>
              <w:bidi w:val="0"/>
              <w:spacing w:before="0" w:after="283"/>
              <w:jc w:val="center"/>
              <w:rPr>
                <w:b/>
                <w:sz w:val="16"/>
              </w:rPr>
            </w:pPr>
            <w:r>
              <w:rPr>
                <w:b/>
                <w:sz w:val="16"/>
              </w:rPr>
              <w:t>-3.3%</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-1.2%</w:t>
            </w:r>
          </w:p>
        </w:tc>
      </w:tr>
      <w:tr>
        <w:trPr/>
        <w:tc>
          <w:tcPr>
            <w:tcW w:w="108" w:type="dxa"/>
            <w:tcBorders>
              <w:left w:val="single" w:sz="8" w:space="0" w:color="000000"/>
            </w:tcBorders>
            <w:tcMar>
              <w:left w:w="28" w:type="dxa"/>
            </w:tcMar>
            <w:vAlign w:val="center"/>
          </w:tcPr>
          <w:p>
            <w:pPr>
              <w:pStyle w:val="TableContents"/>
              <w:bidi w:val="0"/>
              <w:spacing w:before="0" w:after="283"/>
              <w:jc w:val="left"/>
              <w:rPr/>
            </w:pPr>
            <w:r>
              <w:rPr/>
              <w:t> </w:t>
            </w:r>
          </w:p>
        </w:tc>
        <w:tc>
          <w:tcPr>
            <w:tcW w:w="43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left w:val="single" w:sz="8" w:space="0" w:color="000000"/>
            </w:tcBorders>
            <w:tcMar>
              <w:left w:w="28" w:type="dxa"/>
            </w:tcMar>
            <w:vAlign w:val="center"/>
          </w:tcPr>
          <w:p>
            <w:pPr>
              <w:pStyle w:val="TableContents"/>
              <w:bidi w:val="0"/>
              <w:spacing w:before="0" w:after="283"/>
              <w:jc w:val="right"/>
              <w:rPr/>
            </w:pPr>
            <w:r>
              <w:rPr/>
              <w:t> </w:t>
            </w:r>
          </w:p>
        </w:tc>
        <w:tc>
          <w:tcPr>
            <w:tcW w:w="1595" w:type="dxa"/>
            <w:tcBorders/>
            <w:vAlign w:val="center"/>
          </w:tcPr>
          <w:p>
            <w:pPr>
              <w:pStyle w:val="TableContents"/>
              <w:bidi w:val="0"/>
              <w:spacing w:before="0" w:after="283"/>
              <w:jc w:val="right"/>
              <w:rPr/>
            </w:pPr>
            <w:r>
              <w:rPr/>
              <w:t>                       </w:t>
            </w:r>
            <w:r>
              <w:rPr>
                <w:sz w:val="16"/>
              </w:rPr>
              <w:t>-   </w:t>
            </w:r>
          </w:p>
        </w:tc>
        <w:tc>
          <w:tcPr>
            <w:tcW w:w="141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22" w:type="dxa"/>
            <w:gridSpan w:val="2"/>
            <w:tcBorders>
              <w:left w:val="single" w:sz="8" w:space="0" w:color="000000"/>
            </w:tcBorders>
            <w:tcMar>
              <w:left w:w="28" w:type="dxa"/>
            </w:tcMar>
            <w:vAlign w:val="center"/>
          </w:tcPr>
          <w:p>
            <w:pPr>
              <w:pStyle w:val="TableContents"/>
              <w:bidi w:val="0"/>
              <w:spacing w:before="0" w:after="283"/>
              <w:jc w:val="left"/>
              <w:rPr>
                <w:b/>
                <w:sz w:val="16"/>
              </w:rPr>
            </w:pPr>
            <w:r>
              <w:rPr>
                <w:b/>
                <w:sz w:val="16"/>
              </w:rPr>
              <w:t>Payables from repurchase agreements and securities lending</w:t>
            </w:r>
          </w:p>
        </w:tc>
        <w:tc>
          <w:tcPr>
            <w:tcW w:w="60" w:type="dxa"/>
            <w:tcBorders/>
            <w:vAlign w:val="center"/>
          </w:tcPr>
          <w:p>
            <w:pPr>
              <w:pStyle w:val="TableContents"/>
              <w:bidi w:val="0"/>
              <w:spacing w:before="0" w:after="283"/>
              <w:jc w:val="left"/>
              <w:rPr/>
            </w:pPr>
            <w:r>
              <w:rPr/>
              <w:t> </w:t>
            </w:r>
          </w:p>
        </w:tc>
        <w:tc>
          <w:tcPr>
            <w:tcW w:w="1630" w:type="dxa"/>
            <w:tcBorders>
              <w:left w:val="single" w:sz="8" w:space="0" w:color="000000"/>
            </w:tcBorders>
            <w:tcMar>
              <w:left w:w="28" w:type="dxa"/>
            </w:tcMar>
            <w:vAlign w:val="center"/>
          </w:tcPr>
          <w:p>
            <w:pPr>
              <w:pStyle w:val="TableContents"/>
              <w:bidi w:val="0"/>
              <w:spacing w:before="0" w:after="283"/>
              <w:jc w:val="right"/>
              <w:rPr/>
            </w:pPr>
            <w:r>
              <w:rPr/>
              <w:t>            </w:t>
            </w:r>
            <w:r>
              <w:rPr>
                <w:sz w:val="16"/>
              </w:rPr>
              <w:t>16,578,846</w:t>
            </w:r>
          </w:p>
        </w:tc>
        <w:tc>
          <w:tcPr>
            <w:tcW w:w="1595" w:type="dxa"/>
            <w:tcBorders/>
            <w:vAlign w:val="center"/>
          </w:tcPr>
          <w:p>
            <w:pPr>
              <w:pStyle w:val="TableContents"/>
              <w:bidi w:val="0"/>
              <w:spacing w:before="0" w:after="283"/>
              <w:jc w:val="right"/>
              <w:rPr/>
            </w:pPr>
            <w:r>
              <w:rPr/>
              <w:t>          </w:t>
            </w:r>
            <w:r>
              <w:rPr>
                <w:sz w:val="16"/>
              </w:rPr>
              <w:t>10,318,686</w:t>
            </w:r>
          </w:p>
        </w:tc>
        <w:tc>
          <w:tcPr>
            <w:tcW w:w="1415" w:type="dxa"/>
            <w:tcBorders>
              <w:right w:val="single" w:sz="8" w:space="0" w:color="000000"/>
            </w:tcBorders>
            <w:tcMar>
              <w:right w:w="60" w:type="dxa"/>
            </w:tcMar>
            <w:vAlign w:val="center"/>
          </w:tcPr>
          <w:p>
            <w:pPr>
              <w:pStyle w:val="TableContents"/>
              <w:bidi w:val="0"/>
              <w:spacing w:before="0" w:after="283"/>
              <w:jc w:val="right"/>
              <w:rPr/>
            </w:pPr>
            <w:r>
              <w:rPr/>
              <w:t>       </w:t>
            </w:r>
            <w:r>
              <w:rPr>
                <w:sz w:val="16"/>
              </w:rPr>
              <w:t>12,310,396</w:t>
            </w:r>
          </w:p>
        </w:tc>
        <w:tc>
          <w:tcPr>
            <w:tcW w:w="556" w:type="dxa"/>
            <w:tcBorders/>
            <w:vAlign w:val="center"/>
          </w:tcPr>
          <w:p>
            <w:pPr>
              <w:pStyle w:val="TableContents"/>
              <w:bidi w:val="0"/>
              <w:spacing w:before="0" w:after="283"/>
              <w:jc w:val="center"/>
              <w:rPr>
                <w:sz w:val="16"/>
              </w:rPr>
            </w:pPr>
            <w:r>
              <w:rPr>
                <w:sz w:val="16"/>
              </w:rPr>
              <w:t>19.3%</w:t>
            </w:r>
          </w:p>
        </w:tc>
        <w:tc>
          <w:tcPr>
            <w:tcW w:w="527" w:type="dxa"/>
            <w:tcBorders>
              <w:right w:val="single" w:sz="8" w:space="0" w:color="000000"/>
            </w:tcBorders>
            <w:tcMar>
              <w:right w:w="28" w:type="dxa"/>
            </w:tcMar>
            <w:vAlign w:val="center"/>
          </w:tcPr>
          <w:p>
            <w:pPr>
              <w:pStyle w:val="TableContents"/>
              <w:bidi w:val="0"/>
              <w:spacing w:before="0" w:after="283"/>
              <w:jc w:val="center"/>
              <w:rPr>
                <w:sz w:val="16"/>
              </w:rPr>
            </w:pPr>
            <w:r>
              <w:rPr>
                <w:sz w:val="16"/>
              </w:rPr>
              <w:t>-25.7%</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sz w:val="16"/>
              </w:rPr>
            </w:pPr>
            <w:r>
              <w:rPr>
                <w:sz w:val="16"/>
              </w:rPr>
              <w:t>BCRP instruments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16,031,618</w:t>
            </w:r>
          </w:p>
        </w:tc>
        <w:tc>
          <w:tcPr>
            <w:tcW w:w="1595" w:type="dxa"/>
            <w:tcBorders/>
            <w:shd w:fill="FFFFFF" w:val="clear"/>
            <w:vAlign w:val="center"/>
          </w:tcPr>
          <w:p>
            <w:pPr>
              <w:pStyle w:val="TableContents"/>
              <w:bidi w:val="0"/>
              <w:spacing w:before="0" w:after="283"/>
              <w:jc w:val="right"/>
              <w:rPr/>
            </w:pPr>
            <w:r>
              <w:rPr/>
              <w:t>           </w:t>
            </w:r>
            <w:r>
              <w:rPr>
                <w:sz w:val="16"/>
              </w:rPr>
              <w:t>9,780,540</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11,772,771</w:t>
            </w:r>
          </w:p>
        </w:tc>
        <w:tc>
          <w:tcPr>
            <w:tcW w:w="556" w:type="dxa"/>
            <w:tcBorders/>
            <w:shd w:fill="FFFFFF" w:val="clear"/>
            <w:vAlign w:val="center"/>
          </w:tcPr>
          <w:p>
            <w:pPr>
              <w:pStyle w:val="TableContents"/>
              <w:bidi w:val="0"/>
              <w:spacing w:before="0" w:after="283"/>
              <w:jc w:val="center"/>
              <w:rPr>
                <w:sz w:val="16"/>
              </w:rPr>
            </w:pPr>
            <w:r>
              <w:rPr>
                <w:sz w:val="16"/>
              </w:rPr>
              <w:t>20.4%</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-26.6%</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sz w:val="16"/>
              </w:rPr>
            </w:pPr>
            <w:r>
              <w:rPr>
                <w:sz w:val="16"/>
              </w:rPr>
              <w:t>Repurchase agreements with third parties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547,228</w:t>
            </w:r>
          </w:p>
        </w:tc>
        <w:tc>
          <w:tcPr>
            <w:tcW w:w="1595" w:type="dxa"/>
            <w:tcBorders/>
            <w:shd w:fill="FFFFFF" w:val="clear"/>
            <w:vAlign w:val="center"/>
          </w:tcPr>
          <w:p>
            <w:pPr>
              <w:pStyle w:val="TableContents"/>
              <w:bidi w:val="0"/>
              <w:spacing w:before="0" w:after="283"/>
              <w:jc w:val="right"/>
              <w:rPr/>
            </w:pPr>
            <w:r>
              <w:rPr/>
              <w:t>              </w:t>
            </w:r>
            <w:r>
              <w:rPr>
                <w:sz w:val="16"/>
              </w:rPr>
              <w:t>538,146</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537,625</w:t>
            </w:r>
          </w:p>
        </w:tc>
        <w:tc>
          <w:tcPr>
            <w:tcW w:w="556" w:type="dxa"/>
            <w:tcBorders/>
            <w:shd w:fill="FFFFFF" w:val="clear"/>
            <w:vAlign w:val="center"/>
          </w:tcPr>
          <w:p>
            <w:pPr>
              <w:pStyle w:val="TableContents"/>
              <w:bidi w:val="0"/>
              <w:spacing w:before="0" w:after="283"/>
              <w:jc w:val="center"/>
              <w:rPr>
                <w:sz w:val="16"/>
              </w:rPr>
            </w:pPr>
            <w:r>
              <w:rPr>
                <w:sz w:val="16"/>
              </w:rPr>
              <w:t>-0.1%</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-1.8%</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Due to banks and correspondents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5,963,573</w:t>
            </w:r>
          </w:p>
        </w:tc>
        <w:tc>
          <w:tcPr>
            <w:tcW w:w="1595" w:type="dxa"/>
            <w:tcBorders/>
            <w:shd w:fill="FFFFFF" w:val="clear"/>
            <w:vAlign w:val="center"/>
          </w:tcPr>
          <w:p>
            <w:pPr>
              <w:pStyle w:val="TableContents"/>
              <w:bidi w:val="0"/>
              <w:spacing w:before="0" w:after="283"/>
              <w:jc w:val="right"/>
              <w:rPr/>
            </w:pPr>
            <w:r>
              <w:rPr/>
              <w:t>           </w:t>
            </w:r>
            <w:r>
              <w:rPr>
                <w:b/>
                <w:sz w:val="16"/>
              </w:rPr>
              <w:t>9,647,935</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9,704,721</w:t>
            </w:r>
          </w:p>
        </w:tc>
        <w:tc>
          <w:tcPr>
            <w:tcW w:w="556" w:type="dxa"/>
            <w:tcBorders/>
            <w:shd w:fill="FFFFFF" w:val="clear"/>
            <w:vAlign w:val="center"/>
          </w:tcPr>
          <w:p>
            <w:pPr>
              <w:pStyle w:val="TableContents"/>
              <w:bidi w:val="0"/>
              <w:spacing w:before="0" w:after="283"/>
              <w:jc w:val="center"/>
              <w:rPr>
                <w:b/>
                <w:sz w:val="16"/>
              </w:rPr>
            </w:pPr>
            <w:r>
              <w:rPr>
                <w:b/>
                <w:sz w:val="16"/>
              </w:rPr>
              <w:t>0.6%</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62.7%</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Bonds and notes issued</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14,093,426</w:t>
            </w:r>
          </w:p>
        </w:tc>
        <w:tc>
          <w:tcPr>
            <w:tcW w:w="1595" w:type="dxa"/>
            <w:tcBorders/>
            <w:shd w:fill="FFFFFF" w:val="clear"/>
            <w:vAlign w:val="center"/>
          </w:tcPr>
          <w:p>
            <w:pPr>
              <w:pStyle w:val="TableContents"/>
              <w:bidi w:val="0"/>
              <w:spacing w:before="0" w:after="283"/>
              <w:jc w:val="right"/>
              <w:rPr/>
            </w:pPr>
            <w:r>
              <w:rPr/>
              <w:t>          </w:t>
            </w:r>
            <w:r>
              <w:rPr>
                <w:b/>
                <w:sz w:val="16"/>
              </w:rPr>
              <w:t>10,972,861</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10,804,531</w:t>
            </w:r>
          </w:p>
        </w:tc>
        <w:tc>
          <w:tcPr>
            <w:tcW w:w="556" w:type="dxa"/>
            <w:tcBorders/>
            <w:shd w:fill="FFFFFF" w:val="clear"/>
            <w:vAlign w:val="center"/>
          </w:tcPr>
          <w:p>
            <w:pPr>
              <w:pStyle w:val="TableContents"/>
              <w:bidi w:val="0"/>
              <w:spacing w:before="0" w:after="283"/>
              <w:jc w:val="center"/>
              <w:rPr>
                <w:b/>
                <w:sz w:val="16"/>
              </w:rPr>
            </w:pPr>
            <w:r>
              <w:rPr>
                <w:b/>
                <w:sz w:val="16"/>
              </w:rPr>
              <w:t>-1.5%</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-23.3%</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Banker’s acceptances outstanding</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743,925</w:t>
            </w:r>
          </w:p>
        </w:tc>
        <w:tc>
          <w:tcPr>
            <w:tcW w:w="1595" w:type="dxa"/>
            <w:tcBorders/>
            <w:shd w:fill="FFFFFF" w:val="clear"/>
            <w:vAlign w:val="center"/>
          </w:tcPr>
          <w:p>
            <w:pPr>
              <w:pStyle w:val="TableContents"/>
              <w:bidi w:val="0"/>
              <w:spacing w:before="0" w:after="283"/>
              <w:jc w:val="right"/>
              <w:rPr/>
            </w:pPr>
            <w:r>
              <w:rPr/>
              <w:t>              </w:t>
            </w:r>
            <w:r>
              <w:rPr>
                <w:b/>
                <w:sz w:val="16"/>
              </w:rPr>
              <w:t>496,170</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226,161</w:t>
            </w:r>
          </w:p>
        </w:tc>
        <w:tc>
          <w:tcPr>
            <w:tcW w:w="556" w:type="dxa"/>
            <w:tcBorders/>
            <w:shd w:fill="FFFFFF" w:val="clear"/>
            <w:vAlign w:val="center"/>
          </w:tcPr>
          <w:p>
            <w:pPr>
              <w:pStyle w:val="TableContents"/>
              <w:bidi w:val="0"/>
              <w:spacing w:before="0" w:after="283"/>
              <w:jc w:val="center"/>
              <w:rPr>
                <w:b/>
                <w:sz w:val="16"/>
              </w:rPr>
            </w:pPr>
            <w:r>
              <w:rPr>
                <w:b/>
                <w:sz w:val="16"/>
              </w:rPr>
              <w:t>-54.4%</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-69.6%</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Financial liabilities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210,393</w:t>
            </w:r>
          </w:p>
        </w:tc>
        <w:tc>
          <w:tcPr>
            <w:tcW w:w="1595" w:type="dxa"/>
            <w:tcBorders/>
            <w:shd w:fill="FFFFFF" w:val="clear"/>
            <w:vAlign w:val="center"/>
          </w:tcPr>
          <w:p>
            <w:pPr>
              <w:pStyle w:val="TableContents"/>
              <w:bidi w:val="0"/>
              <w:spacing w:before="0" w:after="283"/>
              <w:jc w:val="right"/>
              <w:rPr/>
            </w:pPr>
            <w:r>
              <w:rPr/>
              <w:t>              </w:t>
            </w:r>
            <w:r>
              <w:rPr>
                <w:b/>
                <w:sz w:val="16"/>
              </w:rPr>
              <w:t>193,031</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138,339</w:t>
            </w:r>
          </w:p>
        </w:tc>
        <w:tc>
          <w:tcPr>
            <w:tcW w:w="556" w:type="dxa"/>
            <w:tcBorders/>
            <w:shd w:fill="FFFFFF" w:val="clear"/>
            <w:vAlign w:val="center"/>
          </w:tcPr>
          <w:p>
            <w:pPr>
              <w:pStyle w:val="TableContents"/>
              <w:bidi w:val="0"/>
              <w:spacing w:before="0" w:after="283"/>
              <w:jc w:val="center"/>
              <w:rPr>
                <w:b/>
                <w:sz w:val="16"/>
              </w:rPr>
            </w:pPr>
            <w:r>
              <w:rPr>
                <w:b/>
                <w:sz w:val="16"/>
              </w:rPr>
              <w:t>-28.3%</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-34.2%</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lineRule="auto" w:line="240" w:before="0" w:after="283"/>
              <w:jc w:val="left"/>
              <w:rPr>
                <w:b/>
                <w:sz w:val="16"/>
              </w:rPr>
            </w:pPr>
            <w:r>
              <w:rPr>
                <w:b/>
                <w:sz w:val="16"/>
              </w:rPr>
              <w:t xml:space="preserve">Other liabilities </w:t>
            </w:r>
            <w:r>
              <w:rPr>
                <w:rFonts w:ascii="Arial;Helvetica;Sans-Serif" w:hAnsi="Arial;Helvetica;Sans-Serif"/>
                <w:b w:val="false"/>
                <w:i w:val="false"/>
                <w:caps w:val="false"/>
                <w:smallCaps w:val="false"/>
                <w:sz w:val="16"/>
              </w:rPr>
              <w:t>(3)</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5,512,852</w:t>
            </w:r>
          </w:p>
        </w:tc>
        <w:tc>
          <w:tcPr>
            <w:tcW w:w="1595" w:type="dxa"/>
            <w:tcBorders/>
            <w:shd w:fill="FFFFFF" w:val="clear"/>
            <w:vAlign w:val="center"/>
          </w:tcPr>
          <w:p>
            <w:pPr>
              <w:pStyle w:val="TableContents"/>
              <w:bidi w:val="0"/>
              <w:spacing w:before="0" w:after="283"/>
              <w:jc w:val="right"/>
              <w:rPr/>
            </w:pPr>
            <w:r>
              <w:rPr/>
              <w:t>           </w:t>
            </w:r>
            <w:r>
              <w:rPr>
                <w:b/>
                <w:sz w:val="16"/>
              </w:rPr>
              <w:t>8,245,729</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5,925,279</w:t>
            </w:r>
          </w:p>
        </w:tc>
        <w:tc>
          <w:tcPr>
            <w:tcW w:w="556" w:type="dxa"/>
            <w:tcBorders/>
            <w:shd w:fill="FFFFFF" w:val="clear"/>
            <w:vAlign w:val="center"/>
          </w:tcPr>
          <w:p>
            <w:pPr>
              <w:pStyle w:val="TableContents"/>
              <w:bidi w:val="0"/>
              <w:spacing w:before="0" w:after="283"/>
              <w:jc w:val="center"/>
              <w:rPr>
                <w:b/>
                <w:sz w:val="16"/>
              </w:rPr>
            </w:pPr>
            <w:r>
              <w:rPr>
                <w:b/>
                <w:sz w:val="16"/>
              </w:rPr>
              <w:t>-28.1%</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7.5%</w:t>
            </w:r>
          </w:p>
        </w:tc>
      </w:tr>
      <w:tr>
        <w:trPr/>
        <w:tc>
          <w:tcPr>
            <w:tcW w:w="4482" w:type="dxa"/>
            <w:gridSpan w:val="3"/>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Liabilities</w:t>
            </w:r>
          </w:p>
        </w:tc>
        <w:tc>
          <w:tcPr>
            <w:tcW w:w="1630" w:type="dxa"/>
            <w:tcBorders>
              <w:left w:val="single" w:sz="8" w:space="0" w:color="000000"/>
            </w:tcBorders>
            <w:tcMar>
              <w:left w:w="28" w:type="dxa"/>
            </w:tcMar>
            <w:vAlign w:val="center"/>
          </w:tcPr>
          <w:p>
            <w:pPr>
              <w:pStyle w:val="TableContents"/>
              <w:bidi w:val="0"/>
              <w:spacing w:before="0" w:after="283"/>
              <w:jc w:val="right"/>
              <w:rPr/>
            </w:pPr>
            <w:r>
              <w:rPr/>
              <w:t>          </w:t>
            </w:r>
            <w:r>
              <w:rPr>
                <w:b/>
                <w:sz w:val="16"/>
              </w:rPr>
              <w:t>172,242,350</w:t>
            </w:r>
          </w:p>
        </w:tc>
        <w:tc>
          <w:tcPr>
            <w:tcW w:w="1595" w:type="dxa"/>
            <w:tcBorders/>
            <w:vAlign w:val="center"/>
          </w:tcPr>
          <w:p>
            <w:pPr>
              <w:pStyle w:val="TableContents"/>
              <w:bidi w:val="0"/>
              <w:spacing w:before="0" w:after="283"/>
              <w:jc w:val="right"/>
              <w:rPr/>
            </w:pPr>
            <w:r>
              <w:rPr/>
              <w:t>        </w:t>
            </w:r>
            <w:r>
              <w:rPr>
                <w:b/>
                <w:sz w:val="16"/>
              </w:rPr>
              <w:t>171,804,921</w:t>
            </w:r>
          </w:p>
        </w:tc>
        <w:tc>
          <w:tcPr>
            <w:tcW w:w="141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166,668,920</w:t>
            </w:r>
          </w:p>
        </w:tc>
        <w:tc>
          <w:tcPr>
            <w:tcW w:w="556" w:type="dxa"/>
            <w:tcBorders/>
            <w:vAlign w:val="center"/>
          </w:tcPr>
          <w:p>
            <w:pPr>
              <w:pStyle w:val="TableContents"/>
              <w:bidi w:val="0"/>
              <w:spacing w:before="0" w:after="283"/>
              <w:jc w:val="center"/>
              <w:rPr>
                <w:b/>
                <w:sz w:val="16"/>
              </w:rPr>
            </w:pPr>
            <w:r>
              <w:rPr>
                <w:b/>
                <w:sz w:val="16"/>
              </w:rPr>
              <w:t>-3.0%</w:t>
            </w:r>
          </w:p>
        </w:tc>
        <w:tc>
          <w:tcPr>
            <w:tcW w:w="527"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-3.2%</w:t>
            </w:r>
          </w:p>
        </w:tc>
      </w:tr>
      <w:tr>
        <w:trPr/>
        <w:tc>
          <w:tcPr>
            <w:tcW w:w="108" w:type="dxa"/>
            <w:tcBorders>
              <w:left w:val="single" w:sz="8" w:space="0" w:color="000000"/>
            </w:tcBorders>
            <w:tcMar>
              <w:left w:w="28" w:type="dxa"/>
            </w:tcMar>
            <w:vAlign w:val="center"/>
          </w:tcPr>
          <w:p>
            <w:pPr>
              <w:pStyle w:val="TableContents"/>
              <w:bidi w:val="0"/>
              <w:spacing w:before="0" w:after="283"/>
              <w:jc w:val="left"/>
              <w:rPr/>
            </w:pPr>
            <w:r>
              <w:rPr/>
              <w:t> </w:t>
            </w:r>
          </w:p>
        </w:tc>
        <w:tc>
          <w:tcPr>
            <w:tcW w:w="43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left w:val="single" w:sz="8" w:space="0" w:color="000000"/>
            </w:tcBorders>
            <w:tcMar>
              <w:left w:w="28" w:type="dxa"/>
            </w:tcMar>
            <w:vAlign w:val="center"/>
          </w:tcPr>
          <w:p>
            <w:pPr>
              <w:pStyle w:val="TableContents"/>
              <w:bidi w:val="0"/>
              <w:spacing w:before="0" w:after="283"/>
              <w:jc w:val="right"/>
              <w:rPr/>
            </w:pPr>
            <w:r>
              <w:rPr/>
              <w:t> </w:t>
            </w:r>
          </w:p>
        </w:tc>
        <w:tc>
          <w:tcPr>
            <w:tcW w:w="1595" w:type="dxa"/>
            <w:tcBorders/>
            <w:vAlign w:val="center"/>
          </w:tcPr>
          <w:p>
            <w:pPr>
              <w:pStyle w:val="TableContents"/>
              <w:bidi w:val="0"/>
              <w:spacing w:before="0" w:after="283"/>
              <w:jc w:val="right"/>
              <w:rPr/>
            </w:pPr>
            <w:r>
              <w:rPr/>
              <w:t>                       </w:t>
            </w:r>
            <w:r>
              <w:rPr>
                <w:sz w:val="16"/>
              </w:rPr>
              <w:t>-   </w:t>
            </w:r>
          </w:p>
        </w:tc>
        <w:tc>
          <w:tcPr>
            <w:tcW w:w="141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Net equity</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20,987,313</w:t>
            </w:r>
          </w:p>
        </w:tc>
        <w:tc>
          <w:tcPr>
            <w:tcW w:w="1595" w:type="dxa"/>
            <w:tcBorders/>
            <w:shd w:fill="FFFFFF" w:val="clear"/>
            <w:vAlign w:val="center"/>
          </w:tcPr>
          <w:p>
            <w:pPr>
              <w:pStyle w:val="TableContents"/>
              <w:bidi w:val="0"/>
              <w:spacing w:before="0" w:after="283"/>
              <w:jc w:val="right"/>
              <w:rPr/>
            </w:pPr>
            <w:r>
              <w:rPr/>
              <w:t>          </w:t>
            </w:r>
            <w:r>
              <w:rPr>
                <w:b/>
                <w:sz w:val="16"/>
              </w:rPr>
              <w:t>21,777,751</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23,226,061</w:t>
            </w:r>
          </w:p>
        </w:tc>
        <w:tc>
          <w:tcPr>
            <w:tcW w:w="556" w:type="dxa"/>
            <w:tcBorders/>
            <w:shd w:fill="FFFFFF" w:val="clear"/>
            <w:vAlign w:val="center"/>
          </w:tcPr>
          <w:p>
            <w:pPr>
              <w:pStyle w:val="TableContents"/>
              <w:bidi w:val="0"/>
              <w:spacing w:before="0" w:after="283"/>
              <w:jc w:val="center"/>
              <w:rPr>
                <w:b/>
                <w:sz w:val="16"/>
              </w:rPr>
            </w:pPr>
            <w:r>
              <w:rPr>
                <w:b/>
                <w:sz w:val="16"/>
              </w:rPr>
              <w:t>6.7%</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10.7%</w:t>
            </w:r>
          </w:p>
        </w:tc>
      </w:tr>
      <w:tr>
        <w:trPr/>
        <w:tc>
          <w:tcPr>
            <w:tcW w:w="4422" w:type="dxa"/>
            <w:gridSpan w:val="2"/>
            <w:tcBorders>
              <w:left w:val="single" w:sz="8" w:space="0" w:color="000000"/>
            </w:tcBorders>
            <w:shd w:fill="FFFFFF" w:val="clear"/>
            <w:tcMar>
              <w:left w:w="180" w:type="dxa"/>
            </w:tcMar>
            <w:vAlign w:val="center"/>
          </w:tcPr>
          <w:p>
            <w:pPr>
              <w:pStyle w:val="TableContents"/>
              <w:bidi w:val="0"/>
              <w:spacing w:before="0" w:after="283"/>
              <w:jc w:val="left"/>
              <w:rPr>
                <w:sz w:val="16"/>
              </w:rPr>
            </w:pPr>
            <w:r>
              <w:rPr>
                <w:sz w:val="16"/>
              </w:rPr>
              <w:t>Capital stock</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11,882,984</w:t>
            </w:r>
          </w:p>
        </w:tc>
        <w:tc>
          <w:tcPr>
            <w:tcW w:w="1595" w:type="dxa"/>
            <w:tcBorders/>
            <w:shd w:fill="FFFFFF" w:val="clear"/>
            <w:vAlign w:val="center"/>
          </w:tcPr>
          <w:p>
            <w:pPr>
              <w:pStyle w:val="TableContents"/>
              <w:bidi w:val="0"/>
              <w:spacing w:before="0" w:after="283"/>
              <w:jc w:val="right"/>
              <w:rPr/>
            </w:pPr>
            <w:r>
              <w:rPr/>
              <w:t>          </w:t>
            </w:r>
            <w:r>
              <w:rPr>
                <w:sz w:val="16"/>
              </w:rPr>
              <w:t>12,679,794</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12,679,794</w:t>
            </w:r>
          </w:p>
        </w:tc>
        <w:tc>
          <w:tcPr>
            <w:tcW w:w="556" w:type="dxa"/>
            <w:tcBorders/>
            <w:shd w:fill="FFFFFF" w:val="clear"/>
            <w:vAlign w:val="center"/>
          </w:tcPr>
          <w:p>
            <w:pPr>
              <w:pStyle w:val="TableContents"/>
              <w:bidi w:val="0"/>
              <w:spacing w:before="0" w:after="283"/>
              <w:jc w:val="center"/>
              <w:rPr>
                <w:sz w:val="16"/>
              </w:rPr>
            </w:pPr>
            <w:r>
              <w:rPr>
                <w:sz w:val="16"/>
              </w:rPr>
              <w:t>0.0%</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6.7%</w:t>
            </w:r>
          </w:p>
        </w:tc>
      </w:tr>
      <w:tr>
        <w:trPr/>
        <w:tc>
          <w:tcPr>
            <w:tcW w:w="4482" w:type="dxa"/>
            <w:gridSpan w:val="3"/>
            <w:tcBorders>
              <w:left w:val="single" w:sz="8" w:space="0" w:color="000000"/>
            </w:tcBorders>
            <w:shd w:fill="FFFFFF" w:val="clear"/>
            <w:tcMar>
              <w:left w:w="180" w:type="dxa"/>
            </w:tcMar>
            <w:vAlign w:val="center"/>
          </w:tcPr>
          <w:p>
            <w:pPr>
              <w:pStyle w:val="TableContents"/>
              <w:bidi w:val="0"/>
              <w:spacing w:before="0" w:after="283"/>
              <w:jc w:val="left"/>
              <w:rPr>
                <w:sz w:val="16"/>
              </w:rPr>
            </w:pPr>
            <w:r>
              <w:rPr>
                <w:sz w:val="16"/>
              </w:rPr>
              <w:t>Reserves</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7,298,035</w:t>
            </w:r>
          </w:p>
        </w:tc>
        <w:tc>
          <w:tcPr>
            <w:tcW w:w="1595" w:type="dxa"/>
            <w:tcBorders/>
            <w:shd w:fill="FFFFFF" w:val="clear"/>
            <w:vAlign w:val="center"/>
          </w:tcPr>
          <w:p>
            <w:pPr>
              <w:pStyle w:val="TableContents"/>
              <w:bidi w:val="0"/>
              <w:spacing w:before="0" w:after="283"/>
              <w:jc w:val="right"/>
              <w:rPr/>
            </w:pPr>
            <w:r>
              <w:rPr/>
              <w:t>           </w:t>
            </w:r>
            <w:r>
              <w:rPr>
                <w:sz w:val="16"/>
              </w:rPr>
              <w:t>6,820,019</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6,820,497</w:t>
            </w:r>
          </w:p>
        </w:tc>
        <w:tc>
          <w:tcPr>
            <w:tcW w:w="556" w:type="dxa"/>
            <w:tcBorders/>
            <w:shd w:fill="FFFFFF" w:val="clear"/>
            <w:vAlign w:val="center"/>
          </w:tcPr>
          <w:p>
            <w:pPr>
              <w:pStyle w:val="TableContents"/>
              <w:bidi w:val="0"/>
              <w:spacing w:before="0" w:after="283"/>
              <w:jc w:val="center"/>
              <w:rPr>
                <w:sz w:val="16"/>
              </w:rPr>
            </w:pPr>
            <w:r>
              <w:rPr>
                <w:sz w:val="16"/>
              </w:rPr>
              <w:t>0.0%</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-6.5%</w:t>
            </w:r>
          </w:p>
        </w:tc>
      </w:tr>
      <w:tr>
        <w:trPr/>
        <w:tc>
          <w:tcPr>
            <w:tcW w:w="4422" w:type="dxa"/>
            <w:gridSpan w:val="2"/>
            <w:tcBorders>
              <w:left w:val="single" w:sz="8" w:space="0" w:color="000000"/>
            </w:tcBorders>
            <w:shd w:fill="FFFFFF" w:val="clear"/>
            <w:tcMar>
              <w:left w:w="180" w:type="dxa"/>
            </w:tcMar>
            <w:vAlign w:val="center"/>
          </w:tcPr>
          <w:p>
            <w:pPr>
              <w:pStyle w:val="TableContents"/>
              <w:bidi w:val="0"/>
              <w:spacing w:before="0" w:after="283"/>
              <w:jc w:val="left"/>
              <w:rPr>
                <w:sz w:val="16"/>
              </w:rPr>
            </w:pPr>
            <w:r>
              <w:rPr>
                <w:sz w:val="16"/>
              </w:rPr>
              <w:t>Unrealized gains and losses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tcMar>
              <w:left w:w="28" w:type="dxa"/>
            </w:tcMar>
            <w:vAlign w:val="center"/>
          </w:tcPr>
          <w:p>
            <w:pPr>
              <w:pStyle w:val="TableContents"/>
              <w:bidi w:val="0"/>
              <w:spacing w:before="0" w:after="283"/>
              <w:jc w:val="right"/>
              <w:rPr/>
            </w:pPr>
            <w:r>
              <w:rPr/>
              <w:t>             </w:t>
            </w:r>
            <w:r>
              <w:rPr>
                <w:sz w:val="16"/>
              </w:rPr>
              <w:t>(1,089,747)</w:t>
            </w:r>
          </w:p>
        </w:tc>
        <w:tc>
          <w:tcPr>
            <w:tcW w:w="1595" w:type="dxa"/>
            <w:tcBorders/>
            <w:vAlign w:val="center"/>
          </w:tcPr>
          <w:p>
            <w:pPr>
              <w:pStyle w:val="TableContents"/>
              <w:bidi w:val="0"/>
              <w:spacing w:before="0" w:after="283"/>
              <w:jc w:val="right"/>
              <w:rPr/>
            </w:pPr>
            <w:r>
              <w:rPr/>
              <w:t>             </w:t>
            </w:r>
            <w:r>
              <w:rPr>
                <w:sz w:val="16"/>
              </w:rPr>
              <w:t>(467,041)</w:t>
            </w:r>
          </w:p>
        </w:tc>
        <w:tc>
          <w:tcPr>
            <w:tcW w:w="1415" w:type="dxa"/>
            <w:tcBorders>
              <w:right w:val="single" w:sz="8" w:space="0" w:color="000000"/>
            </w:tcBorders>
            <w:tcMar>
              <w:right w:w="28" w:type="dxa"/>
            </w:tcMar>
            <w:vAlign w:val="center"/>
          </w:tcPr>
          <w:p>
            <w:pPr>
              <w:pStyle w:val="TableContents"/>
              <w:bidi w:val="0"/>
              <w:spacing w:before="0" w:after="283"/>
              <w:jc w:val="right"/>
              <w:rPr/>
            </w:pPr>
            <w:r>
              <w:rPr/>
              <w:t>           </w:t>
            </w:r>
            <w:r>
              <w:rPr>
                <w:sz w:val="16"/>
              </w:rPr>
              <w:t>(274,021)</w:t>
            </w:r>
          </w:p>
        </w:tc>
        <w:tc>
          <w:tcPr>
            <w:tcW w:w="556" w:type="dxa"/>
            <w:tcBorders/>
            <w:vAlign w:val="center"/>
          </w:tcPr>
          <w:p>
            <w:pPr>
              <w:pStyle w:val="TableContents"/>
              <w:bidi w:val="0"/>
              <w:spacing w:before="0" w:after="283"/>
              <w:jc w:val="center"/>
              <w:rPr>
                <w:sz w:val="16"/>
              </w:rPr>
            </w:pPr>
            <w:r>
              <w:rPr>
                <w:sz w:val="16"/>
              </w:rPr>
              <w:t>-41.3%</w:t>
            </w:r>
          </w:p>
        </w:tc>
        <w:tc>
          <w:tcPr>
            <w:tcW w:w="527" w:type="dxa"/>
            <w:tcBorders>
              <w:right w:val="single" w:sz="8" w:space="0" w:color="000000"/>
            </w:tcBorders>
            <w:tcMar>
              <w:right w:w="28" w:type="dxa"/>
            </w:tcMar>
            <w:vAlign w:val="center"/>
          </w:tcPr>
          <w:p>
            <w:pPr>
              <w:pStyle w:val="TableContents"/>
              <w:bidi w:val="0"/>
              <w:spacing w:before="0" w:after="283"/>
              <w:jc w:val="center"/>
              <w:rPr>
                <w:sz w:val="16"/>
              </w:rPr>
            </w:pPr>
            <w:r>
              <w:rPr>
                <w:sz w:val="16"/>
              </w:rPr>
              <w:t>-74.9%</w:t>
            </w:r>
          </w:p>
        </w:tc>
      </w:tr>
      <w:tr>
        <w:trPr/>
        <w:tc>
          <w:tcPr>
            <w:tcW w:w="4422" w:type="dxa"/>
            <w:gridSpan w:val="2"/>
            <w:tcBorders>
              <w:left w:val="single" w:sz="8" w:space="0" w:color="000000"/>
            </w:tcBorders>
            <w:shd w:fill="FFFFFF" w:val="clear"/>
            <w:tcMar>
              <w:left w:w="180" w:type="dxa"/>
            </w:tcMar>
            <w:vAlign w:val="center"/>
          </w:tcPr>
          <w:p>
            <w:pPr>
              <w:pStyle w:val="TableContents"/>
              <w:bidi w:val="0"/>
              <w:spacing w:before="0" w:after="283"/>
              <w:jc w:val="left"/>
              <w:rPr>
                <w:sz w:val="16"/>
              </w:rPr>
            </w:pPr>
            <w:r>
              <w:rPr>
                <w:sz w:val="16"/>
              </w:rPr>
              <w:t>Retained earnings</w:t>
            </w:r>
          </w:p>
        </w:tc>
        <w:tc>
          <w:tcPr>
            <w:tcW w:w="60" w:type="dxa"/>
            <w:tcBorders/>
            <w:vAlign w:val="center"/>
          </w:tcPr>
          <w:p>
            <w:pPr>
              <w:pStyle w:val="TableContents"/>
              <w:bidi w:val="0"/>
              <w:spacing w:before="0" w:after="283"/>
              <w:jc w:val="left"/>
              <w:rPr/>
            </w:pPr>
            <w:r>
              <w:rPr/>
              <w:t> </w:t>
            </w:r>
          </w:p>
        </w:tc>
        <w:tc>
          <w:tcPr>
            <w:tcW w:w="1630" w:type="dxa"/>
            <w:tcBorders>
              <w:left w:val="single" w:sz="8" w:space="0" w:color="000000"/>
            </w:tcBorders>
            <w:tcMar>
              <w:left w:w="28" w:type="dxa"/>
            </w:tcMar>
            <w:vAlign w:val="center"/>
          </w:tcPr>
          <w:p>
            <w:pPr>
              <w:pStyle w:val="TableContents"/>
              <w:bidi w:val="0"/>
              <w:spacing w:before="0" w:after="283"/>
              <w:jc w:val="right"/>
              <w:rPr/>
            </w:pPr>
            <w:r>
              <w:rPr/>
              <w:t>              </w:t>
            </w:r>
            <w:r>
              <w:rPr>
                <w:sz w:val="16"/>
              </w:rPr>
              <w:t>2,896,041</w:t>
            </w:r>
          </w:p>
        </w:tc>
        <w:tc>
          <w:tcPr>
            <w:tcW w:w="1595" w:type="dxa"/>
            <w:tcBorders/>
            <w:vAlign w:val="center"/>
          </w:tcPr>
          <w:p>
            <w:pPr>
              <w:pStyle w:val="TableContents"/>
              <w:bidi w:val="0"/>
              <w:spacing w:before="0" w:after="283"/>
              <w:jc w:val="right"/>
              <w:rPr/>
            </w:pPr>
            <w:r>
              <w:rPr/>
              <w:t>           </w:t>
            </w:r>
            <w:r>
              <w:rPr>
                <w:sz w:val="16"/>
              </w:rPr>
              <w:t>2,744,979</w:t>
            </w:r>
          </w:p>
        </w:tc>
        <w:tc>
          <w:tcPr>
            <w:tcW w:w="1415" w:type="dxa"/>
            <w:tcBorders>
              <w:right w:val="single" w:sz="8" w:space="0" w:color="000000"/>
            </w:tcBorders>
            <w:tcMar>
              <w:right w:w="60" w:type="dxa"/>
            </w:tcMar>
            <w:vAlign w:val="center"/>
          </w:tcPr>
          <w:p>
            <w:pPr>
              <w:pStyle w:val="TableContents"/>
              <w:bidi w:val="0"/>
              <w:spacing w:before="0" w:after="283"/>
              <w:jc w:val="right"/>
              <w:rPr/>
            </w:pPr>
            <w:r>
              <w:rPr/>
              <w:t>         </w:t>
            </w:r>
            <w:r>
              <w:rPr>
                <w:sz w:val="16"/>
              </w:rPr>
              <w:t>3,999,791</w:t>
            </w:r>
          </w:p>
        </w:tc>
        <w:tc>
          <w:tcPr>
            <w:tcW w:w="556" w:type="dxa"/>
            <w:tcBorders/>
            <w:vAlign w:val="center"/>
          </w:tcPr>
          <w:p>
            <w:pPr>
              <w:pStyle w:val="TableContents"/>
              <w:bidi w:val="0"/>
              <w:spacing w:before="0" w:after="283"/>
              <w:jc w:val="center"/>
              <w:rPr>
                <w:sz w:val="16"/>
              </w:rPr>
            </w:pPr>
            <w:r>
              <w:rPr>
                <w:sz w:val="16"/>
              </w:rPr>
              <w:t>45.7%</w:t>
            </w:r>
          </w:p>
        </w:tc>
        <w:tc>
          <w:tcPr>
            <w:tcW w:w="527" w:type="dxa"/>
            <w:tcBorders>
              <w:right w:val="single" w:sz="8" w:space="0" w:color="000000"/>
            </w:tcBorders>
            <w:tcMar>
              <w:right w:w="28" w:type="dxa"/>
            </w:tcMar>
            <w:vAlign w:val="center"/>
          </w:tcPr>
          <w:p>
            <w:pPr>
              <w:pStyle w:val="TableContents"/>
              <w:bidi w:val="0"/>
              <w:spacing w:before="0" w:after="283"/>
              <w:jc w:val="center"/>
              <w:rPr>
                <w:sz w:val="16"/>
              </w:rPr>
            </w:pPr>
            <w:r>
              <w:rPr>
                <w:sz w:val="16"/>
              </w:rPr>
              <w:t>38.1%</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Non-controlling interest</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140,663</w:t>
            </w:r>
          </w:p>
        </w:tc>
        <w:tc>
          <w:tcPr>
            <w:tcW w:w="1595" w:type="dxa"/>
            <w:tcBorders/>
            <w:shd w:fill="FFFFFF" w:val="clear"/>
            <w:vAlign w:val="center"/>
          </w:tcPr>
          <w:p>
            <w:pPr>
              <w:pStyle w:val="TableContents"/>
              <w:bidi w:val="0"/>
              <w:spacing w:before="0" w:after="283"/>
              <w:jc w:val="right"/>
              <w:rPr/>
            </w:pPr>
            <w:r>
              <w:rPr/>
              <w:t>              </w:t>
            </w:r>
            <w:r>
              <w:rPr>
                <w:sz w:val="16"/>
              </w:rPr>
              <w:t>151,273</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155,118</w:t>
            </w:r>
          </w:p>
        </w:tc>
        <w:tc>
          <w:tcPr>
            <w:tcW w:w="556" w:type="dxa"/>
            <w:tcBorders/>
            <w:shd w:fill="FFFFFF" w:val="clear"/>
            <w:vAlign w:val="center"/>
          </w:tcPr>
          <w:p>
            <w:pPr>
              <w:pStyle w:val="TableContents"/>
              <w:bidi w:val="0"/>
              <w:spacing w:before="0" w:after="283"/>
              <w:jc w:val="center"/>
              <w:rPr>
                <w:sz w:val="16"/>
              </w:rPr>
            </w:pPr>
            <w:r>
              <w:rPr>
                <w:sz w:val="16"/>
              </w:rPr>
              <w:t>2.5%</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10.3%</w:t>
            </w:r>
          </w:p>
        </w:tc>
      </w:tr>
      <w:tr>
        <w:trPr/>
        <w:tc>
          <w:tcPr>
            <w:tcW w:w="4482" w:type="dxa"/>
            <w:gridSpan w:val="3"/>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b/>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82" w:type="dxa"/>
            <w:gridSpan w:val="3"/>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Net Equity</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21,127,976</w:t>
            </w:r>
          </w:p>
        </w:tc>
        <w:tc>
          <w:tcPr>
            <w:tcW w:w="1595" w:type="dxa"/>
            <w:tcBorders/>
            <w:shd w:fill="FFFFFF" w:val="clear"/>
            <w:vAlign w:val="center"/>
          </w:tcPr>
          <w:p>
            <w:pPr>
              <w:pStyle w:val="TableContents"/>
              <w:bidi w:val="0"/>
              <w:spacing w:before="0" w:after="283"/>
              <w:jc w:val="right"/>
              <w:rPr/>
            </w:pPr>
            <w:r>
              <w:rPr/>
              <w:t>          </w:t>
            </w:r>
            <w:r>
              <w:rPr>
                <w:b/>
                <w:sz w:val="16"/>
              </w:rPr>
              <w:t>21,929,024</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23,381,179</w:t>
            </w:r>
          </w:p>
        </w:tc>
        <w:tc>
          <w:tcPr>
            <w:tcW w:w="556" w:type="dxa"/>
            <w:tcBorders/>
            <w:shd w:fill="FFFFFF" w:val="clear"/>
            <w:vAlign w:val="center"/>
          </w:tcPr>
          <w:p>
            <w:pPr>
              <w:pStyle w:val="TableContents"/>
              <w:bidi w:val="0"/>
              <w:spacing w:before="0" w:after="283"/>
              <w:jc w:val="center"/>
              <w:rPr>
                <w:b/>
                <w:sz w:val="16"/>
              </w:rPr>
            </w:pPr>
            <w:r>
              <w:rPr>
                <w:b/>
                <w:sz w:val="16"/>
              </w:rPr>
              <w:t>6.6%</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10.7%</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3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82"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Total liabilities and equity</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193,370,326</w:t>
            </w:r>
          </w:p>
        </w:tc>
        <w:tc>
          <w:tcPr>
            <w:tcW w:w="1595" w:type="dxa"/>
            <w:tcBorders/>
            <w:shd w:fill="FFFFFF" w:val="clear"/>
            <w:vAlign w:val="center"/>
          </w:tcPr>
          <w:p>
            <w:pPr>
              <w:pStyle w:val="TableContents"/>
              <w:bidi w:val="0"/>
              <w:spacing w:before="0" w:after="283"/>
              <w:jc w:val="right"/>
              <w:rPr/>
            </w:pPr>
            <w:r>
              <w:rPr/>
              <w:t>        </w:t>
            </w:r>
            <w:r>
              <w:rPr>
                <w:b/>
                <w:sz w:val="16"/>
              </w:rPr>
              <w:t>193,733,945</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190,050,099</w:t>
            </w:r>
          </w:p>
        </w:tc>
        <w:tc>
          <w:tcPr>
            <w:tcW w:w="556" w:type="dxa"/>
            <w:tcBorders/>
            <w:shd w:fill="FFFFFF" w:val="clear"/>
            <w:vAlign w:val="center"/>
          </w:tcPr>
          <w:p>
            <w:pPr>
              <w:pStyle w:val="TableContents"/>
              <w:bidi w:val="0"/>
              <w:spacing w:before="0" w:after="283"/>
              <w:jc w:val="center"/>
              <w:rPr>
                <w:b/>
                <w:sz w:val="16"/>
              </w:rPr>
            </w:pPr>
            <w:r>
              <w:rPr>
                <w:b/>
                <w:sz w:val="16"/>
              </w:rPr>
              <w:t>-1.9%</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-1.7%</w:t>
            </w:r>
          </w:p>
        </w:tc>
      </w:tr>
      <w:tr>
        <w:trPr/>
        <w:tc>
          <w:tcPr>
            <w:tcW w:w="10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3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595" w:type="dxa"/>
            <w:tcBorders/>
            <w:shd w:fill="FFFFFF" w:val="clear"/>
            <w:vAlign w:val="center"/>
          </w:tcPr>
          <w:p>
            <w:pPr>
              <w:pStyle w:val="TableContents"/>
              <w:bidi w:val="0"/>
              <w:spacing w:before="0" w:after="283"/>
              <w:jc w:val="right"/>
              <w:rPr/>
            </w:pPr>
            <w:r>
              <w:rPr/>
              <w:t>                       </w:t>
            </w:r>
            <w:r>
              <w:rPr>
                <w:sz w:val="16"/>
              </w:rPr>
              <w:t>-   </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   </w:t>
            </w:r>
          </w:p>
        </w:tc>
        <w:tc>
          <w:tcPr>
            <w:tcW w:w="556" w:type="dxa"/>
            <w:tcBorders/>
            <w:shd w:fill="FFFFFF" w:val="clear"/>
            <w:vAlign w:val="center"/>
          </w:tcPr>
          <w:p>
            <w:pPr>
              <w:pStyle w:val="TableContents"/>
              <w:bidi w:val="0"/>
              <w:spacing w:before="0" w:after="283"/>
              <w:jc w:val="center"/>
              <w:rPr/>
            </w:pPr>
            <w:r>
              <w:rPr/>
              <w:t> </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Off-balance sheet</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130,782,706</w:t>
            </w:r>
          </w:p>
        </w:tc>
        <w:tc>
          <w:tcPr>
            <w:tcW w:w="1595" w:type="dxa"/>
            <w:tcBorders/>
            <w:shd w:fill="FFFFFF" w:val="clear"/>
            <w:vAlign w:val="center"/>
          </w:tcPr>
          <w:p>
            <w:pPr>
              <w:pStyle w:val="TableContents"/>
              <w:bidi w:val="0"/>
              <w:spacing w:before="0" w:after="283"/>
              <w:jc w:val="right"/>
              <w:rPr/>
            </w:pPr>
            <w:r>
              <w:rPr/>
              <w:t>        </w:t>
            </w:r>
            <w:r>
              <w:rPr>
                <w:sz w:val="16"/>
              </w:rPr>
              <w:t>142,247,161</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142,443,947</w:t>
            </w:r>
          </w:p>
        </w:tc>
        <w:tc>
          <w:tcPr>
            <w:tcW w:w="556" w:type="dxa"/>
            <w:tcBorders/>
            <w:shd w:fill="FFFFFF" w:val="clear"/>
            <w:vAlign w:val="center"/>
          </w:tcPr>
          <w:p>
            <w:pPr>
              <w:pStyle w:val="TableContents"/>
              <w:bidi w:val="0"/>
              <w:spacing w:before="0" w:after="283"/>
              <w:jc w:val="center"/>
              <w:rPr>
                <w:sz w:val="16"/>
              </w:rPr>
            </w:pPr>
            <w:r>
              <w:rPr>
                <w:sz w:val="16"/>
              </w:rPr>
              <w:t>0.1%</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8.9%</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Total performance bonds, stand-by and L/Cs.</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19,490,337</w:t>
            </w:r>
          </w:p>
        </w:tc>
        <w:tc>
          <w:tcPr>
            <w:tcW w:w="1595" w:type="dxa"/>
            <w:tcBorders/>
            <w:shd w:fill="FFFFFF" w:val="clear"/>
            <w:vAlign w:val="center"/>
          </w:tcPr>
          <w:p>
            <w:pPr>
              <w:pStyle w:val="TableContents"/>
              <w:bidi w:val="0"/>
              <w:spacing w:before="0" w:after="283"/>
              <w:jc w:val="right"/>
              <w:rPr/>
            </w:pPr>
            <w:r>
              <w:rPr/>
              <w:t>          </w:t>
            </w:r>
            <w:r>
              <w:rPr>
                <w:sz w:val="16"/>
              </w:rPr>
              <w:t>17,932,260</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17,955,475</w:t>
            </w:r>
          </w:p>
        </w:tc>
        <w:tc>
          <w:tcPr>
            <w:tcW w:w="556" w:type="dxa"/>
            <w:tcBorders/>
            <w:shd w:fill="FFFFFF" w:val="clear"/>
            <w:vAlign w:val="center"/>
          </w:tcPr>
          <w:p>
            <w:pPr>
              <w:pStyle w:val="TableContents"/>
              <w:bidi w:val="0"/>
              <w:spacing w:before="0" w:after="283"/>
              <w:jc w:val="center"/>
              <w:rPr>
                <w:sz w:val="16"/>
              </w:rPr>
            </w:pPr>
            <w:r>
              <w:rPr>
                <w:sz w:val="16"/>
              </w:rPr>
              <w:t>0.1%</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-7.9%</w:t>
            </w:r>
          </w:p>
        </w:tc>
      </w:tr>
      <w:tr>
        <w:trPr/>
        <w:tc>
          <w:tcPr>
            <w:tcW w:w="4422" w:type="dxa"/>
            <w:gridSpan w:val="2"/>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Undrawn credit lines, advised but not committed</w:t>
            </w:r>
          </w:p>
        </w:tc>
        <w:tc>
          <w:tcPr>
            <w:tcW w:w="60" w:type="dxa"/>
            <w:tcBorders/>
            <w:shd w:fill="FFFFFF" w:val="clear"/>
            <w:vAlign w:val="center"/>
          </w:tcPr>
          <w:p>
            <w:pPr>
              <w:pStyle w:val="TableContents"/>
              <w:bidi w:val="0"/>
              <w:spacing w:before="0" w:after="283"/>
              <w:jc w:val="left"/>
              <w:rPr/>
            </w:pPr>
            <w:r>
              <w:rPr/>
              <w:t> </w:t>
            </w:r>
          </w:p>
        </w:tc>
        <w:tc>
          <w:tcPr>
            <w:tcW w:w="163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74,845,631</w:t>
            </w:r>
          </w:p>
        </w:tc>
        <w:tc>
          <w:tcPr>
            <w:tcW w:w="1595" w:type="dxa"/>
            <w:tcBorders/>
            <w:shd w:fill="FFFFFF" w:val="clear"/>
            <w:vAlign w:val="center"/>
          </w:tcPr>
          <w:p>
            <w:pPr>
              <w:pStyle w:val="TableContents"/>
              <w:bidi w:val="0"/>
              <w:spacing w:before="0" w:after="283"/>
              <w:jc w:val="right"/>
              <w:rPr/>
            </w:pPr>
            <w:r>
              <w:rPr/>
              <w:t>          </w:t>
            </w:r>
            <w:r>
              <w:rPr>
                <w:sz w:val="16"/>
              </w:rPr>
              <w:t>76,157,911</w:t>
            </w:r>
          </w:p>
        </w:tc>
        <w:tc>
          <w:tcPr>
            <w:tcW w:w="1415"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76,331,482</w:t>
            </w:r>
          </w:p>
        </w:tc>
        <w:tc>
          <w:tcPr>
            <w:tcW w:w="556" w:type="dxa"/>
            <w:tcBorders/>
            <w:shd w:fill="FFFFFF" w:val="clear"/>
            <w:vAlign w:val="center"/>
          </w:tcPr>
          <w:p>
            <w:pPr>
              <w:pStyle w:val="TableContents"/>
              <w:bidi w:val="0"/>
              <w:spacing w:before="0" w:after="283"/>
              <w:jc w:val="center"/>
              <w:rPr>
                <w:sz w:val="16"/>
              </w:rPr>
            </w:pPr>
            <w:r>
              <w:rPr>
                <w:sz w:val="16"/>
              </w:rPr>
              <w:t>0.2%</w:t>
            </w:r>
          </w:p>
        </w:tc>
        <w:tc>
          <w:tcPr>
            <w:tcW w:w="52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2.0%</w:t>
            </w:r>
          </w:p>
        </w:tc>
      </w:tr>
      <w:tr>
        <w:trPr/>
        <w:tc>
          <w:tcPr>
            <w:tcW w:w="4422" w:type="dxa"/>
            <w:gridSpan w:val="2"/>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sz w:val="16"/>
              </w:rPr>
            </w:pPr>
            <w:r>
              <w:rPr>
                <w:sz w:val="16"/>
              </w:rPr>
              <w:t>Total derivatives (notional) and others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right"/>
              <w:rPr/>
            </w:pPr>
            <w:r>
              <w:rPr/>
              <w:t>            </w:t>
            </w:r>
            <w:r>
              <w:rPr>
                <w:sz w:val="16"/>
              </w:rPr>
              <w:t>36,446,738</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16"/>
              </w:rPr>
              <w:t>48,156,990</w:t>
            </w:r>
          </w:p>
        </w:tc>
        <w:tc>
          <w:tcPr>
            <w:tcW w:w="1415" w:type="dxa"/>
            <w:tcBorders>
              <w:bottom w:val="single" w:sz="8" w:space="0" w:color="000000"/>
              <w:right w:val="single" w:sz="8" w:space="0" w:color="000000"/>
            </w:tcBorders>
            <w:shd w:fill="FFFFFF" w:val="clear"/>
            <w:tcMar>
              <w:bottom w:w="28" w:type="dxa"/>
              <w:right w:w="60" w:type="dxa"/>
            </w:tcMar>
            <w:vAlign w:val="center"/>
          </w:tcPr>
          <w:p>
            <w:pPr>
              <w:pStyle w:val="TableContents"/>
              <w:bidi w:val="0"/>
              <w:spacing w:before="0" w:after="283"/>
              <w:jc w:val="right"/>
              <w:rPr/>
            </w:pPr>
            <w:r>
              <w:rPr/>
              <w:t>       </w:t>
            </w:r>
            <w:r>
              <w:rPr>
                <w:sz w:val="16"/>
              </w:rPr>
              <w:t>48,156,990</w:t>
            </w:r>
          </w:p>
        </w:tc>
        <w:tc>
          <w:tcPr>
            <w:tcW w:w="556" w:type="dxa"/>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sz w:val="16"/>
              </w:rPr>
              <w:t>0.0%</w:t>
            </w:r>
          </w:p>
        </w:tc>
        <w:tc>
          <w:tcPr>
            <w:tcW w:w="527"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sz w:val="16"/>
              </w:rPr>
            </w:pPr>
            <w:r>
              <w:rPr>
                <w:sz w:val="16"/>
              </w:rPr>
              <w:t>32.1%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Right of use asset of lease contracts is included by application of IFRS 16.</w:t>
        <w:br/>
        <w:t>(2) Mainly includes intangible assets, other receivable accounts and tax credit.</w:t>
        <w:br/>
        <w:t>(3) Mainly includes other payable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9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33" descr=""/>
                          <pic:cNvPicPr>
                            <a:picLocks noChangeAspect="1" noChangeArrowheads="1"/>
                          </pic:cNvPicPr>
                        </pic:nvPicPr>
                        <pic:blipFill>
                          <a:blip r:embed="rId152"/>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BANCO DE CREDITO DEL PERU AND SUBSIDIARIES</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CONSOLIDATED STATEMENT OF INCOME</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S/ thousands, IFRS)</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2514"/>
        <w:gridCol w:w="75"/>
        <w:gridCol w:w="980"/>
        <w:gridCol w:w="1040"/>
        <w:gridCol w:w="1040"/>
        <w:gridCol w:w="460"/>
        <w:gridCol w:w="460"/>
        <w:gridCol w:w="1415"/>
        <w:gridCol w:w="1415"/>
        <w:gridCol w:w="806"/>
      </w:tblGrid>
      <w:tr>
        <w:trPr/>
        <w:tc>
          <w:tcPr>
            <w:tcW w:w="251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c>
          <w:tcPr>
            <w:tcW w:w="3060" w:type="dxa"/>
            <w:gridSpan w:val="3"/>
            <w:tcBorders>
              <w:top w:val="single" w:sz="8" w:space="0" w:color="000000"/>
              <w:left w:val="single" w:sz="8" w:space="0" w:color="000000"/>
              <w:right w:val="single" w:sz="8" w:space="0" w:color="000000"/>
            </w:tcBorders>
            <w:shd w:fill="2AD2C9" w:val="clear"/>
            <w:tcMar>
              <w:top w:w="28" w:type="dxa"/>
              <w:left w:w="28" w:type="dxa"/>
              <w:right w:w="60" w:type="dxa"/>
            </w:tcMar>
            <w:vAlign w:val="center"/>
          </w:tcPr>
          <w:p>
            <w:pPr>
              <w:pStyle w:val="TableContents"/>
              <w:bidi w:val="0"/>
              <w:spacing w:before="0" w:after="283"/>
              <w:jc w:val="center"/>
              <w:rPr>
                <w:b/>
                <w:color w:val="FFFFFF"/>
                <w:sz w:val="16"/>
              </w:rPr>
            </w:pPr>
            <w:r>
              <w:rPr>
                <w:b/>
                <w:color w:val="FFFFFF"/>
                <w:sz w:val="16"/>
              </w:rPr>
              <w:t>Quarter</w:t>
            </w:r>
          </w:p>
        </w:tc>
        <w:tc>
          <w:tcPr>
            <w:tcW w:w="920" w:type="dxa"/>
            <w:gridSpan w:val="2"/>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2830" w:type="dxa"/>
            <w:gridSpan w:val="2"/>
            <w:tcBorders>
              <w:top w:val="single" w:sz="8" w:space="0" w:color="000000"/>
            </w:tcBorders>
            <w:shd w:fill="2AD2C9" w:val="clear"/>
            <w:tcMar>
              <w:top w:w="28" w:type="dxa"/>
            </w:tcMar>
            <w:vAlign w:val="center"/>
          </w:tcPr>
          <w:p>
            <w:pPr>
              <w:pStyle w:val="TableContents"/>
              <w:bidi w:val="0"/>
              <w:spacing w:before="0" w:after="283"/>
              <w:jc w:val="center"/>
              <w:rPr>
                <w:b/>
                <w:color w:val="FFFFFF"/>
                <w:sz w:val="16"/>
              </w:rPr>
            </w:pPr>
            <w:r>
              <w:rPr>
                <w:b/>
                <w:color w:val="FFFFFF"/>
                <w:sz w:val="16"/>
              </w:rPr>
              <w:t>As of </w:t>
            </w:r>
          </w:p>
        </w:tc>
        <w:tc>
          <w:tcPr>
            <w:tcW w:w="806" w:type="dxa"/>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2589" w:type="dxa"/>
            <w:gridSpan w:val="2"/>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left w:val="single" w:sz="8" w:space="0" w:color="000000"/>
              <w:bottom w:val="single" w:sz="8" w:space="0" w:color="000000"/>
            </w:tcBorders>
            <w:shd w:fill="2AD2C9" w:val="clear"/>
            <w:tcMar>
              <w:left w:w="28" w:type="dxa"/>
              <w:bottom w:w="28" w:type="dxa"/>
            </w:tcMar>
            <w:vAlign w:val="center"/>
          </w:tcPr>
          <w:p>
            <w:pPr>
              <w:pStyle w:val="TableContents"/>
              <w:bidi w:val="0"/>
              <w:spacing w:before="0" w:after="283"/>
              <w:jc w:val="center"/>
              <w:rPr>
                <w:b/>
                <w:color w:val="FFFFFF"/>
                <w:sz w:val="16"/>
              </w:rPr>
            </w:pPr>
            <w:r>
              <w:rPr>
                <w:b/>
                <w:color w:val="FFFFFF"/>
                <w:sz w:val="16"/>
              </w:rPr>
              <w:t>2Q22</w:t>
            </w:r>
          </w:p>
        </w:tc>
        <w:tc>
          <w:tcPr>
            <w:tcW w:w="1040"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1Q23</w:t>
            </w:r>
          </w:p>
        </w:tc>
        <w:tc>
          <w:tcPr>
            <w:tcW w:w="1040" w:type="dxa"/>
            <w:tcBorders>
              <w:bottom w:val="single" w:sz="8" w:space="0" w:color="000000"/>
              <w:right w:val="single" w:sz="8" w:space="0" w:color="000000"/>
            </w:tcBorders>
            <w:shd w:fill="2AD2C9" w:val="clear"/>
            <w:tcMar>
              <w:bottom w:w="28" w:type="dxa"/>
              <w:right w:w="60" w:type="dxa"/>
            </w:tcMar>
            <w:vAlign w:val="center"/>
          </w:tcPr>
          <w:p>
            <w:pPr>
              <w:pStyle w:val="TableContents"/>
              <w:bidi w:val="0"/>
              <w:spacing w:before="0" w:after="283"/>
              <w:jc w:val="center"/>
              <w:rPr>
                <w:b/>
                <w:color w:val="FFFFFF"/>
                <w:sz w:val="16"/>
              </w:rPr>
            </w:pPr>
            <w:r>
              <w:rPr>
                <w:b/>
                <w:color w:val="FFFFFF"/>
                <w:sz w:val="16"/>
              </w:rPr>
              <w:t>2Q23</w:t>
            </w:r>
          </w:p>
        </w:tc>
        <w:tc>
          <w:tcPr>
            <w:tcW w:w="460"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QoQ</w:t>
            </w:r>
          </w:p>
        </w:tc>
        <w:tc>
          <w:tcPr>
            <w:tcW w:w="460"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YoY</w:t>
            </w:r>
          </w:p>
        </w:tc>
        <w:tc>
          <w:tcPr>
            <w:tcW w:w="1415"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1H22</w:t>
            </w:r>
          </w:p>
        </w:tc>
        <w:tc>
          <w:tcPr>
            <w:tcW w:w="1415"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1H23</w:t>
            </w:r>
          </w:p>
        </w:tc>
        <w:tc>
          <w:tcPr>
            <w:tcW w:w="806" w:type="dxa"/>
            <w:tcBorders>
              <w:left w:val="single" w:sz="8" w:space="0" w:color="000000"/>
              <w:bottom w:val="single" w:sz="8" w:space="0" w:color="000000"/>
              <w:right w:val="single" w:sz="8" w:space="0" w:color="000000"/>
            </w:tcBorders>
            <w:shd w:fill="2AD2C9" w:val="clear"/>
            <w:tcMar>
              <w:left w:w="28" w:type="dxa"/>
              <w:bottom w:w="28" w:type="dxa"/>
              <w:right w:w="28" w:type="dxa"/>
            </w:tcMar>
            <w:vAlign w:val="center"/>
          </w:tcPr>
          <w:p>
            <w:pPr>
              <w:pStyle w:val="TableContents"/>
              <w:bidi w:val="0"/>
              <w:spacing w:before="0" w:after="283"/>
              <w:jc w:val="center"/>
              <w:rPr>
                <w:b/>
                <w:color w:val="FFFFFF"/>
                <w:sz w:val="16"/>
              </w:rPr>
            </w:pPr>
            <w:r>
              <w:rPr>
                <w:b/>
                <w:color w:val="FFFFFF"/>
                <w:sz w:val="16"/>
              </w:rPr>
              <w:t>1H23 / 1H22</w:t>
            </w:r>
          </w:p>
        </w:tc>
      </w:tr>
      <w:tr>
        <w:trPr/>
        <w:tc>
          <w:tcPr>
            <w:tcW w:w="2589" w:type="dxa"/>
            <w:gridSpan w:val="2"/>
            <w:tcBorders>
              <w:left w:val="single" w:sz="8" w:space="0" w:color="000000"/>
              <w:right w:val="single" w:sz="8" w:space="0" w:color="000000"/>
            </w:tcBorders>
            <w:shd w:fill="FFFFFF" w:val="clear"/>
            <w:tcMar>
              <w:left w:w="40" w:type="dxa"/>
              <w:right w:w="28" w:type="dxa"/>
            </w:tcMar>
            <w:vAlign w:val="center"/>
          </w:tcPr>
          <w:p>
            <w:pPr>
              <w:pStyle w:val="TableContents"/>
              <w:bidi w:val="0"/>
              <w:spacing w:before="0" w:after="283"/>
              <w:jc w:val="left"/>
              <w:rPr>
                <w:b/>
                <w:sz w:val="16"/>
              </w:rPr>
            </w:pPr>
            <w:r>
              <w:rPr>
                <w:b/>
                <w:sz w:val="16"/>
              </w:rPr>
              <w:t>Interest income and expense</w:t>
            </w:r>
          </w:p>
        </w:tc>
        <w:tc>
          <w:tcPr>
            <w:tcW w:w="98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left"/>
              <w:rPr/>
            </w:pPr>
            <w:r>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89" w:type="dxa"/>
            <w:gridSpan w:val="2"/>
            <w:tcBorders>
              <w:left w:val="single" w:sz="8" w:space="0" w:color="000000"/>
              <w:right w:val="single" w:sz="8" w:space="0" w:color="000000"/>
            </w:tcBorders>
            <w:shd w:fill="FFFFFF" w:val="clear"/>
            <w:tcMar>
              <w:left w:w="200" w:type="dxa"/>
              <w:right w:w="28" w:type="dxa"/>
            </w:tcMar>
            <w:vAlign w:val="center"/>
          </w:tcPr>
          <w:p>
            <w:pPr>
              <w:pStyle w:val="TableContents"/>
              <w:bidi w:val="0"/>
              <w:spacing w:before="0" w:after="283"/>
              <w:jc w:val="left"/>
              <w:rPr>
                <w:sz w:val="16"/>
              </w:rPr>
            </w:pPr>
            <w:r>
              <w:rPr>
                <w:sz w:val="16"/>
              </w:rPr>
              <w:t>Interest and similar income</w:t>
            </w:r>
          </w:p>
        </w:tc>
        <w:tc>
          <w:tcPr>
            <w:tcW w:w="980" w:type="dxa"/>
            <w:tcBorders/>
            <w:vAlign w:val="center"/>
          </w:tcPr>
          <w:p>
            <w:pPr>
              <w:pStyle w:val="TableContents"/>
              <w:bidi w:val="0"/>
              <w:spacing w:before="0" w:after="283"/>
              <w:jc w:val="right"/>
              <w:rPr/>
            </w:pPr>
            <w:r>
              <w:rPr/>
              <w:t>  </w:t>
            </w:r>
            <w:r>
              <w:rPr>
                <w:sz w:val="16"/>
              </w:rPr>
              <w:t>2,988,885</w:t>
            </w:r>
          </w:p>
        </w:tc>
        <w:tc>
          <w:tcPr>
            <w:tcW w:w="1040" w:type="dxa"/>
            <w:tcBorders/>
            <w:vAlign w:val="center"/>
          </w:tcPr>
          <w:p>
            <w:pPr>
              <w:pStyle w:val="TableContents"/>
              <w:bidi w:val="0"/>
              <w:spacing w:before="0" w:after="283"/>
              <w:jc w:val="right"/>
              <w:rPr/>
            </w:pPr>
            <w:r>
              <w:rPr/>
              <w:t>    </w:t>
            </w:r>
            <w:r>
              <w:rPr>
                <w:sz w:val="16"/>
              </w:rPr>
              <w:t>3,902,811</w:t>
            </w:r>
          </w:p>
        </w:tc>
        <w:tc>
          <w:tcPr>
            <w:tcW w:w="1040" w:type="dxa"/>
            <w:tcBorders/>
            <w:vAlign w:val="center"/>
          </w:tcPr>
          <w:p>
            <w:pPr>
              <w:pStyle w:val="TableContents"/>
              <w:bidi w:val="0"/>
              <w:spacing w:before="0" w:after="283"/>
              <w:jc w:val="right"/>
              <w:rPr/>
            </w:pPr>
            <w:r>
              <w:rPr/>
              <w:t>    </w:t>
            </w:r>
            <w:r>
              <w:rPr>
                <w:sz w:val="16"/>
              </w:rPr>
              <w:t>4,066,734</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4.2%</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36.1%</w:t>
            </w:r>
          </w:p>
        </w:tc>
        <w:tc>
          <w:tcPr>
            <w:tcW w:w="1415" w:type="dxa"/>
            <w:tcBorders/>
            <w:vAlign w:val="center"/>
          </w:tcPr>
          <w:p>
            <w:pPr>
              <w:pStyle w:val="TableContents"/>
              <w:bidi w:val="0"/>
              <w:spacing w:before="0" w:after="283"/>
              <w:jc w:val="right"/>
              <w:rPr/>
            </w:pPr>
            <w:r>
              <w:rPr/>
              <w:t>         </w:t>
            </w:r>
            <w:r>
              <w:rPr>
                <w:sz w:val="16"/>
              </w:rPr>
              <w:t>2,988,885</w:t>
            </w:r>
          </w:p>
        </w:tc>
        <w:tc>
          <w:tcPr>
            <w:tcW w:w="1415" w:type="dxa"/>
            <w:tcBorders/>
            <w:vAlign w:val="center"/>
          </w:tcPr>
          <w:p>
            <w:pPr>
              <w:pStyle w:val="TableContents"/>
              <w:bidi w:val="0"/>
              <w:spacing w:before="0" w:after="283"/>
              <w:jc w:val="right"/>
              <w:rPr/>
            </w:pPr>
            <w:r>
              <w:rPr/>
              <w:t>         </w:t>
            </w:r>
            <w:r>
              <w:rPr>
                <w:sz w:val="16"/>
              </w:rPr>
              <w:t>4,066,734</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36.1%</w:t>
            </w:r>
          </w:p>
        </w:tc>
      </w:tr>
      <w:tr>
        <w:trPr/>
        <w:tc>
          <w:tcPr>
            <w:tcW w:w="2589" w:type="dxa"/>
            <w:gridSpan w:val="2"/>
            <w:tcBorders>
              <w:left w:val="single" w:sz="8" w:space="0" w:color="000000"/>
              <w:right w:val="single" w:sz="8" w:space="0" w:color="000000"/>
            </w:tcBorders>
            <w:shd w:fill="FFFFFF" w:val="clear"/>
            <w:tcMar>
              <w:left w:w="200" w:type="dxa"/>
              <w:right w:w="28" w:type="dxa"/>
            </w:tcMar>
            <w:vAlign w:val="center"/>
          </w:tcPr>
          <w:p>
            <w:pPr>
              <w:pStyle w:val="TableContents"/>
              <w:bidi w:val="0"/>
              <w:spacing w:before="0" w:after="283"/>
              <w:jc w:val="left"/>
              <w:rPr>
                <w:sz w:val="16"/>
              </w:rPr>
            </w:pPr>
            <w:r>
              <w:rPr>
                <w:sz w:val="16"/>
              </w:rPr>
              <w:t>Interest and similar expenses</w:t>
            </w:r>
          </w:p>
        </w:tc>
        <w:tc>
          <w:tcPr>
            <w:tcW w:w="980" w:type="dxa"/>
            <w:tcBorders/>
            <w:vAlign w:val="center"/>
          </w:tcPr>
          <w:p>
            <w:pPr>
              <w:pStyle w:val="TableContents"/>
              <w:bidi w:val="0"/>
              <w:spacing w:before="0" w:after="283"/>
              <w:jc w:val="right"/>
              <w:rPr/>
            </w:pPr>
            <w:r>
              <w:rPr/>
              <w:t>    </w:t>
            </w:r>
            <w:r>
              <w:rPr>
                <w:sz w:val="16"/>
              </w:rPr>
              <w:t>(590,599)</w:t>
            </w:r>
          </w:p>
        </w:tc>
        <w:tc>
          <w:tcPr>
            <w:tcW w:w="1040" w:type="dxa"/>
            <w:tcBorders/>
            <w:vAlign w:val="center"/>
          </w:tcPr>
          <w:p>
            <w:pPr>
              <w:pStyle w:val="TableContents"/>
              <w:bidi w:val="0"/>
              <w:spacing w:before="0" w:after="283"/>
              <w:jc w:val="right"/>
              <w:rPr/>
            </w:pPr>
            <w:r>
              <w:rPr/>
              <w:t>     </w:t>
            </w:r>
            <w:r>
              <w:rPr>
                <w:sz w:val="16"/>
              </w:rPr>
              <w:t>(994,836)</w:t>
            </w:r>
          </w:p>
        </w:tc>
        <w:tc>
          <w:tcPr>
            <w:tcW w:w="1040" w:type="dxa"/>
            <w:tcBorders/>
            <w:vAlign w:val="center"/>
          </w:tcPr>
          <w:p>
            <w:pPr>
              <w:pStyle w:val="TableContents"/>
              <w:bidi w:val="0"/>
              <w:spacing w:before="0" w:after="283"/>
              <w:jc w:val="right"/>
              <w:rPr/>
            </w:pPr>
            <w:r>
              <w:rPr/>
              <w:t>   </w:t>
            </w:r>
            <w:r>
              <w:rPr>
                <w:sz w:val="16"/>
              </w:rPr>
              <w:t>(1,112,623)</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11.8%</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88.4%</w:t>
            </w:r>
          </w:p>
        </w:tc>
        <w:tc>
          <w:tcPr>
            <w:tcW w:w="1415" w:type="dxa"/>
            <w:tcBorders/>
            <w:vAlign w:val="center"/>
          </w:tcPr>
          <w:p>
            <w:pPr>
              <w:pStyle w:val="TableContents"/>
              <w:bidi w:val="0"/>
              <w:spacing w:before="0" w:after="283"/>
              <w:jc w:val="right"/>
              <w:rPr/>
            </w:pPr>
            <w:r>
              <w:rPr/>
              <w:t>           </w:t>
            </w:r>
            <w:r>
              <w:rPr>
                <w:sz w:val="16"/>
              </w:rPr>
              <w:t>(590,599)</w:t>
            </w:r>
          </w:p>
        </w:tc>
        <w:tc>
          <w:tcPr>
            <w:tcW w:w="1415" w:type="dxa"/>
            <w:tcBorders/>
            <w:vAlign w:val="center"/>
          </w:tcPr>
          <w:p>
            <w:pPr>
              <w:pStyle w:val="TableContents"/>
              <w:bidi w:val="0"/>
              <w:spacing w:before="0" w:after="283"/>
              <w:jc w:val="right"/>
              <w:rPr/>
            </w:pPr>
            <w:r>
              <w:rPr/>
              <w:t>        </w:t>
            </w:r>
            <w:r>
              <w:rPr>
                <w:sz w:val="16"/>
              </w:rPr>
              <w:t>(1,112,623)</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94.3%</w:t>
            </w:r>
          </w:p>
        </w:tc>
      </w:tr>
      <w:tr>
        <w:trPr/>
        <w:tc>
          <w:tcPr>
            <w:tcW w:w="2514" w:type="dxa"/>
            <w:tcBorders>
              <w:left w:val="single" w:sz="8" w:space="0" w:color="000000"/>
            </w:tcBorders>
            <w:tcMar>
              <w:left w:w="200" w:type="dxa"/>
            </w:tcMar>
            <w:vAlign w:val="center"/>
          </w:tcPr>
          <w:p>
            <w:pPr>
              <w:pStyle w:val="TableContents"/>
              <w:bidi w:val="0"/>
              <w:spacing w:before="0" w:after="283"/>
              <w:jc w:val="left"/>
              <w:rPr>
                <w:b/>
                <w:sz w:val="16"/>
              </w:rPr>
            </w:pPr>
            <w:r>
              <w:rPr>
                <w:b/>
                <w:sz w:val="16"/>
              </w:rPr>
              <w:t>Net interest, similar income and expenses</w:t>
            </w:r>
          </w:p>
        </w:tc>
        <w:tc>
          <w:tcPr>
            <w:tcW w:w="75"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right"/>
              <w:rPr/>
            </w:pPr>
            <w:r>
              <w:rPr/>
              <w:t>  </w:t>
            </w:r>
            <w:r>
              <w:rPr>
                <w:sz w:val="16"/>
              </w:rPr>
              <w:t>2,398,286</w:t>
            </w:r>
          </w:p>
        </w:tc>
        <w:tc>
          <w:tcPr>
            <w:tcW w:w="1040" w:type="dxa"/>
            <w:tcBorders/>
            <w:vAlign w:val="center"/>
          </w:tcPr>
          <w:p>
            <w:pPr>
              <w:pStyle w:val="TableContents"/>
              <w:bidi w:val="0"/>
              <w:spacing w:before="0" w:after="283"/>
              <w:jc w:val="right"/>
              <w:rPr/>
            </w:pPr>
            <w:r>
              <w:rPr/>
              <w:t>    </w:t>
            </w:r>
            <w:r>
              <w:rPr>
                <w:sz w:val="16"/>
              </w:rPr>
              <w:t>2,907,975</w:t>
            </w:r>
          </w:p>
        </w:tc>
        <w:tc>
          <w:tcPr>
            <w:tcW w:w="1040" w:type="dxa"/>
            <w:tcBorders/>
            <w:vAlign w:val="center"/>
          </w:tcPr>
          <w:p>
            <w:pPr>
              <w:pStyle w:val="TableContents"/>
              <w:bidi w:val="0"/>
              <w:spacing w:before="0" w:after="283"/>
              <w:jc w:val="right"/>
              <w:rPr/>
            </w:pPr>
            <w:r>
              <w:rPr/>
              <w:t>    </w:t>
            </w:r>
            <w:r>
              <w:rPr>
                <w:sz w:val="16"/>
              </w:rPr>
              <w:t>2,954,111</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1.6%</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23.2%</w:t>
            </w:r>
          </w:p>
        </w:tc>
        <w:tc>
          <w:tcPr>
            <w:tcW w:w="1415" w:type="dxa"/>
            <w:tcBorders/>
            <w:vAlign w:val="center"/>
          </w:tcPr>
          <w:p>
            <w:pPr>
              <w:pStyle w:val="TableContents"/>
              <w:bidi w:val="0"/>
              <w:spacing w:before="0" w:after="283"/>
              <w:jc w:val="right"/>
              <w:rPr/>
            </w:pPr>
            <w:r>
              <w:rPr/>
              <w:t>         </w:t>
            </w:r>
            <w:r>
              <w:rPr>
                <w:sz w:val="16"/>
              </w:rPr>
              <w:t>2,398,286</w:t>
            </w:r>
          </w:p>
        </w:tc>
        <w:tc>
          <w:tcPr>
            <w:tcW w:w="1415" w:type="dxa"/>
            <w:tcBorders/>
            <w:vAlign w:val="center"/>
          </w:tcPr>
          <w:p>
            <w:pPr>
              <w:pStyle w:val="TableContents"/>
              <w:bidi w:val="0"/>
              <w:spacing w:before="0" w:after="283"/>
              <w:jc w:val="right"/>
              <w:rPr/>
            </w:pPr>
            <w:r>
              <w:rPr/>
              <w:t>         </w:t>
            </w:r>
            <w:r>
              <w:rPr>
                <w:sz w:val="16"/>
              </w:rPr>
              <w:t>2,954,111</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27.0%</w:t>
            </w:r>
          </w:p>
        </w:tc>
      </w:tr>
      <w:tr>
        <w:trPr/>
        <w:tc>
          <w:tcPr>
            <w:tcW w:w="2514" w:type="dxa"/>
            <w:tcBorders>
              <w:left w:val="single" w:sz="8" w:space="0" w:color="000000"/>
            </w:tcBorders>
            <w:shd w:fill="FFFFFF" w:val="clear"/>
            <w:tcMar>
              <w:left w:w="40" w:type="dxa"/>
            </w:tcMar>
            <w:vAlign w:val="center"/>
          </w:tcPr>
          <w:p>
            <w:pPr>
              <w:pStyle w:val="TableContents"/>
              <w:bidi w:val="0"/>
              <w:spacing w:before="0" w:after="283"/>
              <w:jc w:val="left"/>
              <w:rPr/>
            </w:pPr>
            <w:r>
              <w:rPr/>
              <w:t>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right"/>
              <w:rPr/>
            </w:pPr>
            <w:r>
              <w:rPr/>
              <w:t>                    </w:t>
            </w:r>
            <w:r>
              <w:rPr>
                <w:sz w:val="16"/>
              </w:rPr>
              <w:t>-   </w:t>
            </w:r>
          </w:p>
        </w:tc>
        <w:tc>
          <w:tcPr>
            <w:tcW w:w="1415" w:type="dxa"/>
            <w:tcBorders/>
            <w:vAlign w:val="center"/>
          </w:tcPr>
          <w:p>
            <w:pPr>
              <w:pStyle w:val="TableContents"/>
              <w:bidi w:val="0"/>
              <w:spacing w:before="0" w:after="283"/>
              <w:jc w:val="right"/>
              <w:rPr/>
            </w:pPr>
            <w:r>
              <w:rPr/>
              <w:t>                    </w:t>
            </w:r>
            <w:r>
              <w:rPr>
                <w:sz w:val="16"/>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89" w:type="dxa"/>
            <w:gridSpan w:val="2"/>
            <w:tcBorders>
              <w:left w:val="single" w:sz="8" w:space="0" w:color="000000"/>
              <w:right w:val="single" w:sz="8" w:space="0" w:color="000000"/>
            </w:tcBorders>
            <w:shd w:fill="FFFFFF" w:val="clear"/>
            <w:tcMar>
              <w:left w:w="40" w:type="dxa"/>
              <w:right w:w="28" w:type="dxa"/>
            </w:tcMar>
            <w:vAlign w:val="center"/>
          </w:tcPr>
          <w:p>
            <w:pPr>
              <w:pStyle w:val="TableContents"/>
              <w:bidi w:val="0"/>
              <w:spacing w:before="0" w:after="283"/>
              <w:jc w:val="left"/>
              <w:rPr>
                <w:sz w:val="16"/>
              </w:rPr>
            </w:pPr>
            <w:r>
              <w:rPr>
                <w:sz w:val="16"/>
              </w:rPr>
              <w:t>Provision for credit losses on loan portfolio</w:t>
            </w:r>
          </w:p>
        </w:tc>
        <w:tc>
          <w:tcPr>
            <w:tcW w:w="980" w:type="dxa"/>
            <w:tcBorders/>
            <w:vAlign w:val="center"/>
          </w:tcPr>
          <w:p>
            <w:pPr>
              <w:pStyle w:val="TableContents"/>
              <w:bidi w:val="0"/>
              <w:spacing w:before="0" w:after="283"/>
              <w:jc w:val="right"/>
              <w:rPr/>
            </w:pPr>
            <w:r>
              <w:rPr/>
              <w:t>    </w:t>
            </w:r>
            <w:r>
              <w:rPr>
                <w:sz w:val="16"/>
              </w:rPr>
              <w:t>(400,124)</w:t>
            </w:r>
          </w:p>
        </w:tc>
        <w:tc>
          <w:tcPr>
            <w:tcW w:w="1040" w:type="dxa"/>
            <w:tcBorders/>
            <w:vAlign w:val="center"/>
          </w:tcPr>
          <w:p>
            <w:pPr>
              <w:pStyle w:val="TableContents"/>
              <w:bidi w:val="0"/>
              <w:spacing w:before="0" w:after="283"/>
              <w:jc w:val="right"/>
              <w:rPr/>
            </w:pPr>
            <w:r>
              <w:rPr/>
              <w:t>     </w:t>
            </w:r>
            <w:r>
              <w:rPr>
                <w:sz w:val="16"/>
              </w:rPr>
              <w:t>(782,079)</w:t>
            </w:r>
          </w:p>
        </w:tc>
        <w:tc>
          <w:tcPr>
            <w:tcW w:w="1040" w:type="dxa"/>
            <w:tcBorders/>
            <w:vAlign w:val="center"/>
          </w:tcPr>
          <w:p>
            <w:pPr>
              <w:pStyle w:val="TableContents"/>
              <w:bidi w:val="0"/>
              <w:spacing w:before="0" w:after="283"/>
              <w:jc w:val="right"/>
              <w:rPr/>
            </w:pPr>
            <w:r>
              <w:rPr/>
              <w:t>     </w:t>
            </w:r>
            <w:r>
              <w:rPr>
                <w:sz w:val="16"/>
              </w:rPr>
              <w:t>(864,243)</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10.5%</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116.0%</w:t>
            </w:r>
          </w:p>
        </w:tc>
        <w:tc>
          <w:tcPr>
            <w:tcW w:w="1415" w:type="dxa"/>
            <w:tcBorders/>
            <w:vAlign w:val="center"/>
          </w:tcPr>
          <w:p>
            <w:pPr>
              <w:pStyle w:val="TableContents"/>
              <w:bidi w:val="0"/>
              <w:spacing w:before="0" w:after="283"/>
              <w:jc w:val="right"/>
              <w:rPr/>
            </w:pPr>
            <w:r>
              <w:rPr/>
              <w:t>           </w:t>
            </w:r>
            <w:r>
              <w:rPr>
                <w:sz w:val="16"/>
              </w:rPr>
              <w:t>(400,124)</w:t>
            </w:r>
          </w:p>
        </w:tc>
        <w:tc>
          <w:tcPr>
            <w:tcW w:w="1415" w:type="dxa"/>
            <w:tcBorders/>
            <w:vAlign w:val="center"/>
          </w:tcPr>
          <w:p>
            <w:pPr>
              <w:pStyle w:val="TableContents"/>
              <w:bidi w:val="0"/>
              <w:spacing w:before="0" w:after="283"/>
              <w:jc w:val="right"/>
              <w:rPr/>
            </w:pPr>
            <w:r>
              <w:rPr/>
              <w:t>           </w:t>
            </w:r>
            <w:r>
              <w:rPr>
                <w:sz w:val="16"/>
              </w:rPr>
              <w:t>(864,243)</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122.4%</w:t>
            </w:r>
          </w:p>
        </w:tc>
      </w:tr>
      <w:tr>
        <w:trPr/>
        <w:tc>
          <w:tcPr>
            <w:tcW w:w="2589" w:type="dxa"/>
            <w:gridSpan w:val="2"/>
            <w:tcBorders>
              <w:left w:val="single" w:sz="8" w:space="0" w:color="000000"/>
              <w:right w:val="single" w:sz="8" w:space="0" w:color="000000"/>
            </w:tcBorders>
            <w:shd w:fill="FFFFFF" w:val="clear"/>
            <w:tcMar>
              <w:left w:w="40" w:type="dxa"/>
              <w:right w:w="28" w:type="dxa"/>
            </w:tcMar>
            <w:vAlign w:val="center"/>
          </w:tcPr>
          <w:p>
            <w:pPr>
              <w:pStyle w:val="TableContents"/>
              <w:bidi w:val="0"/>
              <w:spacing w:before="0" w:after="283"/>
              <w:jc w:val="left"/>
              <w:rPr>
                <w:sz w:val="16"/>
              </w:rPr>
            </w:pPr>
            <w:r>
              <w:rPr>
                <w:sz w:val="16"/>
              </w:rPr>
              <w:t>Recoveries of written-off loans</w:t>
            </w:r>
          </w:p>
        </w:tc>
        <w:tc>
          <w:tcPr>
            <w:tcW w:w="980" w:type="dxa"/>
            <w:tcBorders/>
            <w:vAlign w:val="center"/>
          </w:tcPr>
          <w:p>
            <w:pPr>
              <w:pStyle w:val="TableContents"/>
              <w:bidi w:val="0"/>
              <w:spacing w:before="0" w:after="283"/>
              <w:jc w:val="right"/>
              <w:rPr/>
            </w:pPr>
            <w:r>
              <w:rPr/>
              <w:t>       </w:t>
            </w:r>
            <w:r>
              <w:rPr>
                <w:sz w:val="16"/>
              </w:rPr>
              <w:t>77,244</w:t>
            </w:r>
          </w:p>
        </w:tc>
        <w:tc>
          <w:tcPr>
            <w:tcW w:w="1040" w:type="dxa"/>
            <w:tcBorders/>
            <w:vAlign w:val="center"/>
          </w:tcPr>
          <w:p>
            <w:pPr>
              <w:pStyle w:val="TableContents"/>
              <w:bidi w:val="0"/>
              <w:spacing w:before="0" w:after="283"/>
              <w:jc w:val="right"/>
              <w:rPr/>
            </w:pPr>
            <w:r>
              <w:rPr/>
              <w:t>        </w:t>
            </w:r>
            <w:r>
              <w:rPr>
                <w:sz w:val="16"/>
              </w:rPr>
              <w:t>69,694</w:t>
            </w:r>
          </w:p>
        </w:tc>
        <w:tc>
          <w:tcPr>
            <w:tcW w:w="1040" w:type="dxa"/>
            <w:tcBorders/>
            <w:vAlign w:val="center"/>
          </w:tcPr>
          <w:p>
            <w:pPr>
              <w:pStyle w:val="TableContents"/>
              <w:bidi w:val="0"/>
              <w:spacing w:before="0" w:after="283"/>
              <w:jc w:val="right"/>
              <w:rPr/>
            </w:pPr>
            <w:r>
              <w:rPr/>
              <w:t>        </w:t>
            </w:r>
            <w:r>
              <w:rPr>
                <w:sz w:val="16"/>
              </w:rPr>
              <w:t>77,154</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10.7%</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-0.1%</w:t>
            </w:r>
          </w:p>
        </w:tc>
        <w:tc>
          <w:tcPr>
            <w:tcW w:w="1415" w:type="dxa"/>
            <w:tcBorders/>
            <w:vAlign w:val="center"/>
          </w:tcPr>
          <w:p>
            <w:pPr>
              <w:pStyle w:val="TableContents"/>
              <w:bidi w:val="0"/>
              <w:spacing w:before="0" w:after="283"/>
              <w:jc w:val="right"/>
              <w:rPr/>
            </w:pPr>
            <w:r>
              <w:rPr/>
              <w:t>             </w:t>
            </w:r>
            <w:r>
              <w:rPr>
                <w:sz w:val="16"/>
              </w:rPr>
              <w:t>77,244</w:t>
            </w:r>
          </w:p>
        </w:tc>
        <w:tc>
          <w:tcPr>
            <w:tcW w:w="1415" w:type="dxa"/>
            <w:tcBorders/>
            <w:vAlign w:val="center"/>
          </w:tcPr>
          <w:p>
            <w:pPr>
              <w:pStyle w:val="TableContents"/>
              <w:bidi w:val="0"/>
              <w:spacing w:before="0" w:after="283"/>
              <w:jc w:val="right"/>
              <w:rPr/>
            </w:pPr>
            <w:r>
              <w:rPr/>
              <w:t>             </w:t>
            </w:r>
            <w:r>
              <w:rPr>
                <w:sz w:val="16"/>
              </w:rPr>
              <w:t>77,154</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-10.3%</w:t>
            </w:r>
          </w:p>
        </w:tc>
      </w:tr>
      <w:tr>
        <w:trPr/>
        <w:tc>
          <w:tcPr>
            <w:tcW w:w="2589" w:type="dxa"/>
            <w:gridSpan w:val="2"/>
            <w:tcBorders>
              <w:left w:val="single" w:sz="8" w:space="0" w:color="000000"/>
              <w:right w:val="single" w:sz="8" w:space="0" w:color="000000"/>
            </w:tcBorders>
            <w:shd w:fill="FFFFFF" w:val="clear"/>
            <w:tcMar>
              <w:left w:w="40" w:type="dxa"/>
              <w:right w:w="28" w:type="dxa"/>
            </w:tcMar>
            <w:vAlign w:val="center"/>
          </w:tcPr>
          <w:p>
            <w:pPr>
              <w:pStyle w:val="TableContents"/>
              <w:bidi w:val="0"/>
              <w:spacing w:before="0" w:after="283"/>
              <w:jc w:val="left"/>
              <w:rPr>
                <w:b/>
                <w:sz w:val="16"/>
              </w:rPr>
            </w:pPr>
            <w:r>
              <w:rPr>
                <w:b/>
                <w:sz w:val="16"/>
              </w:rPr>
              <w:t>Provision for credit losses on loan portfolio, net of recoveries</w:t>
            </w:r>
          </w:p>
        </w:tc>
        <w:tc>
          <w:tcPr>
            <w:tcW w:w="980" w:type="dxa"/>
            <w:tcBorders/>
            <w:vAlign w:val="center"/>
          </w:tcPr>
          <w:p>
            <w:pPr>
              <w:pStyle w:val="TableContents"/>
              <w:bidi w:val="0"/>
              <w:spacing w:before="0" w:after="283"/>
              <w:jc w:val="right"/>
              <w:rPr/>
            </w:pPr>
            <w:r>
              <w:rPr/>
              <w:t>    </w:t>
            </w:r>
            <w:r>
              <w:rPr>
                <w:sz w:val="16"/>
              </w:rPr>
              <w:t>(322,880)</w:t>
            </w:r>
          </w:p>
        </w:tc>
        <w:tc>
          <w:tcPr>
            <w:tcW w:w="1040" w:type="dxa"/>
            <w:tcBorders/>
            <w:vAlign w:val="center"/>
          </w:tcPr>
          <w:p>
            <w:pPr>
              <w:pStyle w:val="TableContents"/>
              <w:bidi w:val="0"/>
              <w:spacing w:before="0" w:after="283"/>
              <w:jc w:val="right"/>
              <w:rPr/>
            </w:pPr>
            <w:r>
              <w:rPr/>
              <w:t>     </w:t>
            </w:r>
            <w:r>
              <w:rPr>
                <w:sz w:val="16"/>
              </w:rPr>
              <w:t>(712,385)</w:t>
            </w:r>
          </w:p>
        </w:tc>
        <w:tc>
          <w:tcPr>
            <w:tcW w:w="1040" w:type="dxa"/>
            <w:tcBorders/>
            <w:vAlign w:val="center"/>
          </w:tcPr>
          <w:p>
            <w:pPr>
              <w:pStyle w:val="TableContents"/>
              <w:bidi w:val="0"/>
              <w:spacing w:before="0" w:after="283"/>
              <w:jc w:val="right"/>
              <w:rPr/>
            </w:pPr>
            <w:r>
              <w:rPr/>
              <w:t>     </w:t>
            </w:r>
            <w:r>
              <w:rPr>
                <w:sz w:val="16"/>
              </w:rPr>
              <w:t>(787,089)</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10.5%</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143.8%</w:t>
            </w:r>
          </w:p>
        </w:tc>
        <w:tc>
          <w:tcPr>
            <w:tcW w:w="1415" w:type="dxa"/>
            <w:tcBorders/>
            <w:vAlign w:val="center"/>
          </w:tcPr>
          <w:p>
            <w:pPr>
              <w:pStyle w:val="TableContents"/>
              <w:bidi w:val="0"/>
              <w:spacing w:before="0" w:after="283"/>
              <w:jc w:val="right"/>
              <w:rPr/>
            </w:pPr>
            <w:r>
              <w:rPr/>
              <w:t>           </w:t>
            </w:r>
            <w:r>
              <w:rPr>
                <w:sz w:val="16"/>
              </w:rPr>
              <w:t>(322,880)</w:t>
            </w:r>
          </w:p>
        </w:tc>
        <w:tc>
          <w:tcPr>
            <w:tcW w:w="1415" w:type="dxa"/>
            <w:tcBorders/>
            <w:vAlign w:val="center"/>
          </w:tcPr>
          <w:p>
            <w:pPr>
              <w:pStyle w:val="TableContents"/>
              <w:bidi w:val="0"/>
              <w:spacing w:before="0" w:after="283"/>
              <w:jc w:val="right"/>
              <w:rPr/>
            </w:pPr>
            <w:r>
              <w:rPr/>
              <w:t>           </w:t>
            </w:r>
            <w:r>
              <w:rPr>
                <w:sz w:val="16"/>
              </w:rPr>
              <w:t>(787,089)</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160.0%</w:t>
            </w:r>
          </w:p>
        </w:tc>
      </w:tr>
      <w:tr>
        <w:trPr/>
        <w:tc>
          <w:tcPr>
            <w:tcW w:w="2514" w:type="dxa"/>
            <w:tcBorders>
              <w:left w:val="single" w:sz="8" w:space="0" w:color="000000"/>
            </w:tcBorders>
            <w:shd w:fill="FFFFFF" w:val="clear"/>
            <w:tcMar>
              <w:left w:w="40" w:type="dxa"/>
            </w:tcMar>
            <w:vAlign w:val="center"/>
          </w:tcPr>
          <w:p>
            <w:pPr>
              <w:pStyle w:val="TableContents"/>
              <w:bidi w:val="0"/>
              <w:spacing w:before="0" w:after="283"/>
              <w:jc w:val="left"/>
              <w:rPr/>
            </w:pPr>
            <w:r>
              <w:rPr/>
              <w:t>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right"/>
              <w:rPr/>
            </w:pPr>
            <w:r>
              <w:rPr/>
              <w:t>                    </w:t>
            </w:r>
            <w:r>
              <w:rPr>
                <w:sz w:val="16"/>
              </w:rPr>
              <w:t>-   </w:t>
            </w:r>
          </w:p>
        </w:tc>
        <w:tc>
          <w:tcPr>
            <w:tcW w:w="1415" w:type="dxa"/>
            <w:tcBorders/>
            <w:vAlign w:val="center"/>
          </w:tcPr>
          <w:p>
            <w:pPr>
              <w:pStyle w:val="TableContents"/>
              <w:bidi w:val="0"/>
              <w:spacing w:before="0" w:after="283"/>
              <w:jc w:val="right"/>
              <w:rPr/>
            </w:pPr>
            <w:r>
              <w:rPr/>
              <w:t>                    </w:t>
            </w:r>
            <w:r>
              <w:rPr>
                <w:sz w:val="16"/>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89" w:type="dxa"/>
            <w:gridSpan w:val="2"/>
            <w:tcBorders>
              <w:left w:val="single" w:sz="8" w:space="0" w:color="000000"/>
              <w:right w:val="single" w:sz="8" w:space="0" w:color="000000"/>
            </w:tcBorders>
            <w:tcMar>
              <w:left w:w="40" w:type="dxa"/>
              <w:right w:w="28" w:type="dxa"/>
            </w:tcMar>
            <w:vAlign w:val="center"/>
          </w:tcPr>
          <w:p>
            <w:pPr>
              <w:pStyle w:val="TableContents"/>
              <w:bidi w:val="0"/>
              <w:spacing w:before="0" w:after="283"/>
              <w:jc w:val="left"/>
              <w:rPr>
                <w:b/>
                <w:sz w:val="16"/>
              </w:rPr>
            </w:pPr>
            <w:r>
              <w:rPr>
                <w:b/>
                <w:sz w:val="16"/>
              </w:rPr>
              <w:t>Net interest, similar income and expenses, after provision for credit losses on loan portfolio</w:t>
            </w:r>
          </w:p>
        </w:tc>
        <w:tc>
          <w:tcPr>
            <w:tcW w:w="980" w:type="dxa"/>
            <w:tcBorders/>
            <w:vAlign w:val="center"/>
          </w:tcPr>
          <w:p>
            <w:pPr>
              <w:pStyle w:val="TableContents"/>
              <w:bidi w:val="0"/>
              <w:spacing w:before="0" w:after="283"/>
              <w:jc w:val="right"/>
              <w:rPr/>
            </w:pPr>
            <w:r>
              <w:rPr/>
              <w:t>  </w:t>
            </w:r>
            <w:r>
              <w:rPr>
                <w:sz w:val="16"/>
              </w:rPr>
              <w:t>2,075,406</w:t>
            </w:r>
          </w:p>
        </w:tc>
        <w:tc>
          <w:tcPr>
            <w:tcW w:w="1040" w:type="dxa"/>
            <w:tcBorders/>
            <w:vAlign w:val="center"/>
          </w:tcPr>
          <w:p>
            <w:pPr>
              <w:pStyle w:val="TableContents"/>
              <w:bidi w:val="0"/>
              <w:spacing w:before="0" w:after="283"/>
              <w:jc w:val="right"/>
              <w:rPr/>
            </w:pPr>
            <w:r>
              <w:rPr/>
              <w:t>    </w:t>
            </w:r>
            <w:r>
              <w:rPr>
                <w:sz w:val="16"/>
              </w:rPr>
              <w:t>2,195,590</w:t>
            </w:r>
          </w:p>
        </w:tc>
        <w:tc>
          <w:tcPr>
            <w:tcW w:w="1040" w:type="dxa"/>
            <w:tcBorders/>
            <w:vAlign w:val="center"/>
          </w:tcPr>
          <w:p>
            <w:pPr>
              <w:pStyle w:val="TableContents"/>
              <w:bidi w:val="0"/>
              <w:spacing w:before="0" w:after="283"/>
              <w:jc w:val="right"/>
              <w:rPr/>
            </w:pPr>
            <w:r>
              <w:rPr/>
              <w:t>    </w:t>
            </w:r>
            <w:r>
              <w:rPr>
                <w:sz w:val="16"/>
              </w:rPr>
              <w:t>2,167,022</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-1.3%</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4.4%</w:t>
            </w:r>
          </w:p>
        </w:tc>
        <w:tc>
          <w:tcPr>
            <w:tcW w:w="1415" w:type="dxa"/>
            <w:tcBorders/>
            <w:vAlign w:val="center"/>
          </w:tcPr>
          <w:p>
            <w:pPr>
              <w:pStyle w:val="TableContents"/>
              <w:bidi w:val="0"/>
              <w:spacing w:before="0" w:after="283"/>
              <w:jc w:val="right"/>
              <w:rPr/>
            </w:pPr>
            <w:r>
              <w:rPr/>
              <w:t>         </w:t>
            </w:r>
            <w:r>
              <w:rPr>
                <w:sz w:val="16"/>
              </w:rPr>
              <w:t>2,075,406</w:t>
            </w:r>
          </w:p>
        </w:tc>
        <w:tc>
          <w:tcPr>
            <w:tcW w:w="1415" w:type="dxa"/>
            <w:tcBorders/>
            <w:vAlign w:val="center"/>
          </w:tcPr>
          <w:p>
            <w:pPr>
              <w:pStyle w:val="TableContents"/>
              <w:bidi w:val="0"/>
              <w:spacing w:before="0" w:after="283"/>
              <w:jc w:val="right"/>
              <w:rPr/>
            </w:pPr>
            <w:r>
              <w:rPr/>
              <w:t>         </w:t>
            </w:r>
            <w:r>
              <w:rPr>
                <w:sz w:val="16"/>
              </w:rPr>
              <w:t>2,167,022</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8.0%</w:t>
            </w:r>
          </w:p>
        </w:tc>
      </w:tr>
      <w:tr>
        <w:trPr/>
        <w:tc>
          <w:tcPr>
            <w:tcW w:w="2514" w:type="dxa"/>
            <w:tcBorders>
              <w:left w:val="single" w:sz="8" w:space="0" w:color="000000"/>
            </w:tcBorders>
            <w:shd w:fill="FFFFFF" w:val="clear"/>
            <w:tcMar>
              <w:left w:w="40" w:type="dxa"/>
            </w:tcMar>
            <w:vAlign w:val="center"/>
          </w:tcPr>
          <w:p>
            <w:pPr>
              <w:pStyle w:val="TableContents"/>
              <w:bidi w:val="0"/>
              <w:spacing w:before="0" w:after="283"/>
              <w:jc w:val="left"/>
              <w:rPr/>
            </w:pPr>
            <w:r>
              <w:rPr/>
              <w:t>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right"/>
              <w:rPr/>
            </w:pPr>
            <w:r>
              <w:rPr/>
              <w:t>                    </w:t>
            </w:r>
            <w:r>
              <w:rPr>
                <w:sz w:val="16"/>
              </w:rPr>
              <w:t>-   </w:t>
            </w:r>
          </w:p>
        </w:tc>
        <w:tc>
          <w:tcPr>
            <w:tcW w:w="1415" w:type="dxa"/>
            <w:tcBorders/>
            <w:vAlign w:val="center"/>
          </w:tcPr>
          <w:p>
            <w:pPr>
              <w:pStyle w:val="TableContents"/>
              <w:bidi w:val="0"/>
              <w:spacing w:before="0" w:after="283"/>
              <w:jc w:val="right"/>
              <w:rPr/>
            </w:pPr>
            <w:r>
              <w:rPr/>
              <w:t>                    </w:t>
            </w:r>
            <w:r>
              <w:rPr>
                <w:sz w:val="16"/>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14" w:type="dxa"/>
            <w:tcBorders>
              <w:left w:val="single" w:sz="8" w:space="0" w:color="000000"/>
            </w:tcBorders>
            <w:shd w:fill="FFFFFF" w:val="clear"/>
            <w:tcMar>
              <w:left w:w="40" w:type="dxa"/>
            </w:tcMar>
            <w:vAlign w:val="center"/>
          </w:tcPr>
          <w:p>
            <w:pPr>
              <w:pStyle w:val="TableContents"/>
              <w:bidi w:val="0"/>
              <w:spacing w:before="0" w:after="283"/>
              <w:jc w:val="left"/>
              <w:rPr>
                <w:b/>
                <w:sz w:val="16"/>
              </w:rPr>
            </w:pPr>
            <w:r>
              <w:rPr>
                <w:b/>
                <w:sz w:val="16"/>
              </w:rPr>
              <w:t>Other income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right"/>
              <w:rPr/>
            </w:pPr>
            <w:r>
              <w:rPr/>
              <w:t>                    </w:t>
            </w:r>
            <w:r>
              <w:rPr>
                <w:sz w:val="16"/>
              </w:rPr>
              <w:t>-   </w:t>
            </w:r>
          </w:p>
        </w:tc>
        <w:tc>
          <w:tcPr>
            <w:tcW w:w="1415" w:type="dxa"/>
            <w:tcBorders/>
            <w:vAlign w:val="center"/>
          </w:tcPr>
          <w:p>
            <w:pPr>
              <w:pStyle w:val="TableContents"/>
              <w:bidi w:val="0"/>
              <w:spacing w:before="0" w:after="283"/>
              <w:jc w:val="right"/>
              <w:rPr/>
            </w:pPr>
            <w:r>
              <w:rPr/>
              <w:t>                    </w:t>
            </w:r>
            <w:r>
              <w:rPr>
                <w:sz w:val="16"/>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14" w:type="dxa"/>
            <w:tcBorders>
              <w:left w:val="single" w:sz="8" w:space="0" w:color="000000"/>
            </w:tcBorders>
            <w:shd w:fill="FFFFFF" w:val="clear"/>
            <w:tcMar>
              <w:left w:w="200" w:type="dxa"/>
            </w:tcMar>
            <w:vAlign w:val="center"/>
          </w:tcPr>
          <w:p>
            <w:pPr>
              <w:pStyle w:val="TableContents"/>
              <w:bidi w:val="0"/>
              <w:spacing w:before="0" w:after="283"/>
              <w:jc w:val="left"/>
              <w:rPr>
                <w:sz w:val="16"/>
              </w:rPr>
            </w:pPr>
            <w:r>
              <w:rPr>
                <w:sz w:val="16"/>
              </w:rPr>
              <w:t>Fee income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r>
              <w:rPr>
                <w:sz w:val="16"/>
              </w:rPr>
              <w:t>753,835</w:t>
            </w:r>
          </w:p>
        </w:tc>
        <w:tc>
          <w:tcPr>
            <w:tcW w:w="1040" w:type="dxa"/>
            <w:tcBorders/>
            <w:vAlign w:val="center"/>
          </w:tcPr>
          <w:p>
            <w:pPr>
              <w:pStyle w:val="TableContents"/>
              <w:bidi w:val="0"/>
              <w:spacing w:before="0" w:after="283"/>
              <w:jc w:val="right"/>
              <w:rPr/>
            </w:pPr>
            <w:r>
              <w:rPr/>
              <w:t>      </w:t>
            </w:r>
            <w:r>
              <w:rPr>
                <w:sz w:val="16"/>
              </w:rPr>
              <w:t>727,489</w:t>
            </w:r>
          </w:p>
        </w:tc>
        <w:tc>
          <w:tcPr>
            <w:tcW w:w="1040" w:type="dxa"/>
            <w:tcBorders/>
            <w:vAlign w:val="center"/>
          </w:tcPr>
          <w:p>
            <w:pPr>
              <w:pStyle w:val="TableContents"/>
              <w:bidi w:val="0"/>
              <w:spacing w:before="0" w:after="283"/>
              <w:jc w:val="right"/>
              <w:rPr/>
            </w:pPr>
            <w:r>
              <w:rPr/>
              <w:t>      </w:t>
            </w:r>
            <w:r>
              <w:rPr>
                <w:sz w:val="16"/>
              </w:rPr>
              <w:t>754,473</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3.7%</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0.1%</w:t>
            </w:r>
          </w:p>
        </w:tc>
        <w:tc>
          <w:tcPr>
            <w:tcW w:w="1415" w:type="dxa"/>
            <w:tcBorders/>
            <w:vAlign w:val="center"/>
          </w:tcPr>
          <w:p>
            <w:pPr>
              <w:pStyle w:val="TableContents"/>
              <w:bidi w:val="0"/>
              <w:spacing w:before="0" w:after="283"/>
              <w:jc w:val="right"/>
              <w:rPr/>
            </w:pPr>
            <w:r>
              <w:rPr/>
              <w:t>            </w:t>
            </w:r>
            <w:r>
              <w:rPr>
                <w:sz w:val="16"/>
              </w:rPr>
              <w:t>753,835</w:t>
            </w:r>
          </w:p>
        </w:tc>
        <w:tc>
          <w:tcPr>
            <w:tcW w:w="1415" w:type="dxa"/>
            <w:tcBorders/>
            <w:vAlign w:val="center"/>
          </w:tcPr>
          <w:p>
            <w:pPr>
              <w:pStyle w:val="TableContents"/>
              <w:bidi w:val="0"/>
              <w:spacing w:before="0" w:after="283"/>
              <w:jc w:val="right"/>
              <w:rPr/>
            </w:pPr>
            <w:r>
              <w:rPr/>
              <w:t>            </w:t>
            </w:r>
            <w:r>
              <w:rPr>
                <w:sz w:val="16"/>
              </w:rPr>
              <w:t>754,473</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-0.2%</w:t>
            </w:r>
          </w:p>
        </w:tc>
      </w:tr>
      <w:tr>
        <w:trPr/>
        <w:tc>
          <w:tcPr>
            <w:tcW w:w="2589" w:type="dxa"/>
            <w:gridSpan w:val="2"/>
            <w:tcBorders>
              <w:left w:val="single" w:sz="8" w:space="0" w:color="000000"/>
              <w:right w:val="single" w:sz="8" w:space="0" w:color="000000"/>
            </w:tcBorders>
            <w:shd w:fill="FFFFFF" w:val="clear"/>
            <w:tcMar>
              <w:left w:w="200" w:type="dxa"/>
              <w:right w:w="28" w:type="dxa"/>
            </w:tcMar>
            <w:vAlign w:val="center"/>
          </w:tcPr>
          <w:p>
            <w:pPr>
              <w:pStyle w:val="TableContents"/>
              <w:bidi w:val="0"/>
              <w:spacing w:before="0" w:after="283"/>
              <w:jc w:val="left"/>
              <w:rPr>
                <w:sz w:val="16"/>
              </w:rPr>
            </w:pPr>
            <w:r>
              <w:rPr>
                <w:sz w:val="16"/>
              </w:rPr>
              <w:t>Net gain on foreign exchange transactions</w:t>
            </w:r>
          </w:p>
        </w:tc>
        <w:tc>
          <w:tcPr>
            <w:tcW w:w="980" w:type="dxa"/>
            <w:tcBorders/>
            <w:vAlign w:val="center"/>
          </w:tcPr>
          <w:p>
            <w:pPr>
              <w:pStyle w:val="TableContents"/>
              <w:bidi w:val="0"/>
              <w:spacing w:before="0" w:after="283"/>
              <w:jc w:val="right"/>
              <w:rPr/>
            </w:pPr>
            <w:r>
              <w:rPr/>
              <w:t>     </w:t>
            </w:r>
            <w:r>
              <w:rPr>
                <w:sz w:val="16"/>
              </w:rPr>
              <w:t>243,566</w:t>
            </w:r>
          </w:p>
        </w:tc>
        <w:tc>
          <w:tcPr>
            <w:tcW w:w="1040" w:type="dxa"/>
            <w:tcBorders/>
            <w:vAlign w:val="center"/>
          </w:tcPr>
          <w:p>
            <w:pPr>
              <w:pStyle w:val="TableContents"/>
              <w:bidi w:val="0"/>
              <w:spacing w:before="0" w:after="283"/>
              <w:jc w:val="right"/>
              <w:rPr/>
            </w:pPr>
            <w:r>
              <w:rPr/>
              <w:t>      </w:t>
            </w:r>
            <w:r>
              <w:rPr>
                <w:sz w:val="16"/>
              </w:rPr>
              <w:t>242,570</w:t>
            </w:r>
          </w:p>
        </w:tc>
        <w:tc>
          <w:tcPr>
            <w:tcW w:w="1040" w:type="dxa"/>
            <w:tcBorders/>
            <w:vAlign w:val="center"/>
          </w:tcPr>
          <w:p>
            <w:pPr>
              <w:pStyle w:val="TableContents"/>
              <w:bidi w:val="0"/>
              <w:spacing w:before="0" w:after="283"/>
              <w:jc w:val="right"/>
              <w:rPr/>
            </w:pPr>
            <w:r>
              <w:rPr/>
              <w:t>      </w:t>
            </w:r>
            <w:r>
              <w:rPr>
                <w:sz w:val="16"/>
              </w:rPr>
              <w:t>246,228</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1.5%</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w:t>
            </w:r>
          </w:p>
        </w:tc>
        <w:tc>
          <w:tcPr>
            <w:tcW w:w="1415" w:type="dxa"/>
            <w:tcBorders/>
            <w:vAlign w:val="center"/>
          </w:tcPr>
          <w:p>
            <w:pPr>
              <w:pStyle w:val="TableContents"/>
              <w:bidi w:val="0"/>
              <w:spacing w:before="0" w:after="283"/>
              <w:jc w:val="right"/>
              <w:rPr/>
            </w:pPr>
            <w:r>
              <w:rPr/>
              <w:t>            </w:t>
            </w:r>
            <w:r>
              <w:rPr>
                <w:sz w:val="16"/>
              </w:rPr>
              <w:t>243,566</w:t>
            </w:r>
          </w:p>
        </w:tc>
        <w:tc>
          <w:tcPr>
            <w:tcW w:w="1415" w:type="dxa"/>
            <w:tcBorders/>
            <w:vAlign w:val="center"/>
          </w:tcPr>
          <w:p>
            <w:pPr>
              <w:pStyle w:val="TableContents"/>
              <w:bidi w:val="0"/>
              <w:spacing w:before="0" w:after="283"/>
              <w:jc w:val="right"/>
              <w:rPr/>
            </w:pPr>
            <w:r>
              <w:rPr/>
              <w:t>            </w:t>
            </w:r>
            <w:r>
              <w:rPr>
                <w:sz w:val="16"/>
              </w:rPr>
              <w:t>246,228</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0.6%</w:t>
            </w:r>
          </w:p>
        </w:tc>
      </w:tr>
      <w:tr>
        <w:trPr/>
        <w:tc>
          <w:tcPr>
            <w:tcW w:w="2589" w:type="dxa"/>
            <w:gridSpan w:val="2"/>
            <w:tcBorders>
              <w:left w:val="single" w:sz="8" w:space="0" w:color="000000"/>
              <w:right w:val="single" w:sz="8" w:space="0" w:color="000000"/>
            </w:tcBorders>
            <w:shd w:fill="FFFFFF" w:val="clear"/>
            <w:tcMar>
              <w:left w:w="200" w:type="dxa"/>
              <w:right w:w="28" w:type="dxa"/>
            </w:tcMar>
            <w:vAlign w:val="center"/>
          </w:tcPr>
          <w:p>
            <w:pPr>
              <w:pStyle w:val="TableContents"/>
              <w:bidi w:val="0"/>
              <w:spacing w:before="0" w:after="283"/>
              <w:jc w:val="left"/>
              <w:rPr>
                <w:sz w:val="16"/>
              </w:rPr>
            </w:pPr>
            <w:r>
              <w:rPr>
                <w:sz w:val="16"/>
              </w:rPr>
              <w:t>Net gain (loss) on securities</w:t>
            </w:r>
          </w:p>
        </w:tc>
        <w:tc>
          <w:tcPr>
            <w:tcW w:w="980" w:type="dxa"/>
            <w:tcBorders/>
            <w:vAlign w:val="center"/>
          </w:tcPr>
          <w:p>
            <w:pPr>
              <w:pStyle w:val="TableContents"/>
              <w:bidi w:val="0"/>
              <w:spacing w:before="0" w:after="283"/>
              <w:jc w:val="right"/>
              <w:rPr/>
            </w:pPr>
            <w:r>
              <w:rPr/>
              <w:t>        </w:t>
            </w:r>
            <w:r>
              <w:rPr>
                <w:sz w:val="16"/>
              </w:rPr>
              <w:t>(2,611)</w:t>
            </w:r>
          </w:p>
        </w:tc>
        <w:tc>
          <w:tcPr>
            <w:tcW w:w="1040" w:type="dxa"/>
            <w:tcBorders/>
            <w:vAlign w:val="center"/>
          </w:tcPr>
          <w:p>
            <w:pPr>
              <w:pStyle w:val="TableContents"/>
              <w:bidi w:val="0"/>
              <w:spacing w:before="0" w:after="283"/>
              <w:jc w:val="right"/>
              <w:rPr/>
            </w:pPr>
            <w:r>
              <w:rPr/>
              <w:t>         </w:t>
            </w:r>
            <w:r>
              <w:rPr>
                <w:sz w:val="16"/>
              </w:rPr>
              <w:t>(2,584)</w:t>
            </w:r>
          </w:p>
        </w:tc>
        <w:tc>
          <w:tcPr>
            <w:tcW w:w="1040" w:type="dxa"/>
            <w:tcBorders/>
            <w:vAlign w:val="center"/>
          </w:tcPr>
          <w:p>
            <w:pPr>
              <w:pStyle w:val="TableContents"/>
              <w:bidi w:val="0"/>
              <w:spacing w:before="0" w:after="283"/>
              <w:jc w:val="right"/>
              <w:rPr/>
            </w:pPr>
            <w:r>
              <w:rPr/>
              <w:t>       </w:t>
            </w:r>
            <w:r>
              <w:rPr>
                <w:sz w:val="16"/>
              </w:rPr>
              <w:t>(29,111)</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n.a</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c>
          <w:tcPr>
            <w:tcW w:w="1415" w:type="dxa"/>
            <w:tcBorders/>
            <w:vAlign w:val="center"/>
          </w:tcPr>
          <w:p>
            <w:pPr>
              <w:pStyle w:val="TableContents"/>
              <w:bidi w:val="0"/>
              <w:spacing w:before="0" w:after="283"/>
              <w:jc w:val="right"/>
              <w:rPr/>
            </w:pPr>
            <w:r>
              <w:rPr/>
              <w:t>              </w:t>
            </w:r>
            <w:r>
              <w:rPr>
                <w:sz w:val="16"/>
              </w:rPr>
              <w:t>(2,611)</w:t>
            </w:r>
          </w:p>
        </w:tc>
        <w:tc>
          <w:tcPr>
            <w:tcW w:w="1415" w:type="dxa"/>
            <w:tcBorders/>
            <w:vAlign w:val="center"/>
          </w:tcPr>
          <w:p>
            <w:pPr>
              <w:pStyle w:val="TableContents"/>
              <w:bidi w:val="0"/>
              <w:spacing w:before="0" w:after="283"/>
              <w:jc w:val="right"/>
              <w:rPr/>
            </w:pPr>
            <w:r>
              <w:rPr/>
              <w:t>            </w:t>
            </w:r>
            <w:r>
              <w:rPr>
                <w:sz w:val="16"/>
              </w:rPr>
              <w:t>(29,111)</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602.9%</w:t>
            </w:r>
          </w:p>
        </w:tc>
      </w:tr>
      <w:tr>
        <w:trPr/>
        <w:tc>
          <w:tcPr>
            <w:tcW w:w="2514" w:type="dxa"/>
            <w:tcBorders>
              <w:left w:val="single" w:sz="8" w:space="0" w:color="000000"/>
            </w:tcBorders>
            <w:tcMar>
              <w:left w:w="200" w:type="dxa"/>
            </w:tcMar>
            <w:vAlign w:val="center"/>
          </w:tcPr>
          <w:p>
            <w:pPr>
              <w:pStyle w:val="TableContents"/>
              <w:bidi w:val="0"/>
              <w:spacing w:before="0" w:after="283"/>
              <w:jc w:val="left"/>
              <w:rPr>
                <w:sz w:val="16"/>
              </w:rPr>
            </w:pPr>
            <w:r>
              <w:rPr>
                <w:sz w:val="16"/>
              </w:rPr>
              <w:t>Net gain (loss) on derivatives held for trading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r>
              <w:rPr>
                <w:sz w:val="16"/>
              </w:rPr>
              <w:t>(19,037)</w:t>
            </w:r>
          </w:p>
        </w:tc>
        <w:tc>
          <w:tcPr>
            <w:tcW w:w="1040" w:type="dxa"/>
            <w:tcBorders/>
            <w:vAlign w:val="center"/>
          </w:tcPr>
          <w:p>
            <w:pPr>
              <w:pStyle w:val="TableContents"/>
              <w:bidi w:val="0"/>
              <w:spacing w:before="0" w:after="283"/>
              <w:jc w:val="right"/>
              <w:rPr/>
            </w:pPr>
            <w:r>
              <w:rPr/>
              <w:t>        </w:t>
            </w:r>
            <w:r>
              <w:rPr>
                <w:sz w:val="16"/>
              </w:rPr>
              <w:t>22,288</w:t>
            </w:r>
          </w:p>
        </w:tc>
        <w:tc>
          <w:tcPr>
            <w:tcW w:w="1040" w:type="dxa"/>
            <w:tcBorders/>
            <w:vAlign w:val="center"/>
          </w:tcPr>
          <w:p>
            <w:pPr>
              <w:pStyle w:val="TableContents"/>
              <w:bidi w:val="0"/>
              <w:spacing w:before="0" w:after="283"/>
              <w:jc w:val="right"/>
              <w:rPr/>
            </w:pPr>
            <w:r>
              <w:rPr/>
              <w:t>        </w:t>
            </w:r>
            <w:r>
              <w:rPr>
                <w:sz w:val="16"/>
              </w:rPr>
              <w:t>38,344</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72.0%</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n.a</w:t>
            </w:r>
          </w:p>
        </w:tc>
        <w:tc>
          <w:tcPr>
            <w:tcW w:w="1415" w:type="dxa"/>
            <w:tcBorders/>
            <w:vAlign w:val="center"/>
          </w:tcPr>
          <w:p>
            <w:pPr>
              <w:pStyle w:val="TableContents"/>
              <w:bidi w:val="0"/>
              <w:spacing w:before="0" w:after="283"/>
              <w:jc w:val="right"/>
              <w:rPr/>
            </w:pPr>
            <w:r>
              <w:rPr/>
              <w:t>            </w:t>
            </w:r>
            <w:r>
              <w:rPr>
                <w:sz w:val="16"/>
              </w:rPr>
              <w:t>(19,037)</w:t>
            </w:r>
          </w:p>
        </w:tc>
        <w:tc>
          <w:tcPr>
            <w:tcW w:w="1415" w:type="dxa"/>
            <w:tcBorders/>
            <w:vAlign w:val="center"/>
          </w:tcPr>
          <w:p>
            <w:pPr>
              <w:pStyle w:val="TableContents"/>
              <w:bidi w:val="0"/>
              <w:spacing w:before="0" w:after="283"/>
              <w:jc w:val="right"/>
              <w:rPr/>
            </w:pPr>
            <w:r>
              <w:rPr/>
              <w:t>             </w:t>
            </w:r>
            <w:r>
              <w:rPr>
                <w:sz w:val="16"/>
              </w:rPr>
              <w:t>38,344</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-302.0%</w:t>
            </w:r>
          </w:p>
        </w:tc>
      </w:tr>
      <w:tr>
        <w:trPr/>
        <w:tc>
          <w:tcPr>
            <w:tcW w:w="2514" w:type="dxa"/>
            <w:tcBorders>
              <w:left w:val="single" w:sz="8" w:space="0" w:color="000000"/>
            </w:tcBorders>
            <w:tcMar>
              <w:left w:w="200" w:type="dxa"/>
            </w:tcMar>
            <w:vAlign w:val="center"/>
          </w:tcPr>
          <w:p>
            <w:pPr>
              <w:pStyle w:val="TableContents"/>
              <w:bidi w:val="0"/>
              <w:spacing w:before="0" w:after="283"/>
              <w:jc w:val="left"/>
              <w:rPr>
                <w:sz w:val="16"/>
              </w:rPr>
            </w:pPr>
            <w:r>
              <w:rPr>
                <w:sz w:val="16"/>
              </w:rPr>
              <w:t>Net gain (loss) from exchange differences</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r>
              <w:rPr>
                <w:sz w:val="16"/>
              </w:rPr>
              <w:t>9,043</w:t>
            </w:r>
          </w:p>
        </w:tc>
        <w:tc>
          <w:tcPr>
            <w:tcW w:w="1040" w:type="dxa"/>
            <w:tcBorders/>
            <w:vAlign w:val="center"/>
          </w:tcPr>
          <w:p>
            <w:pPr>
              <w:pStyle w:val="TableContents"/>
              <w:bidi w:val="0"/>
              <w:spacing w:before="0" w:after="283"/>
              <w:jc w:val="right"/>
              <w:rPr/>
            </w:pPr>
            <w:r>
              <w:rPr/>
              <w:t>          </w:t>
            </w:r>
            <w:r>
              <w:rPr>
                <w:sz w:val="16"/>
              </w:rPr>
              <w:t>4,308</w:t>
            </w:r>
          </w:p>
        </w:tc>
        <w:tc>
          <w:tcPr>
            <w:tcW w:w="1040" w:type="dxa"/>
            <w:tcBorders/>
            <w:vAlign w:val="center"/>
          </w:tcPr>
          <w:p>
            <w:pPr>
              <w:pStyle w:val="TableContents"/>
              <w:bidi w:val="0"/>
              <w:spacing w:before="0" w:after="283"/>
              <w:jc w:val="right"/>
              <w:rPr/>
            </w:pPr>
            <w:r>
              <w:rPr/>
              <w:t>          </w:t>
            </w:r>
            <w:r>
              <w:rPr>
                <w:sz w:val="16"/>
              </w:rPr>
              <w:t>5,663</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31.5%</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-37.4%</w:t>
            </w:r>
          </w:p>
        </w:tc>
        <w:tc>
          <w:tcPr>
            <w:tcW w:w="1415" w:type="dxa"/>
            <w:tcBorders/>
            <w:vAlign w:val="center"/>
          </w:tcPr>
          <w:p>
            <w:pPr>
              <w:pStyle w:val="TableContents"/>
              <w:bidi w:val="0"/>
              <w:spacing w:before="0" w:after="283"/>
              <w:jc w:val="right"/>
              <w:rPr/>
            </w:pPr>
            <w:r>
              <w:rPr/>
              <w:t>               </w:t>
            </w:r>
            <w:r>
              <w:rPr>
                <w:sz w:val="16"/>
              </w:rPr>
              <w:t>9,043</w:t>
            </w:r>
          </w:p>
        </w:tc>
        <w:tc>
          <w:tcPr>
            <w:tcW w:w="1415" w:type="dxa"/>
            <w:tcBorders/>
            <w:vAlign w:val="center"/>
          </w:tcPr>
          <w:p>
            <w:pPr>
              <w:pStyle w:val="TableContents"/>
              <w:bidi w:val="0"/>
              <w:spacing w:before="0" w:after="283"/>
              <w:jc w:val="right"/>
              <w:rPr/>
            </w:pPr>
            <w:r>
              <w:rPr/>
              <w:t>               </w:t>
            </w:r>
            <w:r>
              <w:rPr>
                <w:sz w:val="16"/>
              </w:rPr>
              <w:t>5,663</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-224.5%</w:t>
            </w:r>
          </w:p>
        </w:tc>
      </w:tr>
      <w:tr>
        <w:trPr/>
        <w:tc>
          <w:tcPr>
            <w:tcW w:w="2514" w:type="dxa"/>
            <w:tcBorders>
              <w:left w:val="single" w:sz="8" w:space="0" w:color="000000"/>
            </w:tcBorders>
            <w:shd w:fill="FFFFFF" w:val="clear"/>
            <w:tcMar>
              <w:left w:w="200" w:type="dxa"/>
            </w:tcMar>
            <w:vAlign w:val="center"/>
          </w:tcPr>
          <w:p>
            <w:pPr>
              <w:pStyle w:val="TableContents"/>
              <w:bidi w:val="0"/>
              <w:spacing w:before="0" w:after="283"/>
              <w:jc w:val="left"/>
              <w:rPr>
                <w:sz w:val="16"/>
              </w:rPr>
            </w:pPr>
            <w:r>
              <w:rPr>
                <w:sz w:val="16"/>
              </w:rPr>
              <w:t>Others</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r>
              <w:rPr>
                <w:sz w:val="16"/>
              </w:rPr>
              <w:t>46,354</w:t>
            </w:r>
          </w:p>
        </w:tc>
        <w:tc>
          <w:tcPr>
            <w:tcW w:w="1040" w:type="dxa"/>
            <w:tcBorders/>
            <w:vAlign w:val="center"/>
          </w:tcPr>
          <w:p>
            <w:pPr>
              <w:pStyle w:val="TableContents"/>
              <w:bidi w:val="0"/>
              <w:spacing w:before="0" w:after="283"/>
              <w:jc w:val="right"/>
              <w:rPr/>
            </w:pPr>
            <w:r>
              <w:rPr/>
              <w:t>        </w:t>
            </w:r>
            <w:r>
              <w:rPr>
                <w:sz w:val="16"/>
              </w:rPr>
              <w:t>71,277</w:t>
            </w:r>
          </w:p>
        </w:tc>
        <w:tc>
          <w:tcPr>
            <w:tcW w:w="1040" w:type="dxa"/>
            <w:tcBorders/>
            <w:vAlign w:val="center"/>
          </w:tcPr>
          <w:p>
            <w:pPr>
              <w:pStyle w:val="TableContents"/>
              <w:bidi w:val="0"/>
              <w:spacing w:before="0" w:after="283"/>
              <w:jc w:val="right"/>
              <w:rPr/>
            </w:pPr>
            <w:r>
              <w:rPr/>
              <w:t>      </w:t>
            </w:r>
            <w:r>
              <w:rPr>
                <w:sz w:val="16"/>
              </w:rPr>
              <w:t>118,211</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65.8%</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155.0%</w:t>
            </w:r>
          </w:p>
        </w:tc>
        <w:tc>
          <w:tcPr>
            <w:tcW w:w="1415" w:type="dxa"/>
            <w:tcBorders/>
            <w:vAlign w:val="center"/>
          </w:tcPr>
          <w:p>
            <w:pPr>
              <w:pStyle w:val="TableContents"/>
              <w:bidi w:val="0"/>
              <w:spacing w:before="0" w:after="283"/>
              <w:jc w:val="right"/>
              <w:rPr/>
            </w:pPr>
            <w:r>
              <w:rPr/>
              <w:t>             </w:t>
            </w:r>
            <w:r>
              <w:rPr>
                <w:sz w:val="16"/>
              </w:rPr>
              <w:t>46,354</w:t>
            </w:r>
          </w:p>
        </w:tc>
        <w:tc>
          <w:tcPr>
            <w:tcW w:w="1415" w:type="dxa"/>
            <w:tcBorders/>
            <w:vAlign w:val="center"/>
          </w:tcPr>
          <w:p>
            <w:pPr>
              <w:pStyle w:val="TableContents"/>
              <w:bidi w:val="0"/>
              <w:spacing w:before="0" w:after="283"/>
              <w:jc w:val="right"/>
              <w:rPr/>
            </w:pPr>
            <w:r>
              <w:rPr/>
              <w:t>            </w:t>
            </w:r>
            <w:r>
              <w:rPr>
                <w:sz w:val="16"/>
              </w:rPr>
              <w:t>118,211</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13.7%</w:t>
            </w:r>
          </w:p>
        </w:tc>
      </w:tr>
      <w:tr>
        <w:trPr/>
        <w:tc>
          <w:tcPr>
            <w:tcW w:w="2589" w:type="dxa"/>
            <w:gridSpan w:val="2"/>
            <w:tcBorders>
              <w:left w:val="single" w:sz="8" w:space="0" w:color="000000"/>
              <w:right w:val="single" w:sz="8" w:space="0" w:color="000000"/>
            </w:tcBorders>
            <w:shd w:fill="FFFFFF" w:val="clear"/>
            <w:tcMar>
              <w:left w:w="200" w:type="dxa"/>
              <w:right w:w="28" w:type="dxa"/>
            </w:tcMar>
            <w:vAlign w:val="center"/>
          </w:tcPr>
          <w:p>
            <w:pPr>
              <w:pStyle w:val="TableContents"/>
              <w:bidi w:val="0"/>
              <w:spacing w:before="0" w:after="283"/>
              <w:jc w:val="left"/>
              <w:rPr>
                <w:b/>
                <w:sz w:val="16"/>
              </w:rPr>
            </w:pPr>
            <w:r>
              <w:rPr>
                <w:b/>
                <w:sz w:val="16"/>
              </w:rPr>
              <w:t>Total other income </w:t>
            </w:r>
          </w:p>
        </w:tc>
        <w:tc>
          <w:tcPr>
            <w:tcW w:w="980" w:type="dxa"/>
            <w:tcBorders/>
            <w:vAlign w:val="center"/>
          </w:tcPr>
          <w:p>
            <w:pPr>
              <w:pStyle w:val="TableContents"/>
              <w:bidi w:val="0"/>
              <w:spacing w:before="0" w:after="283"/>
              <w:jc w:val="right"/>
              <w:rPr/>
            </w:pPr>
            <w:r>
              <w:rPr/>
              <w:t>  </w:t>
            </w:r>
            <w:r>
              <w:rPr>
                <w:sz w:val="16"/>
              </w:rPr>
              <w:t>1,031,150</w:t>
            </w:r>
          </w:p>
        </w:tc>
        <w:tc>
          <w:tcPr>
            <w:tcW w:w="1040" w:type="dxa"/>
            <w:tcBorders/>
            <w:vAlign w:val="center"/>
          </w:tcPr>
          <w:p>
            <w:pPr>
              <w:pStyle w:val="TableContents"/>
              <w:bidi w:val="0"/>
              <w:spacing w:before="0" w:after="283"/>
              <w:jc w:val="right"/>
              <w:rPr/>
            </w:pPr>
            <w:r>
              <w:rPr/>
              <w:t>    </w:t>
            </w:r>
            <w:r>
              <w:rPr>
                <w:sz w:val="16"/>
              </w:rPr>
              <w:t>1,065,348</w:t>
            </w:r>
          </w:p>
        </w:tc>
        <w:tc>
          <w:tcPr>
            <w:tcW w:w="1040" w:type="dxa"/>
            <w:tcBorders/>
            <w:vAlign w:val="center"/>
          </w:tcPr>
          <w:p>
            <w:pPr>
              <w:pStyle w:val="TableContents"/>
              <w:bidi w:val="0"/>
              <w:spacing w:before="0" w:after="283"/>
              <w:jc w:val="right"/>
              <w:rPr/>
            </w:pPr>
            <w:r>
              <w:rPr/>
              <w:t>    </w:t>
            </w:r>
            <w:r>
              <w:rPr>
                <w:sz w:val="16"/>
              </w:rPr>
              <w:t>1,133,808</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6.4%</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10.0%</w:t>
            </w:r>
          </w:p>
        </w:tc>
        <w:tc>
          <w:tcPr>
            <w:tcW w:w="1415" w:type="dxa"/>
            <w:tcBorders/>
            <w:vAlign w:val="center"/>
          </w:tcPr>
          <w:p>
            <w:pPr>
              <w:pStyle w:val="TableContents"/>
              <w:bidi w:val="0"/>
              <w:spacing w:before="0" w:after="283"/>
              <w:jc w:val="right"/>
              <w:rPr/>
            </w:pPr>
            <w:r>
              <w:rPr/>
              <w:t>         </w:t>
            </w:r>
            <w:r>
              <w:rPr>
                <w:sz w:val="16"/>
              </w:rPr>
              <w:t>1,031,150</w:t>
            </w:r>
          </w:p>
        </w:tc>
        <w:tc>
          <w:tcPr>
            <w:tcW w:w="1415" w:type="dxa"/>
            <w:tcBorders/>
            <w:vAlign w:val="center"/>
          </w:tcPr>
          <w:p>
            <w:pPr>
              <w:pStyle w:val="TableContents"/>
              <w:bidi w:val="0"/>
              <w:spacing w:before="0" w:after="283"/>
              <w:jc w:val="right"/>
              <w:rPr/>
            </w:pPr>
            <w:r>
              <w:rPr/>
              <w:t>         </w:t>
            </w:r>
            <w:r>
              <w:rPr>
                <w:sz w:val="16"/>
              </w:rPr>
              <w:t>1,133,808</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4.9%</w:t>
            </w:r>
          </w:p>
        </w:tc>
      </w:tr>
      <w:tr>
        <w:trPr/>
        <w:tc>
          <w:tcPr>
            <w:tcW w:w="2514" w:type="dxa"/>
            <w:tcBorders>
              <w:left w:val="single" w:sz="8" w:space="0" w:color="000000"/>
            </w:tcBorders>
            <w:shd w:fill="FFFFFF" w:val="clear"/>
            <w:tcMar>
              <w:left w:w="40" w:type="dxa"/>
            </w:tcMar>
            <w:vAlign w:val="center"/>
          </w:tcPr>
          <w:p>
            <w:pPr>
              <w:pStyle w:val="TableContents"/>
              <w:bidi w:val="0"/>
              <w:spacing w:before="0" w:after="283"/>
              <w:jc w:val="left"/>
              <w:rPr/>
            </w:pPr>
            <w:r>
              <w:rPr/>
              <w:t> </w:t>
            </w:r>
          </w:p>
        </w:tc>
        <w:tc>
          <w:tcPr>
            <w:tcW w:w="75"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right"/>
              <w:rPr/>
            </w:pPr>
            <w:r>
              <w:rPr/>
              <w:t>                    </w:t>
            </w:r>
            <w:r>
              <w:rPr>
                <w:sz w:val="16"/>
              </w:rPr>
              <w:t>-   </w:t>
            </w:r>
          </w:p>
        </w:tc>
        <w:tc>
          <w:tcPr>
            <w:tcW w:w="1415" w:type="dxa"/>
            <w:tcBorders/>
            <w:vAlign w:val="center"/>
          </w:tcPr>
          <w:p>
            <w:pPr>
              <w:pStyle w:val="TableContents"/>
              <w:bidi w:val="0"/>
              <w:spacing w:before="0" w:after="283"/>
              <w:jc w:val="right"/>
              <w:rPr/>
            </w:pPr>
            <w:r>
              <w:rPr/>
              <w:t>                    </w:t>
            </w:r>
            <w:r>
              <w:rPr>
                <w:sz w:val="16"/>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14" w:type="dxa"/>
            <w:tcBorders>
              <w:left w:val="single" w:sz="8" w:space="0" w:color="000000"/>
            </w:tcBorders>
            <w:shd w:fill="FFFFFF" w:val="clear"/>
            <w:tcMar>
              <w:left w:w="40" w:type="dxa"/>
            </w:tcMar>
            <w:vAlign w:val="center"/>
          </w:tcPr>
          <w:p>
            <w:pPr>
              <w:pStyle w:val="TableContents"/>
              <w:bidi w:val="0"/>
              <w:spacing w:before="0" w:after="283"/>
              <w:jc w:val="left"/>
              <w:rPr>
                <w:b/>
                <w:sz w:val="16"/>
              </w:rPr>
            </w:pPr>
            <w:r>
              <w:rPr>
                <w:b/>
                <w:sz w:val="16"/>
              </w:rPr>
              <w:t>Total expenses</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right"/>
              <w:rPr/>
            </w:pPr>
            <w:r>
              <w:rPr/>
              <w:t>                    </w:t>
            </w:r>
            <w:r>
              <w:rPr>
                <w:sz w:val="16"/>
              </w:rPr>
              <w:t>-   </w:t>
            </w:r>
          </w:p>
        </w:tc>
        <w:tc>
          <w:tcPr>
            <w:tcW w:w="1415" w:type="dxa"/>
            <w:tcBorders/>
            <w:vAlign w:val="center"/>
          </w:tcPr>
          <w:p>
            <w:pPr>
              <w:pStyle w:val="TableContents"/>
              <w:bidi w:val="0"/>
              <w:spacing w:before="0" w:after="283"/>
              <w:jc w:val="right"/>
              <w:rPr/>
            </w:pPr>
            <w:r>
              <w:rPr/>
              <w:t>                    </w:t>
            </w:r>
            <w:r>
              <w:rPr>
                <w:sz w:val="16"/>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89" w:type="dxa"/>
            <w:gridSpan w:val="2"/>
            <w:tcBorders>
              <w:left w:val="single" w:sz="8" w:space="0" w:color="000000"/>
              <w:right w:val="single" w:sz="8" w:space="0" w:color="000000"/>
            </w:tcBorders>
            <w:shd w:fill="FFFFFF" w:val="clear"/>
            <w:tcMar>
              <w:left w:w="200" w:type="dxa"/>
              <w:right w:w="28" w:type="dxa"/>
            </w:tcMar>
            <w:vAlign w:val="center"/>
          </w:tcPr>
          <w:p>
            <w:pPr>
              <w:pStyle w:val="TableContents"/>
              <w:bidi w:val="0"/>
              <w:spacing w:before="0" w:after="283"/>
              <w:jc w:val="left"/>
              <w:rPr>
                <w:sz w:val="16"/>
              </w:rPr>
            </w:pPr>
            <w:r>
              <w:rPr>
                <w:sz w:val="16"/>
              </w:rPr>
              <w:t>Salaries and employee benefits</w:t>
            </w:r>
          </w:p>
        </w:tc>
        <w:tc>
          <w:tcPr>
            <w:tcW w:w="980" w:type="dxa"/>
            <w:tcBorders/>
            <w:vAlign w:val="center"/>
          </w:tcPr>
          <w:p>
            <w:pPr>
              <w:pStyle w:val="TableContents"/>
              <w:bidi w:val="0"/>
              <w:spacing w:before="0" w:after="283"/>
              <w:jc w:val="right"/>
              <w:rPr/>
            </w:pPr>
            <w:r>
              <w:rPr/>
              <w:t>    </w:t>
            </w:r>
            <w:r>
              <w:rPr>
                <w:sz w:val="16"/>
              </w:rPr>
              <w:t>(688,691)</w:t>
            </w:r>
          </w:p>
        </w:tc>
        <w:tc>
          <w:tcPr>
            <w:tcW w:w="1040" w:type="dxa"/>
            <w:tcBorders/>
            <w:vAlign w:val="center"/>
          </w:tcPr>
          <w:p>
            <w:pPr>
              <w:pStyle w:val="TableContents"/>
              <w:bidi w:val="0"/>
              <w:spacing w:before="0" w:after="283"/>
              <w:jc w:val="right"/>
              <w:rPr/>
            </w:pPr>
            <w:r>
              <w:rPr/>
              <w:t>     </w:t>
            </w:r>
            <w:r>
              <w:rPr>
                <w:sz w:val="16"/>
              </w:rPr>
              <w:t>(750,011)</w:t>
            </w:r>
          </w:p>
        </w:tc>
        <w:tc>
          <w:tcPr>
            <w:tcW w:w="1040" w:type="dxa"/>
            <w:tcBorders/>
            <w:vAlign w:val="center"/>
          </w:tcPr>
          <w:p>
            <w:pPr>
              <w:pStyle w:val="TableContents"/>
              <w:bidi w:val="0"/>
              <w:spacing w:before="0" w:after="283"/>
              <w:jc w:val="right"/>
              <w:rPr/>
            </w:pPr>
            <w:r>
              <w:rPr/>
              <w:t>     </w:t>
            </w:r>
            <w:r>
              <w:rPr>
                <w:sz w:val="16"/>
              </w:rPr>
              <w:t>(774,886)</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3.3%</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12.5%</w:t>
            </w:r>
          </w:p>
        </w:tc>
        <w:tc>
          <w:tcPr>
            <w:tcW w:w="1415" w:type="dxa"/>
            <w:tcBorders/>
            <w:vAlign w:val="center"/>
          </w:tcPr>
          <w:p>
            <w:pPr>
              <w:pStyle w:val="TableContents"/>
              <w:bidi w:val="0"/>
              <w:spacing w:before="0" w:after="283"/>
              <w:jc w:val="right"/>
              <w:rPr/>
            </w:pPr>
            <w:r>
              <w:rPr/>
              <w:t>           </w:t>
            </w:r>
            <w:r>
              <w:rPr>
                <w:sz w:val="16"/>
              </w:rPr>
              <w:t>(688,691)</w:t>
            </w:r>
          </w:p>
        </w:tc>
        <w:tc>
          <w:tcPr>
            <w:tcW w:w="1415" w:type="dxa"/>
            <w:tcBorders/>
            <w:vAlign w:val="center"/>
          </w:tcPr>
          <w:p>
            <w:pPr>
              <w:pStyle w:val="TableContents"/>
              <w:bidi w:val="0"/>
              <w:spacing w:before="0" w:after="283"/>
              <w:jc w:val="right"/>
              <w:rPr/>
            </w:pPr>
            <w:r>
              <w:rPr/>
              <w:t>           </w:t>
            </w:r>
            <w:r>
              <w:rPr>
                <w:sz w:val="16"/>
              </w:rPr>
              <w:t>(774,886)</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10.3%</w:t>
            </w:r>
          </w:p>
        </w:tc>
      </w:tr>
      <w:tr>
        <w:trPr/>
        <w:tc>
          <w:tcPr>
            <w:tcW w:w="2589" w:type="dxa"/>
            <w:gridSpan w:val="2"/>
            <w:tcBorders>
              <w:left w:val="single" w:sz="8" w:space="0" w:color="000000"/>
              <w:right w:val="single" w:sz="8" w:space="0" w:color="000000"/>
            </w:tcBorders>
            <w:shd w:fill="FFFFFF" w:val="clear"/>
            <w:tcMar>
              <w:left w:w="200" w:type="dxa"/>
              <w:right w:w="28" w:type="dxa"/>
            </w:tcMar>
            <w:vAlign w:val="center"/>
          </w:tcPr>
          <w:p>
            <w:pPr>
              <w:pStyle w:val="TableContents"/>
              <w:bidi w:val="0"/>
              <w:spacing w:before="0" w:after="283"/>
              <w:jc w:val="left"/>
              <w:rPr>
                <w:sz w:val="16"/>
              </w:rPr>
            </w:pPr>
            <w:r>
              <w:rPr>
                <w:sz w:val="16"/>
              </w:rPr>
              <w:t>Administrative expenses </w:t>
            </w:r>
          </w:p>
        </w:tc>
        <w:tc>
          <w:tcPr>
            <w:tcW w:w="980" w:type="dxa"/>
            <w:tcBorders/>
            <w:shd w:fill="FFFFFF" w:val="clear"/>
            <w:vAlign w:val="center"/>
          </w:tcPr>
          <w:p>
            <w:pPr>
              <w:pStyle w:val="TableContents"/>
              <w:bidi w:val="0"/>
              <w:spacing w:before="0" w:after="283"/>
              <w:jc w:val="right"/>
              <w:rPr/>
            </w:pPr>
            <w:r>
              <w:rPr/>
              <w:t>    </w:t>
            </w:r>
            <w:r>
              <w:rPr>
                <w:sz w:val="16"/>
              </w:rPr>
              <w:t>(638,366)</w:t>
            </w:r>
          </w:p>
        </w:tc>
        <w:tc>
          <w:tcPr>
            <w:tcW w:w="1040" w:type="dxa"/>
            <w:tcBorders/>
            <w:vAlign w:val="center"/>
          </w:tcPr>
          <w:p>
            <w:pPr>
              <w:pStyle w:val="TableContents"/>
              <w:bidi w:val="0"/>
              <w:spacing w:before="0" w:after="283"/>
              <w:jc w:val="right"/>
              <w:rPr/>
            </w:pPr>
            <w:r>
              <w:rPr/>
              <w:t>     </w:t>
            </w:r>
            <w:r>
              <w:rPr>
                <w:sz w:val="16"/>
              </w:rPr>
              <w:t>(645,131)</w:t>
            </w:r>
          </w:p>
        </w:tc>
        <w:tc>
          <w:tcPr>
            <w:tcW w:w="1040" w:type="dxa"/>
            <w:tcBorders/>
            <w:vAlign w:val="center"/>
          </w:tcPr>
          <w:p>
            <w:pPr>
              <w:pStyle w:val="TableContents"/>
              <w:bidi w:val="0"/>
              <w:spacing w:before="0" w:after="283"/>
              <w:jc w:val="right"/>
              <w:rPr/>
            </w:pPr>
            <w:r>
              <w:rPr/>
              <w:t>     </w:t>
            </w:r>
            <w:r>
              <w:rPr>
                <w:sz w:val="16"/>
              </w:rPr>
              <w:t>(667,935)</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3.5%</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4.6%</w:t>
            </w:r>
          </w:p>
        </w:tc>
        <w:tc>
          <w:tcPr>
            <w:tcW w:w="1415" w:type="dxa"/>
            <w:tcBorders/>
            <w:vAlign w:val="center"/>
          </w:tcPr>
          <w:p>
            <w:pPr>
              <w:pStyle w:val="TableContents"/>
              <w:bidi w:val="0"/>
              <w:spacing w:before="0" w:after="283"/>
              <w:jc w:val="right"/>
              <w:rPr/>
            </w:pPr>
            <w:r>
              <w:rPr/>
              <w:t>           </w:t>
            </w:r>
            <w:r>
              <w:rPr>
                <w:sz w:val="16"/>
              </w:rPr>
              <w:t>(638,366)</w:t>
            </w:r>
          </w:p>
        </w:tc>
        <w:tc>
          <w:tcPr>
            <w:tcW w:w="1415" w:type="dxa"/>
            <w:tcBorders/>
            <w:vAlign w:val="center"/>
          </w:tcPr>
          <w:p>
            <w:pPr>
              <w:pStyle w:val="TableContents"/>
              <w:bidi w:val="0"/>
              <w:spacing w:before="0" w:after="283"/>
              <w:jc w:val="right"/>
              <w:rPr/>
            </w:pPr>
            <w:r>
              <w:rPr/>
              <w:t>           </w:t>
            </w:r>
            <w:r>
              <w:rPr>
                <w:sz w:val="16"/>
              </w:rPr>
              <w:t>(667,935)</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12.1%</w:t>
            </w:r>
          </w:p>
        </w:tc>
      </w:tr>
      <w:tr>
        <w:trPr/>
        <w:tc>
          <w:tcPr>
            <w:tcW w:w="2589" w:type="dxa"/>
            <w:gridSpan w:val="2"/>
            <w:tcBorders>
              <w:left w:val="single" w:sz="8" w:space="0" w:color="000000"/>
              <w:right w:val="single" w:sz="8" w:space="0" w:color="000000"/>
            </w:tcBorders>
            <w:shd w:fill="FFFFFF" w:val="clear"/>
            <w:tcMar>
              <w:left w:w="200" w:type="dxa"/>
              <w:right w:w="28" w:type="dxa"/>
            </w:tcMar>
            <w:vAlign w:val="center"/>
          </w:tcPr>
          <w:p>
            <w:pPr>
              <w:pStyle w:val="TableContents"/>
              <w:bidi w:val="0"/>
              <w:spacing w:before="0" w:after="283"/>
              <w:jc w:val="left"/>
              <w:rPr>
                <w:sz w:val="16"/>
              </w:rPr>
            </w:pPr>
            <w:r>
              <w:rPr>
                <w:sz w:val="16"/>
              </w:rPr>
              <w:t>Depreciation and amortization</w:t>
            </w:r>
          </w:p>
        </w:tc>
        <w:tc>
          <w:tcPr>
            <w:tcW w:w="980" w:type="dxa"/>
            <w:tcBorders/>
            <w:shd w:fill="FFFFFF" w:val="clear"/>
            <w:vAlign w:val="center"/>
          </w:tcPr>
          <w:p>
            <w:pPr>
              <w:pStyle w:val="TableContents"/>
              <w:bidi w:val="0"/>
              <w:spacing w:before="0" w:after="283"/>
              <w:jc w:val="right"/>
              <w:rPr/>
            </w:pPr>
            <w:r>
              <w:rPr/>
              <w:t>    </w:t>
            </w:r>
            <w:r>
              <w:rPr>
                <w:sz w:val="16"/>
              </w:rPr>
              <w:t>(130,253)</w:t>
            </w:r>
          </w:p>
        </w:tc>
        <w:tc>
          <w:tcPr>
            <w:tcW w:w="1040" w:type="dxa"/>
            <w:tcBorders/>
            <w:vAlign w:val="center"/>
          </w:tcPr>
          <w:p>
            <w:pPr>
              <w:pStyle w:val="TableContents"/>
              <w:bidi w:val="0"/>
              <w:spacing w:before="0" w:after="283"/>
              <w:jc w:val="right"/>
              <w:rPr/>
            </w:pPr>
            <w:r>
              <w:rPr/>
              <w:t>     </w:t>
            </w:r>
            <w:r>
              <w:rPr>
                <w:sz w:val="16"/>
              </w:rPr>
              <w:t>(134,267)</w:t>
            </w:r>
          </w:p>
        </w:tc>
        <w:tc>
          <w:tcPr>
            <w:tcW w:w="1040" w:type="dxa"/>
            <w:tcBorders/>
            <w:vAlign w:val="center"/>
          </w:tcPr>
          <w:p>
            <w:pPr>
              <w:pStyle w:val="TableContents"/>
              <w:bidi w:val="0"/>
              <w:spacing w:before="0" w:after="283"/>
              <w:jc w:val="right"/>
              <w:rPr/>
            </w:pPr>
            <w:r>
              <w:rPr/>
              <w:t>     </w:t>
            </w:r>
            <w:r>
              <w:rPr>
                <w:sz w:val="16"/>
              </w:rPr>
              <w:t>(133,876)</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-0.3%</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2.8%</w:t>
            </w:r>
          </w:p>
        </w:tc>
        <w:tc>
          <w:tcPr>
            <w:tcW w:w="1415" w:type="dxa"/>
            <w:tcBorders/>
            <w:vAlign w:val="center"/>
          </w:tcPr>
          <w:p>
            <w:pPr>
              <w:pStyle w:val="TableContents"/>
              <w:bidi w:val="0"/>
              <w:spacing w:before="0" w:after="283"/>
              <w:jc w:val="right"/>
              <w:rPr/>
            </w:pPr>
            <w:r>
              <w:rPr/>
              <w:t>           </w:t>
            </w:r>
            <w:r>
              <w:rPr>
                <w:sz w:val="16"/>
              </w:rPr>
              <w:t>(130,253)</w:t>
            </w:r>
          </w:p>
        </w:tc>
        <w:tc>
          <w:tcPr>
            <w:tcW w:w="1415" w:type="dxa"/>
            <w:tcBorders/>
            <w:vAlign w:val="center"/>
          </w:tcPr>
          <w:p>
            <w:pPr>
              <w:pStyle w:val="TableContents"/>
              <w:bidi w:val="0"/>
              <w:spacing w:before="0" w:after="283"/>
              <w:jc w:val="right"/>
              <w:rPr/>
            </w:pPr>
            <w:r>
              <w:rPr/>
              <w:t>           </w:t>
            </w:r>
            <w:r>
              <w:rPr>
                <w:sz w:val="16"/>
              </w:rPr>
              <w:t>(133,876)</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4.5%</w:t>
            </w:r>
          </w:p>
        </w:tc>
      </w:tr>
      <w:tr>
        <w:trPr/>
        <w:tc>
          <w:tcPr>
            <w:tcW w:w="2514" w:type="dxa"/>
            <w:tcBorders>
              <w:left w:val="single" w:sz="8" w:space="0" w:color="000000"/>
            </w:tcBorders>
            <w:shd w:fill="FFFFFF" w:val="clear"/>
            <w:tcMar>
              <w:left w:w="200" w:type="dxa"/>
            </w:tcMar>
            <w:vAlign w:val="center"/>
          </w:tcPr>
          <w:p>
            <w:pPr>
              <w:pStyle w:val="TableContents"/>
              <w:bidi w:val="0"/>
              <w:spacing w:before="0" w:after="283"/>
              <w:jc w:val="left"/>
              <w:rPr>
                <w:sz w:val="16"/>
              </w:rPr>
            </w:pPr>
            <w:r>
              <w:rPr>
                <w:sz w:val="16"/>
              </w:rPr>
              <w:t>Other expenses</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r>
              <w:rPr>
                <w:sz w:val="16"/>
              </w:rPr>
              <w:t>(52,035)</w:t>
            </w:r>
          </w:p>
        </w:tc>
        <w:tc>
          <w:tcPr>
            <w:tcW w:w="1040" w:type="dxa"/>
            <w:tcBorders/>
            <w:vAlign w:val="center"/>
          </w:tcPr>
          <w:p>
            <w:pPr>
              <w:pStyle w:val="TableContents"/>
              <w:bidi w:val="0"/>
              <w:spacing w:before="0" w:after="283"/>
              <w:jc w:val="right"/>
              <w:rPr/>
            </w:pPr>
            <w:r>
              <w:rPr/>
              <w:t>       </w:t>
            </w:r>
            <w:r>
              <w:rPr>
                <w:sz w:val="16"/>
              </w:rPr>
              <w:t>(43,944)</w:t>
            </w:r>
          </w:p>
        </w:tc>
        <w:tc>
          <w:tcPr>
            <w:tcW w:w="1040" w:type="dxa"/>
            <w:tcBorders/>
            <w:vAlign w:val="center"/>
          </w:tcPr>
          <w:p>
            <w:pPr>
              <w:pStyle w:val="TableContents"/>
              <w:bidi w:val="0"/>
              <w:spacing w:before="0" w:after="283"/>
              <w:jc w:val="right"/>
              <w:rPr/>
            </w:pPr>
            <w:r>
              <w:rPr/>
              <w:t>       </w:t>
            </w:r>
            <w:r>
              <w:rPr>
                <w:sz w:val="16"/>
              </w:rPr>
              <w:t>(49,267)</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12.1%</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-5.3%</w:t>
            </w:r>
          </w:p>
        </w:tc>
        <w:tc>
          <w:tcPr>
            <w:tcW w:w="1415" w:type="dxa"/>
            <w:tcBorders/>
            <w:vAlign w:val="center"/>
          </w:tcPr>
          <w:p>
            <w:pPr>
              <w:pStyle w:val="TableContents"/>
              <w:bidi w:val="0"/>
              <w:spacing w:before="0" w:after="283"/>
              <w:jc w:val="right"/>
              <w:rPr/>
            </w:pPr>
            <w:r>
              <w:rPr/>
              <w:t>            </w:t>
            </w:r>
            <w:r>
              <w:rPr>
                <w:sz w:val="16"/>
              </w:rPr>
              <w:t>(52,035)</w:t>
            </w:r>
          </w:p>
        </w:tc>
        <w:tc>
          <w:tcPr>
            <w:tcW w:w="1415" w:type="dxa"/>
            <w:tcBorders/>
            <w:vAlign w:val="center"/>
          </w:tcPr>
          <w:p>
            <w:pPr>
              <w:pStyle w:val="TableContents"/>
              <w:bidi w:val="0"/>
              <w:spacing w:before="0" w:after="283"/>
              <w:jc w:val="right"/>
              <w:rPr/>
            </w:pPr>
            <w:r>
              <w:rPr/>
              <w:t>            </w:t>
            </w:r>
            <w:r>
              <w:rPr>
                <w:sz w:val="16"/>
              </w:rPr>
              <w:t>(49,267)</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-8.2%</w:t>
            </w:r>
          </w:p>
        </w:tc>
      </w:tr>
      <w:tr>
        <w:trPr/>
        <w:tc>
          <w:tcPr>
            <w:tcW w:w="2514" w:type="dxa"/>
            <w:tcBorders>
              <w:left w:val="single" w:sz="8" w:space="0" w:color="000000"/>
            </w:tcBorders>
            <w:shd w:fill="FFFFFF" w:val="clear"/>
            <w:tcMar>
              <w:left w:w="200" w:type="dxa"/>
            </w:tcMar>
            <w:vAlign w:val="center"/>
          </w:tcPr>
          <w:p>
            <w:pPr>
              <w:pStyle w:val="TableContents"/>
              <w:bidi w:val="0"/>
              <w:spacing w:before="0" w:after="283"/>
              <w:jc w:val="left"/>
              <w:rPr>
                <w:b/>
                <w:sz w:val="16"/>
              </w:rPr>
            </w:pPr>
            <w:r>
              <w:rPr>
                <w:b/>
                <w:sz w:val="16"/>
              </w:rPr>
              <w:t>Total expenses</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r>
              <w:rPr>
                <w:sz w:val="16"/>
              </w:rPr>
              <w:t>(1,509,345)</w:t>
            </w:r>
          </w:p>
        </w:tc>
        <w:tc>
          <w:tcPr>
            <w:tcW w:w="1040" w:type="dxa"/>
            <w:tcBorders/>
            <w:vAlign w:val="center"/>
          </w:tcPr>
          <w:p>
            <w:pPr>
              <w:pStyle w:val="TableContents"/>
              <w:bidi w:val="0"/>
              <w:spacing w:before="0" w:after="283"/>
              <w:jc w:val="right"/>
              <w:rPr/>
            </w:pPr>
            <w:r>
              <w:rPr/>
              <w:t>   </w:t>
            </w:r>
            <w:r>
              <w:rPr>
                <w:sz w:val="16"/>
              </w:rPr>
              <w:t>(1,573,353)</w:t>
            </w:r>
          </w:p>
        </w:tc>
        <w:tc>
          <w:tcPr>
            <w:tcW w:w="1040" w:type="dxa"/>
            <w:tcBorders/>
            <w:vAlign w:val="center"/>
          </w:tcPr>
          <w:p>
            <w:pPr>
              <w:pStyle w:val="TableContents"/>
              <w:bidi w:val="0"/>
              <w:spacing w:before="0" w:after="283"/>
              <w:jc w:val="right"/>
              <w:rPr/>
            </w:pPr>
            <w:r>
              <w:rPr/>
              <w:t>   </w:t>
            </w:r>
            <w:r>
              <w:rPr>
                <w:sz w:val="16"/>
              </w:rPr>
              <w:t>(1,625,964)</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3.3%</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7.7%</w:t>
            </w:r>
          </w:p>
        </w:tc>
        <w:tc>
          <w:tcPr>
            <w:tcW w:w="1415" w:type="dxa"/>
            <w:tcBorders/>
            <w:vAlign w:val="center"/>
          </w:tcPr>
          <w:p>
            <w:pPr>
              <w:pStyle w:val="TableContents"/>
              <w:bidi w:val="0"/>
              <w:spacing w:before="0" w:after="283"/>
              <w:jc w:val="right"/>
              <w:rPr/>
            </w:pPr>
            <w:r>
              <w:rPr/>
              <w:t>        </w:t>
            </w:r>
            <w:r>
              <w:rPr>
                <w:sz w:val="16"/>
              </w:rPr>
              <w:t>(1,509,345)</w:t>
            </w:r>
          </w:p>
        </w:tc>
        <w:tc>
          <w:tcPr>
            <w:tcW w:w="1415" w:type="dxa"/>
            <w:tcBorders/>
            <w:vAlign w:val="center"/>
          </w:tcPr>
          <w:p>
            <w:pPr>
              <w:pStyle w:val="TableContents"/>
              <w:bidi w:val="0"/>
              <w:spacing w:before="0" w:after="283"/>
              <w:jc w:val="right"/>
              <w:rPr/>
            </w:pPr>
            <w:r>
              <w:rPr/>
              <w:t>        </w:t>
            </w:r>
            <w:r>
              <w:rPr>
                <w:sz w:val="16"/>
              </w:rPr>
              <w:t>(1,625,964)</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9.9%</w:t>
            </w:r>
          </w:p>
        </w:tc>
      </w:tr>
      <w:tr>
        <w:trPr/>
        <w:tc>
          <w:tcPr>
            <w:tcW w:w="2514" w:type="dxa"/>
            <w:tcBorders>
              <w:left w:val="single" w:sz="8" w:space="0" w:color="000000"/>
            </w:tcBorders>
            <w:shd w:fill="FFFFFF" w:val="clear"/>
            <w:tcMar>
              <w:left w:w="40" w:type="dxa"/>
            </w:tcMar>
            <w:vAlign w:val="center"/>
          </w:tcPr>
          <w:p>
            <w:pPr>
              <w:pStyle w:val="TableContents"/>
              <w:bidi w:val="0"/>
              <w:spacing w:before="0" w:after="283"/>
              <w:jc w:val="left"/>
              <w:rPr/>
            </w:pPr>
            <w:r>
              <w:rPr/>
              <w:t>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right"/>
              <w:rPr/>
            </w:pPr>
            <w:r>
              <w:rPr/>
              <w:t>                    </w:t>
            </w:r>
            <w:r>
              <w:rPr>
                <w:sz w:val="16"/>
              </w:rPr>
              <w:t>-   </w:t>
            </w:r>
          </w:p>
        </w:tc>
        <w:tc>
          <w:tcPr>
            <w:tcW w:w="1415" w:type="dxa"/>
            <w:tcBorders/>
            <w:vAlign w:val="center"/>
          </w:tcPr>
          <w:p>
            <w:pPr>
              <w:pStyle w:val="TableContents"/>
              <w:bidi w:val="0"/>
              <w:spacing w:before="0" w:after="283"/>
              <w:jc w:val="right"/>
              <w:rPr/>
            </w:pPr>
            <w:r>
              <w:rPr/>
              <w:t>                    </w:t>
            </w:r>
            <w:r>
              <w:rPr>
                <w:sz w:val="16"/>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89" w:type="dxa"/>
            <w:gridSpan w:val="2"/>
            <w:tcBorders>
              <w:left w:val="single" w:sz="8" w:space="0" w:color="000000"/>
              <w:right w:val="single" w:sz="8" w:space="0" w:color="000000"/>
            </w:tcBorders>
            <w:shd w:fill="FFFFFF" w:val="clear"/>
            <w:tcMar>
              <w:left w:w="40" w:type="dxa"/>
              <w:right w:w="28" w:type="dxa"/>
            </w:tcMar>
            <w:vAlign w:val="center"/>
          </w:tcPr>
          <w:p>
            <w:pPr>
              <w:pStyle w:val="TableContents"/>
              <w:bidi w:val="0"/>
              <w:spacing w:lineRule="auto" w:line="240" w:before="0" w:after="283"/>
              <w:jc w:val="left"/>
              <w:rPr>
                <w:b/>
                <w:sz w:val="16"/>
              </w:rPr>
            </w:pPr>
            <w:r>
              <w:rPr>
                <w:b/>
                <w:sz w:val="16"/>
              </w:rPr>
              <w:t>Profit before income tax</w:t>
            </w:r>
            <w:r>
              <w:rPr>
                <w:b/>
                <w:caps w:val="false"/>
                <w:smallCaps w:val="false"/>
                <w:sz w:val="16"/>
              </w:rPr>
              <w:t> </w:t>
            </w:r>
          </w:p>
        </w:tc>
        <w:tc>
          <w:tcPr>
            <w:tcW w:w="980" w:type="dxa"/>
            <w:tcBorders/>
            <w:vAlign w:val="center"/>
          </w:tcPr>
          <w:p>
            <w:pPr>
              <w:pStyle w:val="TableContents"/>
              <w:bidi w:val="0"/>
              <w:spacing w:before="0" w:after="283"/>
              <w:jc w:val="right"/>
              <w:rPr/>
            </w:pPr>
            <w:r>
              <w:rPr/>
              <w:t>  </w:t>
            </w:r>
            <w:r>
              <w:rPr>
                <w:sz w:val="16"/>
              </w:rPr>
              <w:t>1,597,211</w:t>
            </w:r>
          </w:p>
        </w:tc>
        <w:tc>
          <w:tcPr>
            <w:tcW w:w="1040" w:type="dxa"/>
            <w:tcBorders/>
            <w:vAlign w:val="center"/>
          </w:tcPr>
          <w:p>
            <w:pPr>
              <w:pStyle w:val="TableContents"/>
              <w:bidi w:val="0"/>
              <w:spacing w:before="0" w:after="283"/>
              <w:jc w:val="right"/>
              <w:rPr/>
            </w:pPr>
            <w:r>
              <w:rPr/>
              <w:t>    </w:t>
            </w:r>
            <w:r>
              <w:rPr>
                <w:sz w:val="16"/>
              </w:rPr>
              <w:t>1,687,585</w:t>
            </w:r>
          </w:p>
        </w:tc>
        <w:tc>
          <w:tcPr>
            <w:tcW w:w="1040" w:type="dxa"/>
            <w:tcBorders/>
            <w:vAlign w:val="center"/>
          </w:tcPr>
          <w:p>
            <w:pPr>
              <w:pStyle w:val="TableContents"/>
              <w:bidi w:val="0"/>
              <w:spacing w:before="0" w:after="283"/>
              <w:jc w:val="right"/>
              <w:rPr/>
            </w:pPr>
            <w:r>
              <w:rPr/>
              <w:t>    </w:t>
            </w:r>
            <w:r>
              <w:rPr>
                <w:sz w:val="16"/>
              </w:rPr>
              <w:t>1,674,866</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-0.8%</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4.9%</w:t>
            </w:r>
          </w:p>
        </w:tc>
        <w:tc>
          <w:tcPr>
            <w:tcW w:w="1415" w:type="dxa"/>
            <w:tcBorders/>
            <w:vAlign w:val="center"/>
          </w:tcPr>
          <w:p>
            <w:pPr>
              <w:pStyle w:val="TableContents"/>
              <w:bidi w:val="0"/>
              <w:spacing w:before="0" w:after="283"/>
              <w:jc w:val="right"/>
              <w:rPr/>
            </w:pPr>
            <w:r>
              <w:rPr/>
              <w:t>         </w:t>
            </w:r>
            <w:r>
              <w:rPr>
                <w:sz w:val="16"/>
              </w:rPr>
              <w:t>1,597,211</w:t>
            </w:r>
          </w:p>
        </w:tc>
        <w:tc>
          <w:tcPr>
            <w:tcW w:w="1415" w:type="dxa"/>
            <w:tcBorders/>
            <w:vAlign w:val="center"/>
          </w:tcPr>
          <w:p>
            <w:pPr>
              <w:pStyle w:val="TableContents"/>
              <w:bidi w:val="0"/>
              <w:spacing w:before="0" w:after="283"/>
              <w:jc w:val="right"/>
              <w:rPr/>
            </w:pPr>
            <w:r>
              <w:rPr/>
              <w:t>         </w:t>
            </w:r>
            <w:r>
              <w:rPr>
                <w:sz w:val="16"/>
              </w:rPr>
              <w:t>1,674,866</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4.3%</w:t>
            </w:r>
          </w:p>
        </w:tc>
      </w:tr>
      <w:tr>
        <w:trPr/>
        <w:tc>
          <w:tcPr>
            <w:tcW w:w="2514" w:type="dxa"/>
            <w:tcBorders>
              <w:left w:val="single" w:sz="8" w:space="0" w:color="000000"/>
            </w:tcBorders>
            <w:shd w:fill="FFFFFF" w:val="clear"/>
            <w:tcMar>
              <w:left w:w="40" w:type="dxa"/>
            </w:tcMar>
            <w:vAlign w:val="center"/>
          </w:tcPr>
          <w:p>
            <w:pPr>
              <w:pStyle w:val="TableContents"/>
              <w:bidi w:val="0"/>
              <w:spacing w:before="0" w:after="283"/>
              <w:jc w:val="left"/>
              <w:rPr/>
            </w:pPr>
            <w:r>
              <w:rPr/>
              <w:t>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right"/>
              <w:rPr/>
            </w:pPr>
            <w:r>
              <w:rPr/>
              <w:t>                    </w:t>
            </w:r>
            <w:r>
              <w:rPr>
                <w:sz w:val="16"/>
              </w:rPr>
              <w:t>-   </w:t>
            </w:r>
          </w:p>
        </w:tc>
        <w:tc>
          <w:tcPr>
            <w:tcW w:w="1415" w:type="dxa"/>
            <w:tcBorders/>
            <w:vAlign w:val="center"/>
          </w:tcPr>
          <w:p>
            <w:pPr>
              <w:pStyle w:val="TableContents"/>
              <w:bidi w:val="0"/>
              <w:spacing w:before="0" w:after="283"/>
              <w:jc w:val="right"/>
              <w:rPr/>
            </w:pPr>
            <w:r>
              <w:rPr/>
              <w:t>                    </w:t>
            </w:r>
            <w:r>
              <w:rPr>
                <w:sz w:val="16"/>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14" w:type="dxa"/>
            <w:tcBorders>
              <w:left w:val="single" w:sz="8" w:space="0" w:color="000000"/>
            </w:tcBorders>
            <w:shd w:fill="FFFFFF" w:val="clear"/>
            <w:tcMar>
              <w:left w:w="200" w:type="dxa"/>
            </w:tcMar>
            <w:vAlign w:val="center"/>
          </w:tcPr>
          <w:p>
            <w:pPr>
              <w:pStyle w:val="TableContents"/>
              <w:bidi w:val="0"/>
              <w:spacing w:before="0" w:after="283"/>
              <w:jc w:val="left"/>
              <w:rPr>
                <w:sz w:val="16"/>
              </w:rPr>
            </w:pPr>
            <w:r>
              <w:rPr>
                <w:sz w:val="16"/>
              </w:rPr>
              <w:t>Income tax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r>
              <w:rPr>
                <w:sz w:val="16"/>
              </w:rPr>
              <w:t>(434,823)</w:t>
            </w:r>
          </w:p>
        </w:tc>
        <w:tc>
          <w:tcPr>
            <w:tcW w:w="1040" w:type="dxa"/>
            <w:tcBorders/>
            <w:vAlign w:val="center"/>
          </w:tcPr>
          <w:p>
            <w:pPr>
              <w:pStyle w:val="TableContents"/>
              <w:bidi w:val="0"/>
              <w:spacing w:before="0" w:after="283"/>
              <w:jc w:val="right"/>
              <w:rPr/>
            </w:pPr>
            <w:r>
              <w:rPr/>
              <w:t>     </w:t>
            </w:r>
            <w:r>
              <w:rPr>
                <w:sz w:val="16"/>
              </w:rPr>
              <w:t>(422,491)</w:t>
            </w:r>
          </w:p>
        </w:tc>
        <w:tc>
          <w:tcPr>
            <w:tcW w:w="1040" w:type="dxa"/>
            <w:tcBorders/>
            <w:vAlign w:val="center"/>
          </w:tcPr>
          <w:p>
            <w:pPr>
              <w:pStyle w:val="TableContents"/>
              <w:bidi w:val="0"/>
              <w:spacing w:before="0" w:after="283"/>
              <w:jc w:val="right"/>
              <w:rPr/>
            </w:pPr>
            <w:r>
              <w:rPr/>
              <w:t>     </w:t>
            </w:r>
            <w:r>
              <w:rPr>
                <w:sz w:val="16"/>
              </w:rPr>
              <w:t>(416,753)</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-1.4%</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-4.2%</w:t>
            </w:r>
          </w:p>
        </w:tc>
        <w:tc>
          <w:tcPr>
            <w:tcW w:w="1415" w:type="dxa"/>
            <w:tcBorders/>
            <w:vAlign w:val="center"/>
          </w:tcPr>
          <w:p>
            <w:pPr>
              <w:pStyle w:val="TableContents"/>
              <w:bidi w:val="0"/>
              <w:spacing w:before="0" w:after="283"/>
              <w:jc w:val="right"/>
              <w:rPr/>
            </w:pPr>
            <w:r>
              <w:rPr/>
              <w:t>           </w:t>
            </w:r>
            <w:r>
              <w:rPr>
                <w:sz w:val="16"/>
              </w:rPr>
              <w:t>(434,823)</w:t>
            </w:r>
          </w:p>
        </w:tc>
        <w:tc>
          <w:tcPr>
            <w:tcW w:w="1415" w:type="dxa"/>
            <w:tcBorders/>
            <w:vAlign w:val="center"/>
          </w:tcPr>
          <w:p>
            <w:pPr>
              <w:pStyle w:val="TableContents"/>
              <w:bidi w:val="0"/>
              <w:spacing w:before="0" w:after="283"/>
              <w:jc w:val="right"/>
              <w:rPr/>
            </w:pPr>
            <w:r>
              <w:rPr/>
              <w:t>           </w:t>
            </w:r>
            <w:r>
              <w:rPr>
                <w:sz w:val="16"/>
              </w:rPr>
              <w:t>(416,753)</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-6.9%</w:t>
            </w:r>
          </w:p>
        </w:tc>
      </w:tr>
      <w:tr>
        <w:trPr/>
        <w:tc>
          <w:tcPr>
            <w:tcW w:w="2514" w:type="dxa"/>
            <w:tcBorders>
              <w:left w:val="single" w:sz="8" w:space="0" w:color="000000"/>
            </w:tcBorders>
            <w:shd w:fill="FFFFFF" w:val="clear"/>
            <w:tcMar>
              <w:left w:w="40" w:type="dxa"/>
            </w:tcMar>
            <w:vAlign w:val="center"/>
          </w:tcPr>
          <w:p>
            <w:pPr>
              <w:pStyle w:val="TableContents"/>
              <w:bidi w:val="0"/>
              <w:spacing w:before="0" w:after="283"/>
              <w:jc w:val="left"/>
              <w:rPr/>
            </w:pPr>
            <w:r>
              <w:rPr/>
              <w:t> </w:t>
            </w:r>
          </w:p>
        </w:tc>
        <w:tc>
          <w:tcPr>
            <w:tcW w:w="7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1040" w:type="dxa"/>
            <w:tcBorders/>
            <w:vAlign w:val="center"/>
          </w:tcPr>
          <w:p>
            <w:pPr>
              <w:pStyle w:val="TableContents"/>
              <w:bidi w:val="0"/>
              <w:spacing w:before="0" w:after="283"/>
              <w:jc w:val="right"/>
              <w:rPr/>
            </w:pPr>
            <w:r>
              <w:rPr/>
              <w:t> </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right"/>
              <w:rPr/>
            </w:pPr>
            <w:r>
              <w:rPr/>
              <w:t>                    </w:t>
            </w:r>
            <w:r>
              <w:rPr>
                <w:sz w:val="16"/>
              </w:rPr>
              <w:t>-   </w:t>
            </w:r>
          </w:p>
        </w:tc>
        <w:tc>
          <w:tcPr>
            <w:tcW w:w="1415" w:type="dxa"/>
            <w:tcBorders/>
            <w:vAlign w:val="center"/>
          </w:tcPr>
          <w:p>
            <w:pPr>
              <w:pStyle w:val="TableContents"/>
              <w:bidi w:val="0"/>
              <w:spacing w:before="0" w:after="283"/>
              <w:jc w:val="right"/>
              <w:rPr/>
            </w:pPr>
            <w:r>
              <w:rPr/>
              <w:t>                    </w:t>
            </w:r>
            <w:r>
              <w:rPr>
                <w:sz w:val="16"/>
              </w:rPr>
              <w:t>-   </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2514" w:type="dxa"/>
            <w:tcBorders>
              <w:left w:val="single" w:sz="8" w:space="0" w:color="000000"/>
            </w:tcBorders>
            <w:tcMar>
              <w:left w:w="40" w:type="dxa"/>
            </w:tcMar>
            <w:vAlign w:val="center"/>
          </w:tcPr>
          <w:p>
            <w:pPr>
              <w:pStyle w:val="TableContents"/>
              <w:bidi w:val="0"/>
              <w:spacing w:before="0" w:after="283"/>
              <w:jc w:val="left"/>
              <w:rPr>
                <w:b/>
                <w:sz w:val="16"/>
              </w:rPr>
            </w:pPr>
            <w:r>
              <w:rPr>
                <w:b/>
                <w:sz w:val="16"/>
              </w:rPr>
              <w:t>Net profit</w:t>
            </w:r>
          </w:p>
        </w:tc>
        <w:tc>
          <w:tcPr>
            <w:tcW w:w="75" w:type="dxa"/>
            <w:tcBorders>
              <w:right w:val="single" w:sz="8" w:space="0" w:color="000000"/>
            </w:tcBorders>
            <w:tcMar>
              <w:righ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r>
              <w:rPr>
                <w:sz w:val="16"/>
              </w:rPr>
              <w:t>1,162,388</w:t>
            </w:r>
          </w:p>
        </w:tc>
        <w:tc>
          <w:tcPr>
            <w:tcW w:w="1040" w:type="dxa"/>
            <w:tcBorders/>
            <w:vAlign w:val="center"/>
          </w:tcPr>
          <w:p>
            <w:pPr>
              <w:pStyle w:val="TableContents"/>
              <w:bidi w:val="0"/>
              <w:spacing w:before="0" w:after="283"/>
              <w:jc w:val="right"/>
              <w:rPr/>
            </w:pPr>
            <w:r>
              <w:rPr/>
              <w:t>    </w:t>
            </w:r>
            <w:r>
              <w:rPr>
                <w:sz w:val="16"/>
              </w:rPr>
              <w:t>1,265,094</w:t>
            </w:r>
          </w:p>
        </w:tc>
        <w:tc>
          <w:tcPr>
            <w:tcW w:w="1040" w:type="dxa"/>
            <w:tcBorders/>
            <w:vAlign w:val="center"/>
          </w:tcPr>
          <w:p>
            <w:pPr>
              <w:pStyle w:val="TableContents"/>
              <w:bidi w:val="0"/>
              <w:spacing w:before="0" w:after="283"/>
              <w:jc w:val="right"/>
              <w:rPr/>
            </w:pPr>
            <w:r>
              <w:rPr/>
              <w:t>    </w:t>
            </w:r>
            <w:r>
              <w:rPr>
                <w:sz w:val="16"/>
              </w:rPr>
              <w:t>1,258,113</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-0.6%</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8.2%</w:t>
            </w:r>
          </w:p>
        </w:tc>
        <w:tc>
          <w:tcPr>
            <w:tcW w:w="1415" w:type="dxa"/>
            <w:tcBorders/>
            <w:vAlign w:val="center"/>
          </w:tcPr>
          <w:p>
            <w:pPr>
              <w:pStyle w:val="TableContents"/>
              <w:bidi w:val="0"/>
              <w:spacing w:before="0" w:after="283"/>
              <w:jc w:val="right"/>
              <w:rPr/>
            </w:pPr>
            <w:r>
              <w:rPr/>
              <w:t>         </w:t>
            </w:r>
            <w:r>
              <w:rPr>
                <w:sz w:val="16"/>
              </w:rPr>
              <w:t>1,162,388</w:t>
            </w:r>
          </w:p>
        </w:tc>
        <w:tc>
          <w:tcPr>
            <w:tcW w:w="1415" w:type="dxa"/>
            <w:tcBorders/>
            <w:vAlign w:val="center"/>
          </w:tcPr>
          <w:p>
            <w:pPr>
              <w:pStyle w:val="TableContents"/>
              <w:bidi w:val="0"/>
              <w:spacing w:before="0" w:after="283"/>
              <w:jc w:val="right"/>
              <w:rPr/>
            </w:pPr>
            <w:r>
              <w:rPr/>
              <w:t>         </w:t>
            </w:r>
            <w:r>
              <w:rPr>
                <w:sz w:val="16"/>
              </w:rPr>
              <w:t>1,258,113</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8.6%</w:t>
            </w:r>
          </w:p>
        </w:tc>
      </w:tr>
      <w:tr>
        <w:trPr/>
        <w:tc>
          <w:tcPr>
            <w:tcW w:w="2589" w:type="dxa"/>
            <w:gridSpan w:val="2"/>
            <w:tcBorders>
              <w:left w:val="single" w:sz="8" w:space="0" w:color="000000"/>
              <w:right w:val="single" w:sz="8" w:space="0" w:color="000000"/>
            </w:tcBorders>
            <w:shd w:fill="FFFFFF" w:val="clear"/>
            <w:tcMar>
              <w:left w:w="200" w:type="dxa"/>
              <w:right w:w="28" w:type="dxa"/>
            </w:tcMar>
            <w:vAlign w:val="center"/>
          </w:tcPr>
          <w:p>
            <w:pPr>
              <w:pStyle w:val="TableContents"/>
              <w:bidi w:val="0"/>
              <w:spacing w:before="0" w:after="283"/>
              <w:jc w:val="left"/>
              <w:rPr>
                <w:sz w:val="16"/>
              </w:rPr>
            </w:pPr>
            <w:r>
              <w:rPr>
                <w:sz w:val="16"/>
              </w:rPr>
              <w:t>Non-controlling interest</w:t>
            </w:r>
          </w:p>
        </w:tc>
        <w:tc>
          <w:tcPr>
            <w:tcW w:w="980" w:type="dxa"/>
            <w:tcBorders/>
            <w:vAlign w:val="center"/>
          </w:tcPr>
          <w:p>
            <w:pPr>
              <w:pStyle w:val="TableContents"/>
              <w:bidi w:val="0"/>
              <w:spacing w:before="0" w:after="283"/>
              <w:jc w:val="right"/>
              <w:rPr/>
            </w:pPr>
            <w:r>
              <w:rPr/>
              <w:t>        </w:t>
            </w:r>
            <w:r>
              <w:rPr>
                <w:sz w:val="16"/>
              </w:rPr>
              <w:t>(6,426)</w:t>
            </w:r>
          </w:p>
        </w:tc>
        <w:tc>
          <w:tcPr>
            <w:tcW w:w="1040" w:type="dxa"/>
            <w:tcBorders/>
            <w:vAlign w:val="center"/>
          </w:tcPr>
          <w:p>
            <w:pPr>
              <w:pStyle w:val="TableContents"/>
              <w:bidi w:val="0"/>
              <w:spacing w:before="0" w:after="283"/>
              <w:jc w:val="right"/>
              <w:rPr/>
            </w:pPr>
            <w:r>
              <w:rPr/>
              <w:t>         </w:t>
            </w:r>
            <w:r>
              <w:rPr>
                <w:sz w:val="16"/>
              </w:rPr>
              <w:t>(1,112)</w:t>
            </w:r>
          </w:p>
        </w:tc>
        <w:tc>
          <w:tcPr>
            <w:tcW w:w="1040" w:type="dxa"/>
            <w:tcBorders/>
            <w:vAlign w:val="center"/>
          </w:tcPr>
          <w:p>
            <w:pPr>
              <w:pStyle w:val="TableContents"/>
              <w:bidi w:val="0"/>
              <w:spacing w:before="0" w:after="283"/>
              <w:jc w:val="right"/>
              <w:rPr/>
            </w:pPr>
            <w:r>
              <w:rPr/>
              <w:t>         </w:t>
            </w:r>
            <w:r>
              <w:rPr>
                <w:sz w:val="16"/>
              </w:rPr>
              <w:t>(3,301)</w:t>
            </w:r>
          </w:p>
        </w:tc>
        <w:tc>
          <w:tcPr>
            <w:tcW w:w="46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196.9%</w:t>
            </w:r>
          </w:p>
        </w:tc>
        <w:tc>
          <w:tcPr>
            <w:tcW w:w="4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-48.6%</w:t>
            </w:r>
          </w:p>
        </w:tc>
        <w:tc>
          <w:tcPr>
            <w:tcW w:w="1415" w:type="dxa"/>
            <w:tcBorders/>
            <w:vAlign w:val="center"/>
          </w:tcPr>
          <w:p>
            <w:pPr>
              <w:pStyle w:val="TableContents"/>
              <w:bidi w:val="0"/>
              <w:spacing w:before="0" w:after="283"/>
              <w:jc w:val="right"/>
              <w:rPr/>
            </w:pPr>
            <w:r>
              <w:rPr/>
              <w:t>              </w:t>
            </w:r>
            <w:r>
              <w:rPr>
                <w:sz w:val="16"/>
              </w:rPr>
              <w:t>(6,426)</w:t>
            </w:r>
          </w:p>
        </w:tc>
        <w:tc>
          <w:tcPr>
            <w:tcW w:w="1415" w:type="dxa"/>
            <w:tcBorders/>
            <w:vAlign w:val="center"/>
          </w:tcPr>
          <w:p>
            <w:pPr>
              <w:pStyle w:val="TableContents"/>
              <w:bidi w:val="0"/>
              <w:spacing w:before="0" w:after="283"/>
              <w:jc w:val="right"/>
              <w:rPr/>
            </w:pPr>
            <w:r>
              <w:rPr/>
              <w:t>              </w:t>
            </w:r>
            <w:r>
              <w:rPr>
                <w:sz w:val="16"/>
              </w:rPr>
              <w:t>(3,301)</w:t>
            </w:r>
          </w:p>
        </w:tc>
        <w:tc>
          <w:tcPr>
            <w:tcW w:w="806"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-61.9%</w:t>
            </w:r>
          </w:p>
        </w:tc>
      </w:tr>
      <w:tr>
        <w:trPr/>
        <w:tc>
          <w:tcPr>
            <w:tcW w:w="2589" w:type="dxa"/>
            <w:gridSpan w:val="2"/>
            <w:tcBorders>
              <w:left w:val="single" w:sz="8" w:space="0" w:color="000000"/>
              <w:bottom w:val="single" w:sz="8" w:space="0" w:color="000000"/>
              <w:right w:val="single" w:sz="8" w:space="0" w:color="000000"/>
            </w:tcBorders>
            <w:tcMar>
              <w:left w:w="40" w:type="dxa"/>
              <w:bottom w:w="28" w:type="dxa"/>
              <w:right w:w="28" w:type="dxa"/>
            </w:tcMar>
            <w:vAlign w:val="center"/>
          </w:tcPr>
          <w:p>
            <w:pPr>
              <w:pStyle w:val="TableContents"/>
              <w:bidi w:val="0"/>
              <w:spacing w:before="0" w:after="283"/>
              <w:jc w:val="left"/>
              <w:rPr>
                <w:b/>
                <w:sz w:val="16"/>
              </w:rPr>
            </w:pPr>
            <w:r>
              <w:rPr>
                <w:b/>
                <w:sz w:val="16"/>
              </w:rPr>
              <w:t>Net profit attributable to BCP Consolidated</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r>
              <w:rPr>
                <w:sz w:val="16"/>
              </w:rPr>
              <w:t>1,155,962</w:t>
            </w:r>
          </w:p>
        </w:tc>
        <w:tc>
          <w:tcPr>
            <w:tcW w:w="1040" w:type="dxa"/>
            <w:tcBorders>
              <w:bottom w:val="single" w:sz="8" w:space="0" w:color="000000"/>
            </w:tcBorders>
            <w:tcMar>
              <w:bottom w:w="28" w:type="dxa"/>
            </w:tcMar>
            <w:vAlign w:val="center"/>
          </w:tcPr>
          <w:p>
            <w:pPr>
              <w:pStyle w:val="TableContents"/>
              <w:bidi w:val="0"/>
              <w:spacing w:before="0" w:after="283"/>
              <w:jc w:val="right"/>
              <w:rPr/>
            </w:pPr>
            <w:r>
              <w:rPr/>
              <w:t>    </w:t>
            </w:r>
            <w:r>
              <w:rPr>
                <w:sz w:val="16"/>
              </w:rPr>
              <w:t>1,263,982</w:t>
            </w:r>
          </w:p>
        </w:tc>
        <w:tc>
          <w:tcPr>
            <w:tcW w:w="1040" w:type="dxa"/>
            <w:tcBorders>
              <w:bottom w:val="single" w:sz="8" w:space="0" w:color="000000"/>
            </w:tcBorders>
            <w:tcMar>
              <w:bottom w:w="28" w:type="dxa"/>
            </w:tcMar>
            <w:vAlign w:val="center"/>
          </w:tcPr>
          <w:p>
            <w:pPr>
              <w:pStyle w:val="TableContents"/>
              <w:bidi w:val="0"/>
              <w:spacing w:before="0" w:after="283"/>
              <w:jc w:val="right"/>
              <w:rPr/>
            </w:pPr>
            <w:r>
              <w:rPr/>
              <w:t>    </w:t>
            </w:r>
            <w:r>
              <w:rPr>
                <w:sz w:val="16"/>
              </w:rPr>
              <w:t>1,254,812</w:t>
            </w:r>
          </w:p>
        </w:tc>
        <w:tc>
          <w:tcPr>
            <w:tcW w:w="4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center"/>
              <w:rPr>
                <w:sz w:val="16"/>
              </w:rPr>
            </w:pPr>
            <w:r>
              <w:rPr>
                <w:sz w:val="16"/>
              </w:rPr>
              <w:t>-0.7%</w:t>
            </w:r>
          </w:p>
        </w:tc>
        <w:tc>
          <w:tcPr>
            <w:tcW w:w="4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sz w:val="16"/>
              </w:rPr>
            </w:pPr>
            <w:r>
              <w:rPr>
                <w:sz w:val="16"/>
              </w:rPr>
              <w:t>8.6%</w:t>
            </w:r>
          </w:p>
        </w:tc>
        <w:tc>
          <w:tcPr>
            <w:tcW w:w="1415" w:type="dxa"/>
            <w:tcBorders>
              <w:bottom w:val="single" w:sz="8" w:space="0" w:color="000000"/>
            </w:tcBorders>
            <w:tcMar>
              <w:bottom w:w="28" w:type="dxa"/>
            </w:tcMar>
            <w:vAlign w:val="center"/>
          </w:tcPr>
          <w:p>
            <w:pPr>
              <w:pStyle w:val="TableContents"/>
              <w:bidi w:val="0"/>
              <w:spacing w:before="0" w:after="283"/>
              <w:jc w:val="right"/>
              <w:rPr/>
            </w:pPr>
            <w:r>
              <w:rPr/>
              <w:t>         </w:t>
            </w:r>
            <w:r>
              <w:rPr>
                <w:sz w:val="16"/>
              </w:rPr>
              <w:t>1,155,962</w:t>
            </w:r>
          </w:p>
        </w:tc>
        <w:tc>
          <w:tcPr>
            <w:tcW w:w="1415" w:type="dxa"/>
            <w:tcBorders>
              <w:bottom w:val="single" w:sz="8" w:space="0" w:color="000000"/>
            </w:tcBorders>
            <w:tcMar>
              <w:bottom w:w="28" w:type="dxa"/>
            </w:tcMar>
            <w:vAlign w:val="center"/>
          </w:tcPr>
          <w:p>
            <w:pPr>
              <w:pStyle w:val="TableContents"/>
              <w:bidi w:val="0"/>
              <w:spacing w:before="0" w:after="283"/>
              <w:jc w:val="right"/>
              <w:rPr/>
            </w:pPr>
            <w:r>
              <w:rPr/>
              <w:t>         </w:t>
            </w:r>
            <w:r>
              <w:rPr>
                <w:sz w:val="16"/>
              </w:rPr>
              <w:t>1,254,812</w:t>
            </w:r>
          </w:p>
        </w:tc>
        <w:tc>
          <w:tcPr>
            <w:tcW w:w="806"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center"/>
          </w:tcPr>
          <w:p>
            <w:pPr>
              <w:pStyle w:val="TableContents"/>
              <w:bidi w:val="0"/>
              <w:spacing w:before="0" w:after="283"/>
              <w:jc w:val="center"/>
              <w:rPr>
                <w:sz w:val="16"/>
              </w:rPr>
            </w:pPr>
            <w:r>
              <w:rPr>
                <w:sz w:val="16"/>
              </w:rPr>
              <w:t>9.0%</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BANCO DE CREDITO DEL PERU AND SUBSIDIARIES</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SELECTED FINANCIAL INDICATORS</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8325" w:type="dxa"/>
        <w:jc w:val="left"/>
        <w:tblInd w:w="0" w:type="dxa"/>
        <w:tblLayout w:type="fixed"/>
        <w:tblCellMar>
          <w:top w:w="0" w:type="dxa"/>
          <w:left w:w="0" w:type="dxa"/>
          <w:bottom w:w="0" w:type="dxa"/>
          <w:right w:w="0" w:type="dxa"/>
        </w:tblCellMar>
      </w:tblPr>
      <w:tblGrid>
        <w:gridCol w:w="4055"/>
        <w:gridCol w:w="560"/>
        <w:gridCol w:w="560"/>
        <w:gridCol w:w="560"/>
        <w:gridCol w:w="1295"/>
        <w:gridCol w:w="1295"/>
      </w:tblGrid>
      <w:tr>
        <w:trPr/>
        <w:tc>
          <w:tcPr>
            <w:tcW w:w="4055" w:type="dxa"/>
            <w:tcBorders/>
            <w:shd w:fill="FFFFFF" w:val="clear"/>
            <w:vAlign w:val="center"/>
          </w:tcPr>
          <w:p>
            <w:pPr>
              <w:pStyle w:val="TableContents"/>
              <w:bidi w:val="0"/>
              <w:spacing w:before="0" w:after="283"/>
              <w:jc w:val="left"/>
              <w:rPr/>
            </w:pPr>
            <w:r>
              <w:rPr/>
              <w:t> </w:t>
            </w:r>
          </w:p>
        </w:tc>
        <w:tc>
          <w:tcPr>
            <w:tcW w:w="1680" w:type="dxa"/>
            <w:gridSpan w:val="3"/>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Quarter</w:t>
            </w:r>
          </w:p>
        </w:tc>
        <w:tc>
          <w:tcPr>
            <w:tcW w:w="2590" w:type="dxa"/>
            <w:gridSpan w:val="2"/>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As of</w:t>
            </w:r>
          </w:p>
        </w:tc>
      </w:tr>
      <w:tr>
        <w:trPr/>
        <w:tc>
          <w:tcPr>
            <w:tcW w:w="40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left w:val="single" w:sz="8" w:space="0" w:color="000000"/>
              <w:bottom w:val="single" w:sz="8" w:space="0" w:color="000000"/>
            </w:tcBorders>
            <w:shd w:fill="2AD2C9" w:val="clear"/>
            <w:tcMar>
              <w:left w:w="28" w:type="dxa"/>
              <w:bottom w:w="28" w:type="dxa"/>
            </w:tcMar>
            <w:vAlign w:val="center"/>
          </w:tcPr>
          <w:p>
            <w:pPr>
              <w:pStyle w:val="TableContents"/>
              <w:bidi w:val="0"/>
              <w:spacing w:before="0" w:after="283"/>
              <w:jc w:val="center"/>
              <w:rPr>
                <w:b/>
                <w:color w:val="FFFFFF"/>
                <w:sz w:val="16"/>
              </w:rPr>
            </w:pPr>
            <w:r>
              <w:rPr>
                <w:b/>
                <w:color w:val="FFFFFF"/>
                <w:sz w:val="16"/>
              </w:rPr>
              <w:t>2Q22</w:t>
            </w:r>
          </w:p>
        </w:tc>
        <w:tc>
          <w:tcPr>
            <w:tcW w:w="560"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1Q23</w:t>
            </w:r>
          </w:p>
        </w:tc>
        <w:tc>
          <w:tcPr>
            <w:tcW w:w="560"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2Q23</w:t>
            </w:r>
          </w:p>
        </w:tc>
        <w:tc>
          <w:tcPr>
            <w:tcW w:w="1295"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1H22</w:t>
            </w:r>
          </w:p>
        </w:tc>
        <w:tc>
          <w:tcPr>
            <w:tcW w:w="1295"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1H23</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b/>
                <w:sz w:val="16"/>
              </w:rPr>
            </w:pPr>
            <w:r>
              <w:rPr>
                <w:b/>
                <w:sz w:val="16"/>
              </w:rPr>
              <w:t>Profitability</w:t>
            </w:r>
          </w:p>
        </w:tc>
        <w:tc>
          <w:tcPr>
            <w:tcW w:w="5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560"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295"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Earnings per share </w:t>
            </w:r>
            <w:r>
              <w:rPr>
                <w:rFonts w:ascii="Arial;Helvetica;Sans-Serif" w:hAnsi="Arial;Helvetica;Sans-Serif"/>
                <w:b w:val="false"/>
                <w:i w:val="false"/>
                <w:caps w:val="false"/>
                <w:smallCaps w:val="false"/>
                <w:sz w:val="16"/>
              </w:rPr>
              <w:t>(1)</w:t>
            </w:r>
          </w:p>
        </w:tc>
        <w:tc>
          <w:tcPr>
            <w:tcW w:w="560" w:type="dxa"/>
            <w:tcBorders/>
            <w:vAlign w:val="center"/>
          </w:tcPr>
          <w:p>
            <w:pPr>
              <w:pStyle w:val="TableContents"/>
              <w:bidi w:val="0"/>
              <w:spacing w:before="0" w:after="283"/>
              <w:jc w:val="center"/>
              <w:rPr>
                <w:sz w:val="16"/>
              </w:rPr>
            </w:pPr>
            <w:r>
              <w:rPr>
                <w:sz w:val="16"/>
              </w:rPr>
              <w:t>0.09</w:t>
            </w:r>
          </w:p>
        </w:tc>
        <w:tc>
          <w:tcPr>
            <w:tcW w:w="560" w:type="dxa"/>
            <w:tcBorders/>
            <w:vAlign w:val="center"/>
          </w:tcPr>
          <w:p>
            <w:pPr>
              <w:pStyle w:val="TableContents"/>
              <w:bidi w:val="0"/>
              <w:spacing w:before="0" w:after="283"/>
              <w:jc w:val="center"/>
              <w:rPr>
                <w:sz w:val="16"/>
              </w:rPr>
            </w:pPr>
            <w:r>
              <w:rPr>
                <w:sz w:val="16"/>
              </w:rPr>
              <w:t>0.10</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0.10</w:t>
            </w:r>
          </w:p>
        </w:tc>
        <w:tc>
          <w:tcPr>
            <w:tcW w:w="1295" w:type="dxa"/>
            <w:tcBorders/>
            <w:vAlign w:val="center"/>
          </w:tcPr>
          <w:p>
            <w:pPr>
              <w:pStyle w:val="TableContents"/>
              <w:bidi w:val="0"/>
              <w:spacing w:before="0" w:after="283"/>
              <w:jc w:val="center"/>
              <w:rPr>
                <w:sz w:val="16"/>
              </w:rPr>
            </w:pPr>
            <w:r>
              <w:rPr>
                <w:sz w:val="16"/>
              </w:rPr>
              <w:t>0.18</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0.19</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ROAA </w:t>
            </w:r>
            <w:r>
              <w:rPr>
                <w:rFonts w:ascii="Arial;Helvetica;Sans-Serif" w:hAnsi="Arial;Helvetica;Sans-Serif"/>
                <w:b w:val="false"/>
                <w:i w:val="false"/>
                <w:caps w:val="false"/>
                <w:smallCaps w:val="false"/>
                <w:sz w:val="16"/>
              </w:rPr>
              <w:t>(2)(3)</w:t>
            </w:r>
          </w:p>
        </w:tc>
        <w:tc>
          <w:tcPr>
            <w:tcW w:w="560" w:type="dxa"/>
            <w:tcBorders/>
            <w:vAlign w:val="center"/>
          </w:tcPr>
          <w:p>
            <w:pPr>
              <w:pStyle w:val="TableContents"/>
              <w:bidi w:val="0"/>
              <w:spacing w:before="0" w:after="283"/>
              <w:jc w:val="center"/>
              <w:rPr>
                <w:sz w:val="16"/>
              </w:rPr>
            </w:pPr>
            <w:r>
              <w:rPr>
                <w:sz w:val="16"/>
              </w:rPr>
              <w:t>2.4%</w:t>
            </w:r>
          </w:p>
        </w:tc>
        <w:tc>
          <w:tcPr>
            <w:tcW w:w="560" w:type="dxa"/>
            <w:tcBorders/>
            <w:vAlign w:val="center"/>
          </w:tcPr>
          <w:p>
            <w:pPr>
              <w:pStyle w:val="TableContents"/>
              <w:bidi w:val="0"/>
              <w:spacing w:before="0" w:after="283"/>
              <w:jc w:val="center"/>
              <w:rPr>
                <w:sz w:val="16"/>
              </w:rPr>
            </w:pPr>
            <w:r>
              <w:rPr>
                <w:sz w:val="16"/>
              </w:rPr>
              <w:t>2.6%</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2.6%</w:t>
            </w:r>
          </w:p>
        </w:tc>
        <w:tc>
          <w:tcPr>
            <w:tcW w:w="1295" w:type="dxa"/>
            <w:tcBorders/>
            <w:vAlign w:val="center"/>
          </w:tcPr>
          <w:p>
            <w:pPr>
              <w:pStyle w:val="TableContents"/>
              <w:bidi w:val="0"/>
              <w:spacing w:before="0" w:after="283"/>
              <w:jc w:val="center"/>
              <w:rPr>
                <w:sz w:val="16"/>
              </w:rPr>
            </w:pPr>
            <w:r>
              <w:rPr>
                <w:sz w:val="16"/>
              </w:rPr>
              <w:t>2.4%</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2.6%</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ROAE </w:t>
            </w:r>
            <w:r>
              <w:rPr>
                <w:rFonts w:ascii="Arial;Helvetica;Sans-Serif" w:hAnsi="Arial;Helvetica;Sans-Serif"/>
                <w:b w:val="false"/>
                <w:i w:val="false"/>
                <w:caps w:val="false"/>
                <w:smallCaps w:val="false"/>
                <w:sz w:val="16"/>
              </w:rPr>
              <w:t>(2)(3)</w:t>
            </w:r>
          </w:p>
        </w:tc>
        <w:tc>
          <w:tcPr>
            <w:tcW w:w="560" w:type="dxa"/>
            <w:tcBorders/>
            <w:vAlign w:val="center"/>
          </w:tcPr>
          <w:p>
            <w:pPr>
              <w:pStyle w:val="TableContents"/>
              <w:bidi w:val="0"/>
              <w:spacing w:before="0" w:after="283"/>
              <w:jc w:val="center"/>
              <w:rPr>
                <w:sz w:val="16"/>
              </w:rPr>
            </w:pPr>
            <w:r>
              <w:rPr>
                <w:sz w:val="16"/>
              </w:rPr>
              <w:t>22.5%</w:t>
            </w:r>
          </w:p>
        </w:tc>
        <w:tc>
          <w:tcPr>
            <w:tcW w:w="560" w:type="dxa"/>
            <w:tcBorders/>
            <w:vAlign w:val="center"/>
          </w:tcPr>
          <w:p>
            <w:pPr>
              <w:pStyle w:val="TableContents"/>
              <w:bidi w:val="0"/>
              <w:spacing w:before="0" w:after="283"/>
              <w:jc w:val="center"/>
              <w:rPr>
                <w:sz w:val="16"/>
              </w:rPr>
            </w:pPr>
            <w:r>
              <w:rPr>
                <w:sz w:val="16"/>
              </w:rPr>
              <w:t>22.5%</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22.3%</w:t>
            </w:r>
          </w:p>
        </w:tc>
        <w:tc>
          <w:tcPr>
            <w:tcW w:w="1295" w:type="dxa"/>
            <w:tcBorders/>
            <w:vAlign w:val="center"/>
          </w:tcPr>
          <w:p>
            <w:pPr>
              <w:pStyle w:val="TableContents"/>
              <w:bidi w:val="0"/>
              <w:spacing w:before="0" w:after="283"/>
              <w:jc w:val="center"/>
              <w:rPr>
                <w:sz w:val="16"/>
              </w:rPr>
            </w:pPr>
            <w:r>
              <w:rPr>
                <w:sz w:val="16"/>
              </w:rPr>
              <w:t>22.5%</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22.4%</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Net interest margin </w:t>
            </w:r>
            <w:r>
              <w:rPr>
                <w:rFonts w:ascii="Arial;Helvetica;Sans-Serif" w:hAnsi="Arial;Helvetica;Sans-Serif"/>
                <w:b w:val="false"/>
                <w:i w:val="false"/>
                <w:caps w:val="false"/>
                <w:smallCaps w:val="false"/>
                <w:sz w:val="16"/>
              </w:rPr>
              <w:t>(2)(3)</w:t>
            </w:r>
          </w:p>
        </w:tc>
        <w:tc>
          <w:tcPr>
            <w:tcW w:w="560" w:type="dxa"/>
            <w:tcBorders/>
            <w:vAlign w:val="center"/>
          </w:tcPr>
          <w:p>
            <w:pPr>
              <w:pStyle w:val="TableContents"/>
              <w:bidi w:val="0"/>
              <w:spacing w:before="0" w:after="283"/>
              <w:jc w:val="center"/>
              <w:rPr>
                <w:sz w:val="16"/>
              </w:rPr>
            </w:pPr>
            <w:r>
              <w:rPr>
                <w:sz w:val="16"/>
              </w:rPr>
              <w:t>5.1%</w:t>
            </w:r>
          </w:p>
        </w:tc>
        <w:tc>
          <w:tcPr>
            <w:tcW w:w="560" w:type="dxa"/>
            <w:tcBorders/>
            <w:vAlign w:val="center"/>
          </w:tcPr>
          <w:p>
            <w:pPr>
              <w:pStyle w:val="TableContents"/>
              <w:bidi w:val="0"/>
              <w:spacing w:before="0" w:after="283"/>
              <w:jc w:val="center"/>
              <w:rPr>
                <w:sz w:val="16"/>
              </w:rPr>
            </w:pPr>
            <w:r>
              <w:rPr>
                <w:sz w:val="16"/>
              </w:rPr>
              <w:t>6.2%</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6.4%</w:t>
            </w:r>
          </w:p>
        </w:tc>
        <w:tc>
          <w:tcPr>
            <w:tcW w:w="1295" w:type="dxa"/>
            <w:tcBorders/>
            <w:vAlign w:val="center"/>
          </w:tcPr>
          <w:p>
            <w:pPr>
              <w:pStyle w:val="TableContents"/>
              <w:bidi w:val="0"/>
              <w:spacing w:before="0" w:after="283"/>
              <w:jc w:val="center"/>
              <w:rPr>
                <w:sz w:val="16"/>
              </w:rPr>
            </w:pPr>
            <w:r>
              <w:rPr>
                <w:sz w:val="16"/>
              </w:rPr>
              <w:t>4.9%</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6.3%</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lineRule="auto" w:line="240" w:before="0" w:after="283"/>
              <w:jc w:val="left"/>
              <w:rPr>
                <w:sz w:val="16"/>
              </w:rPr>
            </w:pPr>
            <w:r>
              <w:rPr>
                <w:sz w:val="16"/>
              </w:rPr>
              <w:t xml:space="preserve">Risk adjusted NIM </w:t>
            </w:r>
            <w:r>
              <w:rPr>
                <w:rFonts w:ascii="Arial;Helvetica;Sans-Serif" w:hAnsi="Arial;Helvetica;Sans-Serif"/>
                <w:b w:val="false"/>
                <w:i w:val="false"/>
                <w:caps w:val="false"/>
                <w:smallCaps w:val="false"/>
                <w:sz w:val="16"/>
              </w:rPr>
              <w:t>(2)(3)</w:t>
            </w:r>
          </w:p>
        </w:tc>
        <w:tc>
          <w:tcPr>
            <w:tcW w:w="560" w:type="dxa"/>
            <w:tcBorders/>
            <w:vAlign w:val="center"/>
          </w:tcPr>
          <w:p>
            <w:pPr>
              <w:pStyle w:val="TableContents"/>
              <w:bidi w:val="0"/>
              <w:spacing w:before="0" w:after="283"/>
              <w:jc w:val="center"/>
              <w:rPr>
                <w:sz w:val="16"/>
              </w:rPr>
            </w:pPr>
            <w:r>
              <w:rPr>
                <w:sz w:val="16"/>
              </w:rPr>
              <w:t>4.4%</w:t>
            </w:r>
          </w:p>
        </w:tc>
        <w:tc>
          <w:tcPr>
            <w:tcW w:w="560" w:type="dxa"/>
            <w:tcBorders/>
            <w:vAlign w:val="center"/>
          </w:tcPr>
          <w:p>
            <w:pPr>
              <w:pStyle w:val="TableContents"/>
              <w:bidi w:val="0"/>
              <w:spacing w:before="0" w:after="283"/>
              <w:jc w:val="center"/>
              <w:rPr>
                <w:sz w:val="16"/>
              </w:rPr>
            </w:pPr>
            <w:r>
              <w:rPr>
                <w:sz w:val="16"/>
              </w:rPr>
              <w:t>4.7%</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4.7%</w:t>
            </w:r>
          </w:p>
        </w:tc>
        <w:tc>
          <w:tcPr>
            <w:tcW w:w="1295" w:type="dxa"/>
            <w:tcBorders/>
            <w:vAlign w:val="center"/>
          </w:tcPr>
          <w:p>
            <w:pPr>
              <w:pStyle w:val="TableContents"/>
              <w:bidi w:val="0"/>
              <w:spacing w:before="0" w:after="283"/>
              <w:jc w:val="center"/>
              <w:rPr>
                <w:sz w:val="16"/>
              </w:rPr>
            </w:pPr>
            <w:r>
              <w:rPr>
                <w:sz w:val="16"/>
              </w:rPr>
              <w:t>4.3%</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4.7%</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lineRule="auto" w:line="240" w:before="0" w:after="283"/>
              <w:jc w:val="left"/>
              <w:rPr>
                <w:sz w:val="16"/>
              </w:rPr>
            </w:pPr>
            <w:r>
              <w:rPr>
                <w:sz w:val="16"/>
              </w:rPr>
              <w:t xml:space="preserve">Funding Cost </w:t>
            </w:r>
            <w:r>
              <w:rPr>
                <w:rFonts w:ascii="Arial;Helvetica;Sans-Serif" w:hAnsi="Arial;Helvetica;Sans-Serif"/>
                <w:b w:val="false"/>
                <w:i w:val="false"/>
                <w:caps w:val="false"/>
                <w:smallCaps w:val="false"/>
                <w:sz w:val="16"/>
              </w:rPr>
              <w:t>(2)(3)(4)</w:t>
            </w:r>
          </w:p>
        </w:tc>
        <w:tc>
          <w:tcPr>
            <w:tcW w:w="560" w:type="dxa"/>
            <w:tcBorders/>
            <w:vAlign w:val="center"/>
          </w:tcPr>
          <w:p>
            <w:pPr>
              <w:pStyle w:val="TableContents"/>
              <w:bidi w:val="0"/>
              <w:spacing w:before="0" w:after="283"/>
              <w:jc w:val="center"/>
              <w:rPr>
                <w:sz w:val="16"/>
              </w:rPr>
            </w:pPr>
            <w:r>
              <w:rPr>
                <w:sz w:val="16"/>
              </w:rPr>
              <w:t>1.4%</w:t>
            </w:r>
          </w:p>
        </w:tc>
        <w:tc>
          <w:tcPr>
            <w:tcW w:w="560" w:type="dxa"/>
            <w:tcBorders/>
            <w:vAlign w:val="center"/>
          </w:tcPr>
          <w:p>
            <w:pPr>
              <w:pStyle w:val="TableContents"/>
              <w:bidi w:val="0"/>
              <w:spacing w:before="0" w:after="283"/>
              <w:jc w:val="center"/>
              <w:rPr>
                <w:sz w:val="16"/>
              </w:rPr>
            </w:pPr>
            <w:r>
              <w:rPr>
                <w:sz w:val="16"/>
              </w:rPr>
              <w:t>2.4%</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2.8%</w:t>
            </w:r>
          </w:p>
        </w:tc>
        <w:tc>
          <w:tcPr>
            <w:tcW w:w="1295" w:type="dxa"/>
            <w:tcBorders/>
            <w:vAlign w:val="center"/>
          </w:tcPr>
          <w:p>
            <w:pPr>
              <w:pStyle w:val="TableContents"/>
              <w:bidi w:val="0"/>
              <w:spacing w:before="0" w:after="283"/>
              <w:jc w:val="center"/>
              <w:rPr>
                <w:sz w:val="16"/>
              </w:rPr>
            </w:pPr>
            <w:r>
              <w:rPr>
                <w:sz w:val="16"/>
              </w:rPr>
              <w:t>1.3%</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2.6%</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295"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Quality of loan portfolio</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295"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IOL ratio</w:t>
            </w:r>
          </w:p>
        </w:tc>
        <w:tc>
          <w:tcPr>
            <w:tcW w:w="560" w:type="dxa"/>
            <w:tcBorders/>
            <w:vAlign w:val="center"/>
          </w:tcPr>
          <w:p>
            <w:pPr>
              <w:pStyle w:val="TableContents"/>
              <w:bidi w:val="0"/>
              <w:spacing w:before="0" w:after="283"/>
              <w:jc w:val="center"/>
              <w:rPr>
                <w:sz w:val="16"/>
              </w:rPr>
            </w:pPr>
            <w:r>
              <w:rPr>
                <w:sz w:val="16"/>
              </w:rPr>
              <w:t>4.2%</w:t>
            </w:r>
          </w:p>
        </w:tc>
        <w:tc>
          <w:tcPr>
            <w:tcW w:w="560" w:type="dxa"/>
            <w:tcBorders/>
            <w:vAlign w:val="center"/>
          </w:tcPr>
          <w:p>
            <w:pPr>
              <w:pStyle w:val="TableContents"/>
              <w:bidi w:val="0"/>
              <w:spacing w:before="0" w:after="283"/>
              <w:jc w:val="center"/>
              <w:rPr>
                <w:sz w:val="16"/>
              </w:rPr>
            </w:pPr>
            <w:r>
              <w:rPr>
                <w:sz w:val="16"/>
              </w:rPr>
              <w:t>4.1%</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4.4%</w:t>
            </w:r>
          </w:p>
        </w:tc>
        <w:tc>
          <w:tcPr>
            <w:tcW w:w="1295" w:type="dxa"/>
            <w:tcBorders/>
            <w:vAlign w:val="center"/>
          </w:tcPr>
          <w:p>
            <w:pPr>
              <w:pStyle w:val="TableContents"/>
              <w:bidi w:val="0"/>
              <w:spacing w:before="0" w:after="283"/>
              <w:jc w:val="center"/>
              <w:rPr>
                <w:sz w:val="16"/>
              </w:rPr>
            </w:pPr>
            <w:r>
              <w:rPr>
                <w:sz w:val="16"/>
              </w:rPr>
              <w:t>4.2%</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4.4%</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NPL ratio</w:t>
            </w:r>
          </w:p>
        </w:tc>
        <w:tc>
          <w:tcPr>
            <w:tcW w:w="560" w:type="dxa"/>
            <w:tcBorders/>
            <w:vAlign w:val="center"/>
          </w:tcPr>
          <w:p>
            <w:pPr>
              <w:pStyle w:val="TableContents"/>
              <w:bidi w:val="0"/>
              <w:spacing w:before="0" w:after="283"/>
              <w:jc w:val="center"/>
              <w:rPr>
                <w:sz w:val="16"/>
              </w:rPr>
            </w:pPr>
            <w:r>
              <w:rPr>
                <w:sz w:val="16"/>
              </w:rPr>
              <w:t>5.4%</w:t>
            </w:r>
          </w:p>
        </w:tc>
        <w:tc>
          <w:tcPr>
            <w:tcW w:w="560" w:type="dxa"/>
            <w:tcBorders/>
            <w:vAlign w:val="center"/>
          </w:tcPr>
          <w:p>
            <w:pPr>
              <w:pStyle w:val="TableContents"/>
              <w:bidi w:val="0"/>
              <w:spacing w:before="0" w:after="283"/>
              <w:jc w:val="center"/>
              <w:rPr>
                <w:sz w:val="16"/>
              </w:rPr>
            </w:pPr>
            <w:r>
              <w:rPr>
                <w:sz w:val="16"/>
              </w:rPr>
              <w:t>5.7%</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5.9%</w:t>
            </w:r>
          </w:p>
        </w:tc>
        <w:tc>
          <w:tcPr>
            <w:tcW w:w="1295" w:type="dxa"/>
            <w:tcBorders/>
            <w:vAlign w:val="center"/>
          </w:tcPr>
          <w:p>
            <w:pPr>
              <w:pStyle w:val="TableContents"/>
              <w:bidi w:val="0"/>
              <w:spacing w:before="0" w:after="283"/>
              <w:jc w:val="center"/>
              <w:rPr>
                <w:sz w:val="16"/>
              </w:rPr>
            </w:pPr>
            <w:r>
              <w:rPr>
                <w:sz w:val="16"/>
              </w:rPr>
              <w:t>5.4%</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5.9%</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Coverage of IOLs</w:t>
            </w:r>
          </w:p>
        </w:tc>
        <w:tc>
          <w:tcPr>
            <w:tcW w:w="560" w:type="dxa"/>
            <w:tcBorders/>
            <w:vAlign w:val="center"/>
          </w:tcPr>
          <w:p>
            <w:pPr>
              <w:pStyle w:val="TableContents"/>
              <w:bidi w:val="0"/>
              <w:spacing w:before="0" w:after="283"/>
              <w:jc w:val="center"/>
              <w:rPr>
                <w:sz w:val="16"/>
              </w:rPr>
            </w:pPr>
            <w:r>
              <w:rPr>
                <w:sz w:val="16"/>
              </w:rPr>
              <w:t>133.2%</w:t>
            </w:r>
          </w:p>
        </w:tc>
        <w:tc>
          <w:tcPr>
            <w:tcW w:w="560" w:type="dxa"/>
            <w:tcBorders/>
            <w:vAlign w:val="center"/>
          </w:tcPr>
          <w:p>
            <w:pPr>
              <w:pStyle w:val="TableContents"/>
              <w:bidi w:val="0"/>
              <w:spacing w:before="0" w:after="283"/>
              <w:jc w:val="center"/>
              <w:rPr>
                <w:sz w:val="16"/>
              </w:rPr>
            </w:pPr>
            <w:r>
              <w:rPr>
                <w:sz w:val="16"/>
              </w:rPr>
              <w:t>136.8%</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132.0%</w:t>
            </w:r>
          </w:p>
        </w:tc>
        <w:tc>
          <w:tcPr>
            <w:tcW w:w="1295" w:type="dxa"/>
            <w:tcBorders/>
            <w:vAlign w:val="center"/>
          </w:tcPr>
          <w:p>
            <w:pPr>
              <w:pStyle w:val="TableContents"/>
              <w:bidi w:val="0"/>
              <w:spacing w:before="0" w:after="283"/>
              <w:jc w:val="center"/>
              <w:rPr>
                <w:sz w:val="16"/>
              </w:rPr>
            </w:pPr>
            <w:r>
              <w:rPr>
                <w:sz w:val="16"/>
              </w:rPr>
              <w:t>133.2%</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132.0%</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Coverage of NPLs</w:t>
            </w:r>
          </w:p>
        </w:tc>
        <w:tc>
          <w:tcPr>
            <w:tcW w:w="560" w:type="dxa"/>
            <w:tcBorders/>
            <w:vAlign w:val="center"/>
          </w:tcPr>
          <w:p>
            <w:pPr>
              <w:pStyle w:val="TableContents"/>
              <w:bidi w:val="0"/>
              <w:spacing w:before="0" w:after="283"/>
              <w:jc w:val="center"/>
              <w:rPr>
                <w:sz w:val="16"/>
              </w:rPr>
            </w:pPr>
            <w:r>
              <w:rPr>
                <w:sz w:val="16"/>
              </w:rPr>
              <w:t>104.0%</w:t>
            </w:r>
          </w:p>
        </w:tc>
        <w:tc>
          <w:tcPr>
            <w:tcW w:w="560" w:type="dxa"/>
            <w:tcBorders/>
            <w:vAlign w:val="center"/>
          </w:tcPr>
          <w:p>
            <w:pPr>
              <w:pStyle w:val="TableContents"/>
              <w:bidi w:val="0"/>
              <w:spacing w:before="0" w:after="283"/>
              <w:jc w:val="center"/>
              <w:rPr>
                <w:sz w:val="16"/>
              </w:rPr>
            </w:pPr>
            <w:r>
              <w:rPr>
                <w:sz w:val="16"/>
              </w:rPr>
              <w:t>98.9%</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97.1%</w:t>
            </w:r>
          </w:p>
        </w:tc>
        <w:tc>
          <w:tcPr>
            <w:tcW w:w="1295" w:type="dxa"/>
            <w:tcBorders/>
            <w:vAlign w:val="center"/>
          </w:tcPr>
          <w:p>
            <w:pPr>
              <w:pStyle w:val="TableContents"/>
              <w:bidi w:val="0"/>
              <w:spacing w:before="0" w:after="283"/>
              <w:jc w:val="center"/>
              <w:rPr>
                <w:sz w:val="16"/>
              </w:rPr>
            </w:pPr>
            <w:r>
              <w:rPr>
                <w:sz w:val="16"/>
              </w:rPr>
              <w:t>104.0%</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97.1%</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Cost of risk </w:t>
            </w:r>
            <w:r>
              <w:rPr>
                <w:rFonts w:ascii="Arial;Helvetica;Sans-Serif" w:hAnsi="Arial;Helvetica;Sans-Serif"/>
                <w:b w:val="false"/>
                <w:i w:val="false"/>
                <w:caps w:val="false"/>
                <w:smallCaps w:val="false"/>
                <w:sz w:val="16"/>
              </w:rPr>
              <w:t>(5)</w:t>
            </w:r>
          </w:p>
        </w:tc>
        <w:tc>
          <w:tcPr>
            <w:tcW w:w="560" w:type="dxa"/>
            <w:tcBorders/>
            <w:vAlign w:val="center"/>
          </w:tcPr>
          <w:p>
            <w:pPr>
              <w:pStyle w:val="TableContents"/>
              <w:bidi w:val="0"/>
              <w:spacing w:before="0" w:after="283"/>
              <w:jc w:val="center"/>
              <w:rPr>
                <w:sz w:val="16"/>
              </w:rPr>
            </w:pPr>
            <w:r>
              <w:rPr>
                <w:sz w:val="16"/>
              </w:rPr>
              <w:t>0.9%</w:t>
            </w:r>
          </w:p>
        </w:tc>
        <w:tc>
          <w:tcPr>
            <w:tcW w:w="560" w:type="dxa"/>
            <w:tcBorders/>
            <w:vAlign w:val="center"/>
          </w:tcPr>
          <w:p>
            <w:pPr>
              <w:pStyle w:val="TableContents"/>
              <w:bidi w:val="0"/>
              <w:spacing w:before="0" w:after="283"/>
              <w:jc w:val="center"/>
              <w:rPr>
                <w:sz w:val="16"/>
              </w:rPr>
            </w:pPr>
            <w:r>
              <w:rPr>
                <w:sz w:val="16"/>
              </w:rPr>
              <w:t>2.2%</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2.4%</w:t>
            </w:r>
          </w:p>
        </w:tc>
        <w:tc>
          <w:tcPr>
            <w:tcW w:w="1295" w:type="dxa"/>
            <w:tcBorders/>
            <w:vAlign w:val="center"/>
          </w:tcPr>
          <w:p>
            <w:pPr>
              <w:pStyle w:val="TableContents"/>
              <w:bidi w:val="0"/>
              <w:spacing w:before="0" w:after="283"/>
              <w:jc w:val="center"/>
              <w:rPr>
                <w:sz w:val="16"/>
              </w:rPr>
            </w:pPr>
            <w:r>
              <w:rPr>
                <w:sz w:val="16"/>
              </w:rPr>
              <w:t>0.8%</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2.3%</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295"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Operating efficiency</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295"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lineRule="auto" w:line="240" w:before="0" w:after="283"/>
              <w:jc w:val="left"/>
              <w:rPr>
                <w:sz w:val="16"/>
              </w:rPr>
            </w:pPr>
            <w:r>
              <w:rPr>
                <w:sz w:val="16"/>
              </w:rPr>
              <w:t xml:space="preserve">Oper. expenses as a percent. of total income - reported </w:t>
            </w:r>
            <w:r>
              <w:rPr>
                <w:rFonts w:ascii="Arial;Helvetica;Sans-Serif" w:hAnsi="Arial;Helvetica;Sans-Serif"/>
                <w:b w:val="false"/>
                <w:i w:val="false"/>
                <w:caps w:val="false"/>
                <w:smallCaps w:val="false"/>
                <w:sz w:val="16"/>
              </w:rPr>
              <w:t>(6)</w:t>
            </w:r>
          </w:p>
        </w:tc>
        <w:tc>
          <w:tcPr>
            <w:tcW w:w="560" w:type="dxa"/>
            <w:tcBorders/>
            <w:vAlign w:val="center"/>
          </w:tcPr>
          <w:p>
            <w:pPr>
              <w:pStyle w:val="TableContents"/>
              <w:bidi w:val="0"/>
              <w:spacing w:before="0" w:after="283"/>
              <w:jc w:val="center"/>
              <w:rPr>
                <w:sz w:val="16"/>
              </w:rPr>
            </w:pPr>
            <w:r>
              <w:rPr>
                <w:sz w:val="16"/>
              </w:rPr>
              <w:t>43.0%</w:t>
            </w:r>
          </w:p>
        </w:tc>
        <w:tc>
          <w:tcPr>
            <w:tcW w:w="560" w:type="dxa"/>
            <w:tcBorders/>
            <w:vAlign w:val="center"/>
          </w:tcPr>
          <w:p>
            <w:pPr>
              <w:pStyle w:val="TableContents"/>
              <w:bidi w:val="0"/>
              <w:spacing w:before="0" w:after="283"/>
              <w:jc w:val="center"/>
              <w:rPr>
                <w:sz w:val="16"/>
              </w:rPr>
            </w:pPr>
            <w:r>
              <w:rPr>
                <w:sz w:val="16"/>
              </w:rPr>
              <w:t>39.2%</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39.4%</w:t>
            </w:r>
          </w:p>
        </w:tc>
        <w:tc>
          <w:tcPr>
            <w:tcW w:w="1295" w:type="dxa"/>
            <w:tcBorders/>
            <w:vAlign w:val="center"/>
          </w:tcPr>
          <w:p>
            <w:pPr>
              <w:pStyle w:val="TableContents"/>
              <w:bidi w:val="0"/>
              <w:spacing w:before="0" w:after="283"/>
              <w:jc w:val="center"/>
              <w:rPr>
                <w:sz w:val="16"/>
              </w:rPr>
            </w:pPr>
            <w:r>
              <w:rPr>
                <w:sz w:val="16"/>
              </w:rPr>
              <w:t>42.9%</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39.3%</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Oper. expenses as a percent. of av. tot. assets </w:t>
            </w:r>
            <w:r>
              <w:rPr>
                <w:rFonts w:ascii="Arial;Helvetica;Sans-Serif" w:hAnsi="Arial;Helvetica;Sans-Serif"/>
                <w:b w:val="false"/>
                <w:i w:val="false"/>
                <w:caps w:val="false"/>
                <w:smallCaps w:val="false"/>
                <w:sz w:val="16"/>
              </w:rPr>
              <w:t>(2)(3)(6)</w:t>
            </w:r>
          </w:p>
        </w:tc>
        <w:tc>
          <w:tcPr>
            <w:tcW w:w="560" w:type="dxa"/>
            <w:tcBorders/>
            <w:vAlign w:val="center"/>
          </w:tcPr>
          <w:p>
            <w:pPr>
              <w:pStyle w:val="TableContents"/>
              <w:bidi w:val="0"/>
              <w:spacing w:before="0" w:after="283"/>
              <w:jc w:val="center"/>
              <w:rPr>
                <w:sz w:val="16"/>
              </w:rPr>
            </w:pPr>
            <w:r>
              <w:rPr>
                <w:sz w:val="16"/>
              </w:rPr>
              <w:t>3.0%</w:t>
            </w:r>
          </w:p>
        </w:tc>
        <w:tc>
          <w:tcPr>
            <w:tcW w:w="560" w:type="dxa"/>
            <w:tcBorders/>
            <w:vAlign w:val="center"/>
          </w:tcPr>
          <w:p>
            <w:pPr>
              <w:pStyle w:val="TableContents"/>
              <w:bidi w:val="0"/>
              <w:spacing w:before="0" w:after="283"/>
              <w:jc w:val="center"/>
              <w:rPr>
                <w:sz w:val="16"/>
              </w:rPr>
            </w:pPr>
            <w:r>
              <w:rPr>
                <w:sz w:val="16"/>
              </w:rPr>
              <w:t>3.2%</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3.3%</w:t>
            </w:r>
          </w:p>
        </w:tc>
        <w:tc>
          <w:tcPr>
            <w:tcW w:w="1295" w:type="dxa"/>
            <w:tcBorders/>
            <w:vAlign w:val="center"/>
          </w:tcPr>
          <w:p>
            <w:pPr>
              <w:pStyle w:val="TableContents"/>
              <w:bidi w:val="0"/>
              <w:spacing w:before="0" w:after="283"/>
              <w:jc w:val="center"/>
              <w:rPr>
                <w:sz w:val="16"/>
              </w:rPr>
            </w:pPr>
            <w:r>
              <w:rPr>
                <w:sz w:val="16"/>
              </w:rPr>
              <w:t>2.9%</w:t>
            </w:r>
          </w:p>
        </w:tc>
        <w:tc>
          <w:tcPr>
            <w:tcW w:w="1295" w:type="dxa"/>
            <w:tcBorders>
              <w:right w:val="single" w:sz="8" w:space="0" w:color="000000"/>
            </w:tcBorders>
            <w:tcMar>
              <w:right w:w="28" w:type="dxa"/>
            </w:tcMar>
            <w:vAlign w:val="center"/>
          </w:tcPr>
          <w:p>
            <w:pPr>
              <w:pStyle w:val="TableContents"/>
              <w:bidi w:val="0"/>
              <w:spacing w:before="0" w:after="283"/>
              <w:jc w:val="center"/>
              <w:rPr>
                <w:sz w:val="16"/>
              </w:rPr>
            </w:pPr>
            <w:r>
              <w:rPr>
                <w:sz w:val="16"/>
              </w:rPr>
              <w:t>3.2%</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295"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295"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Share Information</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1295"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left"/>
              <w:rPr>
                <w:sz w:val="16"/>
              </w:rPr>
            </w:pPr>
            <w:r>
              <w:rPr>
                <w:sz w:val="16"/>
              </w:rPr>
              <w:t>N° of outstanding shares (Million)</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sz w:val="16"/>
              </w:rPr>
              <w:t>12,973</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sz w:val="16"/>
              </w:rPr>
              <w:t>12,973</w:t>
            </w:r>
          </w:p>
        </w:tc>
        <w:tc>
          <w:tcPr>
            <w:tcW w:w="5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sz w:val="16"/>
              </w:rPr>
            </w:pPr>
            <w:r>
              <w:rPr>
                <w:sz w:val="16"/>
              </w:rPr>
              <w:t>12,973</w:t>
            </w:r>
          </w:p>
        </w:tc>
        <w:tc>
          <w:tcPr>
            <w:tcW w:w="1295" w:type="dxa"/>
            <w:tcBorders>
              <w:bottom w:val="single" w:sz="8" w:space="0" w:color="000000"/>
            </w:tcBorders>
            <w:tcMar>
              <w:bottom w:w="28" w:type="dxa"/>
            </w:tcMar>
            <w:vAlign w:val="center"/>
          </w:tcPr>
          <w:p>
            <w:pPr>
              <w:pStyle w:val="TableContents"/>
              <w:bidi w:val="0"/>
              <w:spacing w:before="0" w:after="283"/>
              <w:jc w:val="center"/>
              <w:rPr/>
            </w:pPr>
            <w:r>
              <w:rPr/>
              <w:t>             </w:t>
            </w:r>
            <w:r>
              <w:rPr>
                <w:sz w:val="16"/>
              </w:rPr>
              <w:t>12,973</w:t>
            </w:r>
          </w:p>
        </w:tc>
        <w:tc>
          <w:tcPr>
            <w:tcW w:w="129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r>
              <w:rPr>
                <w:sz w:val="16"/>
              </w:rPr>
              <w:t>12,973</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1440" w:right="14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Shares outstanding of 12,176 million is used for all periods since shares have been issued only for capitalization of profits. </w:t>
      </w:r>
    </w:p>
    <w:p>
      <w:pPr>
        <w:pStyle w:val="TextBody"/>
        <w:bidi w:val="0"/>
        <w:spacing w:before="0" w:after="0"/>
        <w:ind w:left="1440" w:right="14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Ratios are annualized. </w:t>
      </w:r>
    </w:p>
    <w:p>
      <w:pPr>
        <w:pStyle w:val="TextBody"/>
        <w:bidi w:val="0"/>
        <w:spacing w:before="0" w:after="0"/>
        <w:ind w:left="1440" w:right="14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Averages are determined as the average of period-beginning and period-ending balances. </w:t>
      </w:r>
    </w:p>
    <w:p>
      <w:pPr>
        <w:pStyle w:val="TextBody"/>
        <w:bidi w:val="0"/>
        <w:spacing w:before="0" w:after="0"/>
        <w:ind w:left="1440" w:right="14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 </w:t>
      </w:r>
    </w:p>
    <w:p>
      <w:pPr>
        <w:pStyle w:val="TextBody"/>
        <w:bidi w:val="0"/>
        <w:spacing w:before="0" w:after="0"/>
        <w:ind w:left="1440" w:right="14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 Cost of risk: Annualized provision for loan losses / Total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9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34" descr=""/>
                          <pic:cNvPicPr>
                            <a:picLocks noChangeAspect="1" noChangeArrowheads="1"/>
                          </pic:cNvPicPr>
                        </pic:nvPicPr>
                        <pic:blipFill>
                          <a:blip r:embed="rId153"/>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12.6.4. BCP Stand-alone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BANCO DE CREDITO DEL PERU</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STATEMENT OF FINANCIAL POSITION</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  thousands, IFRS)</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242"/>
        <w:gridCol w:w="4001"/>
        <w:gridCol w:w="265"/>
        <w:gridCol w:w="1535"/>
        <w:gridCol w:w="1535"/>
        <w:gridCol w:w="1535"/>
        <w:gridCol w:w="559"/>
        <w:gridCol w:w="533"/>
      </w:tblGrid>
      <w:tr>
        <w:trPr/>
        <w:tc>
          <w:tcPr>
            <w:tcW w:w="242" w:type="dxa"/>
            <w:tcBorders/>
            <w:shd w:fill="FFFFFF" w:val="clear"/>
            <w:vAlign w:val="center"/>
          </w:tcPr>
          <w:p>
            <w:pPr>
              <w:pStyle w:val="TableContents"/>
              <w:bidi w:val="0"/>
              <w:spacing w:before="0" w:after="283"/>
              <w:jc w:val="center"/>
              <w:rPr/>
            </w:pPr>
            <w:r>
              <w:rPr/>
              <w:t> </w:t>
            </w:r>
          </w:p>
        </w:tc>
        <w:tc>
          <w:tcPr>
            <w:tcW w:w="4001" w:type="dxa"/>
            <w:tcBorders/>
            <w:shd w:fill="FFFFFF" w:val="clear"/>
            <w:vAlign w:val="center"/>
          </w:tcPr>
          <w:p>
            <w:pPr>
              <w:pStyle w:val="TableContents"/>
              <w:bidi w:val="0"/>
              <w:spacing w:before="0" w:after="283"/>
              <w:jc w:val="center"/>
              <w:rPr/>
            </w:pPr>
            <w:r>
              <w:rPr/>
              <w:t> </w:t>
            </w:r>
          </w:p>
        </w:tc>
        <w:tc>
          <w:tcPr>
            <w:tcW w:w="265" w:type="dxa"/>
            <w:tcBorders/>
            <w:shd w:fill="FFFFFF" w:val="clear"/>
            <w:vAlign w:val="center"/>
          </w:tcPr>
          <w:p>
            <w:pPr>
              <w:pStyle w:val="TableContents"/>
              <w:bidi w:val="0"/>
              <w:spacing w:before="0" w:after="283"/>
              <w:jc w:val="center"/>
              <w:rPr/>
            </w:pPr>
            <w:r>
              <w:rPr/>
              <w:t> </w:t>
            </w:r>
          </w:p>
        </w:tc>
        <w:tc>
          <w:tcPr>
            <w:tcW w:w="4605" w:type="dxa"/>
            <w:gridSpan w:val="3"/>
            <w:tcBorders>
              <w:top w:val="single" w:sz="8" w:space="0" w:color="000000"/>
              <w:left w:val="single" w:sz="8" w:space="0" w:color="000000"/>
            </w:tcBorders>
            <w:shd w:fill="2AD2C9" w:val="clear"/>
            <w:tcMar>
              <w:top w:w="28" w:type="dxa"/>
              <w:left w:w="28" w:type="dxa"/>
            </w:tcMar>
            <w:vAlign w:val="center"/>
          </w:tcPr>
          <w:p>
            <w:pPr>
              <w:pStyle w:val="TableContents"/>
              <w:bidi w:val="0"/>
              <w:spacing w:before="0" w:after="283"/>
              <w:jc w:val="center"/>
              <w:rPr>
                <w:b/>
                <w:color w:val="FFFFFF"/>
                <w:sz w:val="16"/>
              </w:rPr>
            </w:pPr>
            <w:r>
              <w:rPr>
                <w:b/>
                <w:color w:val="FFFFFF"/>
                <w:sz w:val="16"/>
              </w:rPr>
              <w:t>As of</w:t>
            </w:r>
          </w:p>
        </w:tc>
        <w:tc>
          <w:tcPr>
            <w:tcW w:w="1092" w:type="dxa"/>
            <w:gridSpan w:val="2"/>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4508" w:type="dxa"/>
            <w:gridSpan w:val="3"/>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Jun 22</w:t>
            </w:r>
          </w:p>
        </w:tc>
        <w:tc>
          <w:tcPr>
            <w:tcW w:w="1535" w:type="dxa"/>
            <w:tcBorders/>
            <w:shd w:fill="2AD2C9" w:val="clear"/>
            <w:vAlign w:val="center"/>
          </w:tcPr>
          <w:p>
            <w:pPr>
              <w:pStyle w:val="TableContents"/>
              <w:bidi w:val="0"/>
              <w:spacing w:before="0" w:after="283"/>
              <w:jc w:val="center"/>
              <w:rPr>
                <w:b/>
                <w:color w:val="FFFFFF"/>
                <w:sz w:val="16"/>
              </w:rPr>
            </w:pPr>
            <w:r>
              <w:rPr>
                <w:b/>
                <w:color w:val="FFFFFF"/>
                <w:sz w:val="16"/>
              </w:rPr>
              <w:t>Mar 23</w:t>
            </w:r>
          </w:p>
        </w:tc>
        <w:tc>
          <w:tcPr>
            <w:tcW w:w="1535" w:type="dxa"/>
            <w:tcBorders/>
            <w:shd w:fill="2AD2C9" w:val="clear"/>
            <w:vAlign w:val="center"/>
          </w:tcPr>
          <w:p>
            <w:pPr>
              <w:pStyle w:val="TableContents"/>
              <w:bidi w:val="0"/>
              <w:spacing w:before="0" w:after="283"/>
              <w:jc w:val="center"/>
              <w:rPr>
                <w:b/>
                <w:color w:val="FFFFFF"/>
                <w:sz w:val="16"/>
              </w:rPr>
            </w:pPr>
            <w:r>
              <w:rPr>
                <w:b/>
                <w:color w:val="FFFFFF"/>
                <w:sz w:val="16"/>
              </w:rPr>
              <w:t>Jun 23</w:t>
            </w:r>
          </w:p>
        </w:tc>
        <w:tc>
          <w:tcPr>
            <w:tcW w:w="559"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QoQ</w:t>
            </w:r>
          </w:p>
        </w:tc>
        <w:tc>
          <w:tcPr>
            <w:tcW w:w="533" w:type="dxa"/>
            <w:tcBorders>
              <w:right w:val="single" w:sz="8" w:space="0" w:color="000000"/>
            </w:tcBorders>
            <w:shd w:fill="2AD2C9" w:val="clear"/>
            <w:tcMar>
              <w:right w:w="28" w:type="dxa"/>
            </w:tcMar>
            <w:vAlign w:val="center"/>
          </w:tcPr>
          <w:p>
            <w:pPr>
              <w:pStyle w:val="TableContents"/>
              <w:bidi w:val="0"/>
              <w:spacing w:before="0" w:after="283"/>
              <w:jc w:val="center"/>
              <w:rPr>
                <w:b/>
                <w:color w:val="FFFFFF"/>
                <w:sz w:val="16"/>
              </w:rPr>
            </w:pPr>
            <w:r>
              <w:rPr>
                <w:b/>
                <w:color w:val="FFFFFF"/>
                <w:sz w:val="16"/>
              </w:rPr>
              <w:t>YoY</w:t>
            </w:r>
          </w:p>
        </w:tc>
      </w:tr>
      <w:tr>
        <w:trPr/>
        <w:tc>
          <w:tcPr>
            <w:tcW w:w="4508" w:type="dxa"/>
            <w:gridSpan w:val="3"/>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left"/>
              <w:rPr>
                <w:b/>
                <w:sz w:val="16"/>
              </w:rPr>
            </w:pPr>
            <w:r>
              <w:rPr>
                <w:b/>
                <w:sz w:val="16"/>
              </w:rPr>
              <w:t>ASSETS</w:t>
            </w:r>
          </w:p>
        </w:tc>
        <w:tc>
          <w:tcPr>
            <w:tcW w:w="1535" w:type="dxa"/>
            <w:tcBorders>
              <w:top w:val="single" w:sz="8" w:space="0" w:color="000000"/>
              <w:left w:val="single" w:sz="8" w:space="0" w:color="000000"/>
            </w:tcBorders>
            <w:tcMar>
              <w:top w:w="28" w:type="dxa"/>
              <w:left w:w="28" w:type="dxa"/>
            </w:tcMar>
            <w:vAlign w:val="center"/>
          </w:tcPr>
          <w:p>
            <w:pPr>
              <w:pStyle w:val="TableContents"/>
              <w:bidi w:val="0"/>
              <w:spacing w:before="0" w:after="283"/>
              <w:jc w:val="left"/>
              <w:rPr/>
            </w:pPr>
            <w:r>
              <w:rPr/>
              <w:t> </w:t>
            </w:r>
          </w:p>
        </w:tc>
        <w:tc>
          <w:tcPr>
            <w:tcW w:w="1535" w:type="dxa"/>
            <w:tcBorders>
              <w:top w:val="single" w:sz="8" w:space="0" w:color="000000"/>
            </w:tcBorders>
            <w:tcMar>
              <w:top w:w="28" w:type="dxa"/>
            </w:tcMar>
            <w:vAlign w:val="center"/>
          </w:tcPr>
          <w:p>
            <w:pPr>
              <w:pStyle w:val="TableContents"/>
              <w:bidi w:val="0"/>
              <w:spacing w:before="0" w:after="283"/>
              <w:jc w:val="left"/>
              <w:rPr/>
            </w:pPr>
            <w:r>
              <w:rPr/>
              <w:t> </w:t>
            </w:r>
          </w:p>
        </w:tc>
        <w:tc>
          <w:tcPr>
            <w:tcW w:w="1535" w:type="dxa"/>
            <w:tcBorders>
              <w:top w:val="single" w:sz="8" w:space="0" w:color="000000"/>
              <w:right w:val="single" w:sz="8" w:space="0" w:color="000000"/>
            </w:tcBorders>
            <w:tcMar>
              <w:top w:w="28" w:type="dxa"/>
              <w:right w:w="60" w:type="dxa"/>
            </w:tcMar>
            <w:vAlign w:val="center"/>
          </w:tcPr>
          <w:p>
            <w:pPr>
              <w:pStyle w:val="TableContents"/>
              <w:bidi w:val="0"/>
              <w:spacing w:before="0" w:after="283"/>
              <w:jc w:val="left"/>
              <w:rPr/>
            </w:pPr>
            <w:r>
              <w:rPr/>
              <w:t> </w:t>
            </w:r>
          </w:p>
        </w:tc>
        <w:tc>
          <w:tcPr>
            <w:tcW w:w="559" w:type="dxa"/>
            <w:tcBorders>
              <w:top w:val="single" w:sz="8" w:space="0" w:color="000000"/>
            </w:tcBorders>
            <w:shd w:fill="FFFFFF" w:val="clear"/>
            <w:tcMar>
              <w:top w:w="28" w:type="dxa"/>
            </w:tcMar>
            <w:vAlign w:val="center"/>
          </w:tcPr>
          <w:p>
            <w:pPr>
              <w:pStyle w:val="TableContents"/>
              <w:bidi w:val="0"/>
              <w:spacing w:before="0" w:after="283"/>
              <w:jc w:val="left"/>
              <w:rPr/>
            </w:pPr>
            <w:r>
              <w:rPr/>
              <w:t> </w:t>
            </w:r>
          </w:p>
        </w:tc>
        <w:tc>
          <w:tcPr>
            <w:tcW w:w="533"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left"/>
              <w:rPr/>
            </w:pPr>
            <w:r>
              <w:rPr/>
              <w:t> </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Cash and due from banks</w:t>
            </w:r>
          </w:p>
        </w:tc>
        <w:tc>
          <w:tcPr>
            <w:tcW w:w="1535" w:type="dxa"/>
            <w:tcBorders>
              <w:left w:val="single" w:sz="8" w:space="0" w:color="000000"/>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1535" w:type="dxa"/>
            <w:tcBorders>
              <w:right w:val="single" w:sz="8" w:space="0" w:color="000000"/>
            </w:tcBorders>
            <w:tcMar>
              <w:right w:w="60" w:type="dxa"/>
            </w:tcM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33"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before="0" w:after="283"/>
              <w:jc w:val="left"/>
              <w:rPr>
                <w:sz w:val="16"/>
              </w:rPr>
            </w:pPr>
            <w:r>
              <w:rPr>
                <w:sz w:val="16"/>
              </w:rPr>
              <w:t>Non-interest bearing</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4,596,609</w:t>
            </w:r>
          </w:p>
        </w:tc>
        <w:tc>
          <w:tcPr>
            <w:tcW w:w="1535" w:type="dxa"/>
            <w:tcBorders/>
            <w:vAlign w:val="center"/>
          </w:tcPr>
          <w:p>
            <w:pPr>
              <w:pStyle w:val="TableContents"/>
              <w:bidi w:val="0"/>
              <w:spacing w:before="0" w:after="283"/>
              <w:jc w:val="right"/>
              <w:rPr/>
            </w:pPr>
            <w:r>
              <w:rPr/>
              <w:t>       </w:t>
            </w:r>
            <w:r>
              <w:rPr>
                <w:sz w:val="16"/>
              </w:rPr>
              <w:t>4,832,635</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4,634,064</w:t>
            </w:r>
          </w:p>
        </w:tc>
        <w:tc>
          <w:tcPr>
            <w:tcW w:w="559" w:type="dxa"/>
            <w:tcBorders/>
            <w:shd w:fill="FFFFFF" w:val="clear"/>
            <w:vAlign w:val="center"/>
          </w:tcPr>
          <w:p>
            <w:pPr>
              <w:pStyle w:val="TableContents"/>
              <w:bidi w:val="0"/>
              <w:spacing w:before="0" w:after="283"/>
              <w:jc w:val="center"/>
              <w:rPr>
                <w:sz w:val="16"/>
              </w:rPr>
            </w:pPr>
            <w:r>
              <w:rPr>
                <w:sz w:val="16"/>
              </w:rPr>
              <w:t>-4.1%</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0.8%</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before="0" w:after="283"/>
              <w:jc w:val="left"/>
              <w:rPr>
                <w:sz w:val="16"/>
              </w:rPr>
            </w:pPr>
            <w:r>
              <w:rPr>
                <w:sz w:val="16"/>
              </w:rPr>
              <w:t>Interest bearing</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21,860,250</w:t>
            </w:r>
          </w:p>
        </w:tc>
        <w:tc>
          <w:tcPr>
            <w:tcW w:w="1535" w:type="dxa"/>
            <w:tcBorders/>
            <w:vAlign w:val="center"/>
          </w:tcPr>
          <w:p>
            <w:pPr>
              <w:pStyle w:val="TableContents"/>
              <w:bidi w:val="0"/>
              <w:spacing w:before="0" w:after="283"/>
              <w:jc w:val="right"/>
              <w:rPr/>
            </w:pPr>
            <w:r>
              <w:rPr/>
              <w:t>     </w:t>
            </w:r>
            <w:r>
              <w:rPr>
                <w:sz w:val="16"/>
              </w:rPr>
              <w:t>26,052,997</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24,308,715</w:t>
            </w:r>
          </w:p>
        </w:tc>
        <w:tc>
          <w:tcPr>
            <w:tcW w:w="559" w:type="dxa"/>
            <w:tcBorders/>
            <w:shd w:fill="FFFFFF" w:val="clear"/>
            <w:vAlign w:val="center"/>
          </w:tcPr>
          <w:p>
            <w:pPr>
              <w:pStyle w:val="TableContents"/>
              <w:bidi w:val="0"/>
              <w:spacing w:before="0" w:after="283"/>
              <w:jc w:val="center"/>
              <w:rPr>
                <w:sz w:val="16"/>
              </w:rPr>
            </w:pPr>
            <w:r>
              <w:rPr>
                <w:sz w:val="16"/>
              </w:rPr>
              <w:t>-6.7%</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11.2%</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before="0" w:after="283"/>
              <w:jc w:val="left"/>
              <w:rPr>
                <w:b/>
                <w:sz w:val="16"/>
              </w:rPr>
            </w:pPr>
            <w:r>
              <w:rPr>
                <w:b/>
                <w:sz w:val="16"/>
              </w:rPr>
              <w:t>Total cash and due from banks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26,456,859</w:t>
            </w:r>
          </w:p>
        </w:tc>
        <w:tc>
          <w:tcPr>
            <w:tcW w:w="1535" w:type="dxa"/>
            <w:tcBorders/>
            <w:vAlign w:val="center"/>
          </w:tcPr>
          <w:p>
            <w:pPr>
              <w:pStyle w:val="TableContents"/>
              <w:bidi w:val="0"/>
              <w:spacing w:before="0" w:after="283"/>
              <w:jc w:val="right"/>
              <w:rPr/>
            </w:pPr>
            <w:r>
              <w:rPr/>
              <w:t>     </w:t>
            </w:r>
            <w:r>
              <w:rPr>
                <w:b/>
                <w:sz w:val="16"/>
              </w:rPr>
              <w:t>30,885,632</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28,942,779</w:t>
            </w:r>
          </w:p>
        </w:tc>
        <w:tc>
          <w:tcPr>
            <w:tcW w:w="559" w:type="dxa"/>
            <w:tcBorders/>
            <w:shd w:fill="FFFFFF" w:val="clear"/>
            <w:vAlign w:val="center"/>
          </w:tcPr>
          <w:p>
            <w:pPr>
              <w:pStyle w:val="TableContents"/>
              <w:bidi w:val="0"/>
              <w:spacing w:before="0" w:after="283"/>
              <w:jc w:val="center"/>
              <w:rPr>
                <w:b/>
                <w:sz w:val="16"/>
              </w:rPr>
            </w:pPr>
            <w:r>
              <w:rPr>
                <w:b/>
                <w:sz w:val="16"/>
              </w:rPr>
              <w:t>-6.3%</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9.4%</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9" w:type="dxa"/>
            <w:tcBorders/>
            <w:shd w:fill="FFFFFF" w:val="clear"/>
            <w:vAlign w:val="center"/>
          </w:tcPr>
          <w:p>
            <w:pPr>
              <w:pStyle w:val="TableContents"/>
              <w:bidi w:val="0"/>
              <w:spacing w:before="0" w:after="283"/>
              <w:jc w:val="center"/>
              <w:rPr/>
            </w:pPr>
            <w:r>
              <w:rPr/>
              <w:t> </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Cash collateral, reverse repurchase agreements and securities borrowing</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542,521</w:t>
            </w:r>
          </w:p>
        </w:tc>
        <w:tc>
          <w:tcPr>
            <w:tcW w:w="1535" w:type="dxa"/>
            <w:tcBorders/>
            <w:vAlign w:val="center"/>
          </w:tcPr>
          <w:p>
            <w:pPr>
              <w:pStyle w:val="TableContents"/>
              <w:bidi w:val="0"/>
              <w:spacing w:before="0" w:after="283"/>
              <w:jc w:val="right"/>
              <w:rPr/>
            </w:pPr>
            <w:r>
              <w:rPr/>
              <w:t>           </w:t>
            </w:r>
            <w:r>
              <w:rPr>
                <w:b/>
                <w:sz w:val="16"/>
              </w:rPr>
              <w:t>232,059</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537,814</w:t>
            </w:r>
          </w:p>
        </w:tc>
        <w:tc>
          <w:tcPr>
            <w:tcW w:w="559" w:type="dxa"/>
            <w:tcBorders/>
            <w:shd w:fill="FFFFFF" w:val="clear"/>
            <w:vAlign w:val="center"/>
          </w:tcPr>
          <w:p>
            <w:pPr>
              <w:pStyle w:val="TableContents"/>
              <w:bidi w:val="0"/>
              <w:spacing w:before="0" w:after="283"/>
              <w:jc w:val="center"/>
              <w:rPr>
                <w:b/>
                <w:sz w:val="16"/>
              </w:rPr>
            </w:pPr>
            <w:r>
              <w:rPr>
                <w:b/>
                <w:sz w:val="16"/>
              </w:rPr>
              <w:t>131.8%</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-0.9%</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   </w:t>
            </w:r>
          </w:p>
        </w:tc>
        <w:tc>
          <w:tcPr>
            <w:tcW w:w="1535" w:type="dxa"/>
            <w:tcBorders/>
            <w:vAlign w:val="center"/>
          </w:tcPr>
          <w:p>
            <w:pPr>
              <w:pStyle w:val="TableContents"/>
              <w:bidi w:val="0"/>
              <w:spacing w:before="0" w:after="283"/>
              <w:jc w:val="right"/>
              <w:rPr/>
            </w:pPr>
            <w:r>
              <w:rPr/>
              <w:t>                      </w:t>
            </w:r>
            <w:r>
              <w:rPr>
                <w:b/>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   </w:t>
            </w:r>
          </w:p>
        </w:tc>
        <w:tc>
          <w:tcPr>
            <w:tcW w:w="559" w:type="dxa"/>
            <w:tcBorders/>
            <w:shd w:fill="FFFFFF" w:val="clear"/>
            <w:vAlign w:val="center"/>
          </w:tcPr>
          <w:p>
            <w:pPr>
              <w:pStyle w:val="TableContents"/>
              <w:bidi w:val="0"/>
              <w:spacing w:before="0" w:after="283"/>
              <w:jc w:val="center"/>
              <w:rPr/>
            </w:pPr>
            <w:r>
              <w:rPr/>
              <w:t> </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Fair value through profit or loss investments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163,187</w:t>
            </w:r>
          </w:p>
        </w:tc>
        <w:tc>
          <w:tcPr>
            <w:tcW w:w="1535" w:type="dxa"/>
            <w:tcBorders/>
            <w:vAlign w:val="center"/>
          </w:tcPr>
          <w:p>
            <w:pPr>
              <w:pStyle w:val="TableContents"/>
              <w:bidi w:val="0"/>
              <w:spacing w:before="0" w:after="283"/>
              <w:jc w:val="right"/>
              <w:rPr/>
            </w:pPr>
            <w:r>
              <w:rPr/>
              <w:t>             </w:t>
            </w:r>
            <w:r>
              <w:rPr>
                <w:b/>
                <w:sz w:val="16"/>
              </w:rPr>
              <w:t>39,638</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221,253</w:t>
            </w:r>
          </w:p>
        </w:tc>
        <w:tc>
          <w:tcPr>
            <w:tcW w:w="559" w:type="dxa"/>
            <w:tcBorders/>
            <w:shd w:fill="FFFFFF" w:val="clear"/>
            <w:vAlign w:val="center"/>
          </w:tcPr>
          <w:p>
            <w:pPr>
              <w:pStyle w:val="TableContents"/>
              <w:bidi w:val="0"/>
              <w:spacing w:before="0" w:after="283"/>
              <w:jc w:val="center"/>
              <w:rPr>
                <w:b/>
                <w:sz w:val="16"/>
              </w:rPr>
            </w:pPr>
            <w:r>
              <w:rPr>
                <w:b/>
                <w:sz w:val="16"/>
              </w:rPr>
              <w:t>458.2%</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35.6%</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Fair value through other comprehensive income investments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16,569,716</w:t>
            </w:r>
          </w:p>
        </w:tc>
        <w:tc>
          <w:tcPr>
            <w:tcW w:w="1535" w:type="dxa"/>
            <w:tcBorders/>
            <w:vAlign w:val="center"/>
          </w:tcPr>
          <w:p>
            <w:pPr>
              <w:pStyle w:val="TableContents"/>
              <w:bidi w:val="0"/>
              <w:spacing w:before="0" w:after="283"/>
              <w:jc w:val="right"/>
              <w:rPr/>
            </w:pPr>
            <w:r>
              <w:rPr/>
              <w:t>     </w:t>
            </w:r>
            <w:r>
              <w:rPr>
                <w:b/>
                <w:sz w:val="16"/>
              </w:rPr>
              <w:t>16,582,128</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15,738,281</w:t>
            </w:r>
          </w:p>
        </w:tc>
        <w:tc>
          <w:tcPr>
            <w:tcW w:w="559" w:type="dxa"/>
            <w:tcBorders/>
            <w:shd w:fill="FFFFFF" w:val="clear"/>
            <w:vAlign w:val="center"/>
          </w:tcPr>
          <w:p>
            <w:pPr>
              <w:pStyle w:val="TableContents"/>
              <w:bidi w:val="0"/>
              <w:spacing w:before="0" w:after="283"/>
              <w:jc w:val="center"/>
              <w:rPr>
                <w:b/>
                <w:sz w:val="16"/>
              </w:rPr>
            </w:pPr>
            <w:r>
              <w:rPr>
                <w:b/>
                <w:sz w:val="16"/>
              </w:rPr>
              <w:t>-5.1%</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-5.0%</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Amortized cost investments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7,331,851</w:t>
            </w:r>
          </w:p>
        </w:tc>
        <w:tc>
          <w:tcPr>
            <w:tcW w:w="1535" w:type="dxa"/>
            <w:tcBorders/>
            <w:vAlign w:val="center"/>
          </w:tcPr>
          <w:p>
            <w:pPr>
              <w:pStyle w:val="TableContents"/>
              <w:bidi w:val="0"/>
              <w:spacing w:before="0" w:after="283"/>
              <w:jc w:val="right"/>
              <w:rPr/>
            </w:pPr>
            <w:r>
              <w:rPr/>
              <w:t>       </w:t>
            </w:r>
            <w:r>
              <w:rPr>
                <w:b/>
                <w:sz w:val="16"/>
              </w:rPr>
              <w:t>9,369,229</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9,467,981</w:t>
            </w:r>
          </w:p>
        </w:tc>
        <w:tc>
          <w:tcPr>
            <w:tcW w:w="559" w:type="dxa"/>
            <w:tcBorders/>
            <w:shd w:fill="FFFFFF" w:val="clear"/>
            <w:vAlign w:val="center"/>
          </w:tcPr>
          <w:p>
            <w:pPr>
              <w:pStyle w:val="TableContents"/>
              <w:bidi w:val="0"/>
              <w:spacing w:before="0" w:after="283"/>
              <w:jc w:val="center"/>
              <w:rPr>
                <w:b/>
                <w:sz w:val="16"/>
              </w:rPr>
            </w:pPr>
            <w:r>
              <w:rPr>
                <w:b/>
                <w:sz w:val="16"/>
              </w:rPr>
              <w:t>1.1%</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29.1%</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9" w:type="dxa"/>
            <w:tcBorders/>
            <w:shd w:fill="FFFFFF" w:val="clear"/>
            <w:vAlign w:val="center"/>
          </w:tcPr>
          <w:p>
            <w:pPr>
              <w:pStyle w:val="TableContents"/>
              <w:bidi w:val="0"/>
              <w:spacing w:before="0" w:after="283"/>
              <w:jc w:val="center"/>
              <w:rPr/>
            </w:pPr>
            <w:r>
              <w:rPr/>
              <w:t> </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243"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Loans</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125,535,209</w:t>
            </w:r>
          </w:p>
        </w:tc>
        <w:tc>
          <w:tcPr>
            <w:tcW w:w="1535" w:type="dxa"/>
            <w:tcBorders/>
            <w:vAlign w:val="center"/>
          </w:tcPr>
          <w:p>
            <w:pPr>
              <w:pStyle w:val="TableContents"/>
              <w:bidi w:val="0"/>
              <w:spacing w:before="0" w:after="283"/>
              <w:jc w:val="right"/>
              <w:rPr/>
            </w:pPr>
            <w:r>
              <w:rPr/>
              <w:t>   </w:t>
            </w:r>
            <w:r>
              <w:rPr>
                <w:b/>
                <w:sz w:val="16"/>
              </w:rPr>
              <w:t>119,751,399</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117,611,694</w:t>
            </w:r>
          </w:p>
        </w:tc>
        <w:tc>
          <w:tcPr>
            <w:tcW w:w="559" w:type="dxa"/>
            <w:tcBorders/>
            <w:shd w:fill="FFFFFF" w:val="clear"/>
            <w:vAlign w:val="center"/>
          </w:tcPr>
          <w:p>
            <w:pPr>
              <w:pStyle w:val="TableContents"/>
              <w:bidi w:val="0"/>
              <w:spacing w:before="0" w:after="283"/>
              <w:jc w:val="center"/>
              <w:rPr>
                <w:b/>
                <w:sz w:val="16"/>
              </w:rPr>
            </w:pPr>
            <w:r>
              <w:rPr>
                <w:b/>
                <w:sz w:val="16"/>
              </w:rPr>
              <w:t>-1.8%</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-6.3%</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sz w:val="16"/>
              </w:rPr>
            </w:pPr>
            <w:r>
              <w:rPr>
                <w:sz w:val="16"/>
              </w:rPr>
              <w:t>Current</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120,657,794</w:t>
            </w:r>
          </w:p>
        </w:tc>
        <w:tc>
          <w:tcPr>
            <w:tcW w:w="1535" w:type="dxa"/>
            <w:tcBorders/>
            <w:vAlign w:val="center"/>
          </w:tcPr>
          <w:p>
            <w:pPr>
              <w:pStyle w:val="TableContents"/>
              <w:bidi w:val="0"/>
              <w:spacing w:before="0" w:after="283"/>
              <w:jc w:val="right"/>
              <w:rPr/>
            </w:pPr>
            <w:r>
              <w:rPr/>
              <w:t>   </w:t>
            </w:r>
            <w:r>
              <w:rPr>
                <w:sz w:val="16"/>
              </w:rPr>
              <w:t>115,009,487</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112,818,171</w:t>
            </w:r>
          </w:p>
        </w:tc>
        <w:tc>
          <w:tcPr>
            <w:tcW w:w="559" w:type="dxa"/>
            <w:tcBorders/>
            <w:shd w:fill="FFFFFF" w:val="clear"/>
            <w:vAlign w:val="center"/>
          </w:tcPr>
          <w:p>
            <w:pPr>
              <w:pStyle w:val="TableContents"/>
              <w:bidi w:val="0"/>
              <w:spacing w:before="0" w:after="283"/>
              <w:jc w:val="center"/>
              <w:rPr>
                <w:sz w:val="16"/>
              </w:rPr>
            </w:pPr>
            <w:r>
              <w:rPr>
                <w:sz w:val="16"/>
              </w:rPr>
              <w:t>-1.9%</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-6.5%</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before="0" w:after="283"/>
              <w:jc w:val="left"/>
              <w:rPr>
                <w:sz w:val="16"/>
              </w:rPr>
            </w:pPr>
            <w:r>
              <w:rPr>
                <w:sz w:val="16"/>
              </w:rPr>
              <w:t>Internal overdue loans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4,877,415</w:t>
            </w:r>
          </w:p>
        </w:tc>
        <w:tc>
          <w:tcPr>
            <w:tcW w:w="1535" w:type="dxa"/>
            <w:tcBorders/>
            <w:vAlign w:val="center"/>
          </w:tcPr>
          <w:p>
            <w:pPr>
              <w:pStyle w:val="TableContents"/>
              <w:bidi w:val="0"/>
              <w:spacing w:before="0" w:after="283"/>
              <w:jc w:val="right"/>
              <w:rPr/>
            </w:pPr>
            <w:r>
              <w:rPr/>
              <w:t>       </w:t>
            </w:r>
            <w:r>
              <w:rPr>
                <w:sz w:val="16"/>
              </w:rPr>
              <w:t>4,741,912</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4,793,523</w:t>
            </w:r>
          </w:p>
        </w:tc>
        <w:tc>
          <w:tcPr>
            <w:tcW w:w="559" w:type="dxa"/>
            <w:tcBorders/>
            <w:shd w:fill="FFFFFF" w:val="clear"/>
            <w:vAlign w:val="center"/>
          </w:tcPr>
          <w:p>
            <w:pPr>
              <w:pStyle w:val="TableContents"/>
              <w:bidi w:val="0"/>
              <w:spacing w:before="0" w:after="283"/>
              <w:jc w:val="center"/>
              <w:rPr>
                <w:sz w:val="16"/>
              </w:rPr>
            </w:pPr>
            <w:r>
              <w:rPr>
                <w:sz w:val="16"/>
              </w:rPr>
              <w:t>1.1%</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-1.7%</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before="0" w:after="283"/>
              <w:jc w:val="left"/>
              <w:rPr>
                <w:sz w:val="16"/>
              </w:rPr>
            </w:pPr>
            <w:r>
              <w:rPr>
                <w:sz w:val="16"/>
              </w:rPr>
              <w:t>Less - allowance for loan losses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(6,636,936)</w:t>
            </w:r>
          </w:p>
        </w:tc>
        <w:tc>
          <w:tcPr>
            <w:tcW w:w="1535" w:type="dxa"/>
            <w:tcBorders/>
            <w:vAlign w:val="center"/>
          </w:tcPr>
          <w:p>
            <w:pPr>
              <w:pStyle w:val="TableContents"/>
              <w:bidi w:val="0"/>
              <w:spacing w:before="0" w:after="283"/>
              <w:jc w:val="right"/>
              <w:rPr/>
            </w:pPr>
            <w:r>
              <w:rPr/>
              <w:t>      </w:t>
            </w:r>
            <w:r>
              <w:rPr>
                <w:sz w:val="16"/>
              </w:rPr>
              <w:t>(6,404,541)</w:t>
            </w:r>
          </w:p>
        </w:tc>
        <w:tc>
          <w:tcPr>
            <w:tcW w:w="1535" w:type="dxa"/>
            <w:tcBorders>
              <w:right w:val="single" w:sz="8" w:space="0" w:color="000000"/>
            </w:tcBorders>
            <w:tcMar>
              <w:right w:w="28" w:type="dxa"/>
            </w:tcMar>
            <w:vAlign w:val="center"/>
          </w:tcPr>
          <w:p>
            <w:pPr>
              <w:pStyle w:val="TableContents"/>
              <w:bidi w:val="0"/>
              <w:spacing w:before="0" w:after="283"/>
              <w:jc w:val="right"/>
              <w:rPr/>
            </w:pPr>
            <w:r>
              <w:rPr/>
              <w:t>      </w:t>
            </w:r>
            <w:r>
              <w:rPr>
                <w:sz w:val="16"/>
              </w:rPr>
              <w:t>(6,410,732)</w:t>
            </w:r>
          </w:p>
        </w:tc>
        <w:tc>
          <w:tcPr>
            <w:tcW w:w="559" w:type="dxa"/>
            <w:tcBorders/>
            <w:shd w:fill="FFFFFF" w:val="clear"/>
            <w:vAlign w:val="center"/>
          </w:tcPr>
          <w:p>
            <w:pPr>
              <w:pStyle w:val="TableContents"/>
              <w:bidi w:val="0"/>
              <w:spacing w:before="0" w:after="283"/>
              <w:jc w:val="center"/>
              <w:rPr>
                <w:sz w:val="16"/>
              </w:rPr>
            </w:pPr>
            <w:r>
              <w:rPr>
                <w:sz w:val="16"/>
              </w:rPr>
              <w:t>0.1%</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-3.4%</w:t>
            </w:r>
          </w:p>
        </w:tc>
      </w:tr>
      <w:tr>
        <w:trPr/>
        <w:tc>
          <w:tcPr>
            <w:tcW w:w="4243"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Loans, net</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118,898,273</w:t>
            </w:r>
          </w:p>
        </w:tc>
        <w:tc>
          <w:tcPr>
            <w:tcW w:w="1535" w:type="dxa"/>
            <w:tcBorders/>
            <w:vAlign w:val="center"/>
          </w:tcPr>
          <w:p>
            <w:pPr>
              <w:pStyle w:val="TableContents"/>
              <w:bidi w:val="0"/>
              <w:spacing w:before="0" w:after="283"/>
              <w:jc w:val="right"/>
              <w:rPr/>
            </w:pPr>
            <w:r>
              <w:rPr/>
              <w:t>   </w:t>
            </w:r>
            <w:r>
              <w:rPr>
                <w:b/>
                <w:sz w:val="16"/>
              </w:rPr>
              <w:t>113,346,858</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111,200,962</w:t>
            </w:r>
          </w:p>
        </w:tc>
        <w:tc>
          <w:tcPr>
            <w:tcW w:w="559" w:type="dxa"/>
            <w:tcBorders/>
            <w:shd w:fill="FFFFFF" w:val="clear"/>
            <w:vAlign w:val="center"/>
          </w:tcPr>
          <w:p>
            <w:pPr>
              <w:pStyle w:val="TableContents"/>
              <w:bidi w:val="0"/>
              <w:spacing w:before="0" w:after="283"/>
              <w:jc w:val="center"/>
              <w:rPr>
                <w:b/>
                <w:sz w:val="16"/>
              </w:rPr>
            </w:pPr>
            <w:r>
              <w:rPr>
                <w:b/>
                <w:sz w:val="16"/>
              </w:rPr>
              <w:t>-1.9%</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-6.5%</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p>
        </w:tc>
        <w:tc>
          <w:tcPr>
            <w:tcW w:w="1535" w:type="dxa"/>
            <w:tcBorders/>
            <w:vAlign w:val="center"/>
          </w:tcPr>
          <w:p>
            <w:pPr>
              <w:pStyle w:val="TableContents"/>
              <w:bidi w:val="0"/>
              <w:spacing w:before="0" w:after="283"/>
              <w:jc w:val="right"/>
              <w:rPr/>
            </w:pPr>
            <w:r>
              <w:rPr/>
              <w:t>                      </w:t>
            </w:r>
            <w:r>
              <w:rPr>
                <w:b/>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   </w:t>
            </w:r>
          </w:p>
        </w:tc>
        <w:tc>
          <w:tcPr>
            <w:tcW w:w="559" w:type="dxa"/>
            <w:tcBorders/>
            <w:shd w:fill="FFFFFF" w:val="clear"/>
            <w:vAlign w:val="center"/>
          </w:tcPr>
          <w:p>
            <w:pPr>
              <w:pStyle w:val="TableContents"/>
              <w:bidi w:val="0"/>
              <w:spacing w:before="0" w:after="283"/>
              <w:jc w:val="center"/>
              <w:rPr/>
            </w:pPr>
            <w:r>
              <w:rPr/>
              <w:t> </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lineRule="auto" w:line="240" w:before="0" w:after="283"/>
              <w:jc w:val="left"/>
              <w:rPr>
                <w:b/>
                <w:sz w:val="16"/>
              </w:rPr>
            </w:pPr>
            <w:r>
              <w:rPr>
                <w:b/>
                <w:sz w:val="16"/>
              </w:rPr>
              <w:t xml:space="preserve">Property, furniture and equipment, net </w:t>
            </w:r>
            <w:r>
              <w:rPr>
                <w:rFonts w:ascii="Arial;Helvetica;Sans-Serif" w:hAnsi="Arial;Helvetica;Sans-Serif"/>
                <w:b/>
                <w:i w:val="false"/>
                <w:caps w:val="false"/>
                <w:smallCaps w:val="false"/>
                <w:sz w:val="16"/>
              </w:rPr>
              <w:t>(1)</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1,291,209</w:t>
            </w:r>
          </w:p>
        </w:tc>
        <w:tc>
          <w:tcPr>
            <w:tcW w:w="1535" w:type="dxa"/>
            <w:tcBorders/>
            <w:vAlign w:val="center"/>
          </w:tcPr>
          <w:p>
            <w:pPr>
              <w:pStyle w:val="TableContents"/>
              <w:bidi w:val="0"/>
              <w:spacing w:before="0" w:after="283"/>
              <w:jc w:val="right"/>
              <w:rPr/>
            </w:pPr>
            <w:r>
              <w:rPr/>
              <w:t>       </w:t>
            </w:r>
            <w:r>
              <w:rPr>
                <w:b/>
                <w:sz w:val="16"/>
              </w:rPr>
              <w:t>1,238,722</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1,217,932</w:t>
            </w:r>
          </w:p>
        </w:tc>
        <w:tc>
          <w:tcPr>
            <w:tcW w:w="559" w:type="dxa"/>
            <w:tcBorders/>
            <w:shd w:fill="FFFFFF" w:val="clear"/>
            <w:vAlign w:val="center"/>
          </w:tcPr>
          <w:p>
            <w:pPr>
              <w:pStyle w:val="TableContents"/>
              <w:bidi w:val="0"/>
              <w:spacing w:before="0" w:after="283"/>
              <w:jc w:val="center"/>
              <w:rPr>
                <w:b/>
                <w:sz w:val="16"/>
              </w:rPr>
            </w:pPr>
            <w:r>
              <w:rPr>
                <w:b/>
                <w:sz w:val="16"/>
              </w:rPr>
              <w:t>-1.7%</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-5.7%</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Due from customers on acceptances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743,925</w:t>
            </w:r>
          </w:p>
        </w:tc>
        <w:tc>
          <w:tcPr>
            <w:tcW w:w="1535" w:type="dxa"/>
            <w:tcBorders/>
            <w:vAlign w:val="center"/>
          </w:tcPr>
          <w:p>
            <w:pPr>
              <w:pStyle w:val="TableContents"/>
              <w:bidi w:val="0"/>
              <w:spacing w:before="0" w:after="283"/>
              <w:jc w:val="right"/>
              <w:rPr/>
            </w:pPr>
            <w:r>
              <w:rPr/>
              <w:t>           </w:t>
            </w:r>
            <w:r>
              <w:rPr>
                <w:b/>
                <w:sz w:val="16"/>
              </w:rPr>
              <w:t>496,170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226,161</w:t>
            </w:r>
          </w:p>
        </w:tc>
        <w:tc>
          <w:tcPr>
            <w:tcW w:w="559" w:type="dxa"/>
            <w:tcBorders/>
            <w:shd w:fill="FFFFFF" w:val="clear"/>
            <w:vAlign w:val="center"/>
          </w:tcPr>
          <w:p>
            <w:pPr>
              <w:pStyle w:val="TableContents"/>
              <w:bidi w:val="0"/>
              <w:spacing w:before="0" w:after="283"/>
              <w:jc w:val="center"/>
              <w:rPr>
                <w:b/>
                <w:sz w:val="16"/>
              </w:rPr>
            </w:pPr>
            <w:r>
              <w:rPr>
                <w:b/>
                <w:sz w:val="16"/>
              </w:rPr>
              <w:t>-54.4%</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-69.6%</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Investments in associates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2,541,615</w:t>
            </w:r>
          </w:p>
        </w:tc>
        <w:tc>
          <w:tcPr>
            <w:tcW w:w="1535" w:type="dxa"/>
            <w:tcBorders/>
            <w:vAlign w:val="center"/>
          </w:tcPr>
          <w:p>
            <w:pPr>
              <w:pStyle w:val="TableContents"/>
              <w:bidi w:val="0"/>
              <w:spacing w:before="0" w:after="283"/>
              <w:jc w:val="right"/>
              <w:rPr/>
            </w:pPr>
            <w:r>
              <w:rPr/>
              <w:t>       </w:t>
            </w:r>
            <w:r>
              <w:rPr>
                <w:b/>
                <w:sz w:val="16"/>
              </w:rPr>
              <w:t>2,736,368</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2,800,043</w:t>
            </w:r>
          </w:p>
        </w:tc>
        <w:tc>
          <w:tcPr>
            <w:tcW w:w="559" w:type="dxa"/>
            <w:tcBorders/>
            <w:shd w:fill="FFFFFF" w:val="clear"/>
            <w:vAlign w:val="center"/>
          </w:tcPr>
          <w:p>
            <w:pPr>
              <w:pStyle w:val="TableContents"/>
              <w:bidi w:val="0"/>
              <w:spacing w:before="0" w:after="283"/>
              <w:jc w:val="center"/>
              <w:rPr>
                <w:b/>
                <w:sz w:val="16"/>
              </w:rPr>
            </w:pPr>
            <w:r>
              <w:rPr>
                <w:b/>
                <w:sz w:val="16"/>
              </w:rPr>
              <w:t>2.3%</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10.2%</w:t>
            </w:r>
          </w:p>
        </w:tc>
      </w:tr>
      <w:tr>
        <w:trPr/>
        <w:tc>
          <w:tcPr>
            <w:tcW w:w="4243" w:type="dxa"/>
            <w:gridSpan w:val="2"/>
            <w:tcBorders>
              <w:left w:val="single" w:sz="8" w:space="0" w:color="000000"/>
            </w:tcBorders>
            <w:shd w:fill="FFFFFF" w:val="clear"/>
            <w:tcMar>
              <w:left w:w="28" w:type="dxa"/>
            </w:tcMar>
            <w:vAlign w:val="center"/>
          </w:tcPr>
          <w:p>
            <w:pPr>
              <w:pStyle w:val="TableContents"/>
              <w:bidi w:val="0"/>
              <w:spacing w:lineRule="auto" w:line="240" w:before="0" w:after="283"/>
              <w:jc w:val="left"/>
              <w:rPr>
                <w:b/>
                <w:sz w:val="16"/>
              </w:rPr>
            </w:pPr>
            <w:r>
              <w:rPr>
                <w:b/>
                <w:sz w:val="16"/>
              </w:rPr>
              <w:t xml:space="preserve">Other assets </w:t>
            </w:r>
            <w:r>
              <w:rPr>
                <w:rFonts w:ascii="Arial;Helvetica;Sans-Serif" w:hAnsi="Arial;Helvetica;Sans-Serif"/>
                <w:b w:val="false"/>
                <w:i w:val="false"/>
                <w:caps w:val="false"/>
                <w:smallCaps w:val="false"/>
                <w:sz w:val="16"/>
              </w:rPr>
              <w:t>(2)</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6,295,694</w:t>
            </w:r>
          </w:p>
        </w:tc>
        <w:tc>
          <w:tcPr>
            <w:tcW w:w="1535" w:type="dxa"/>
            <w:tcBorders/>
            <w:vAlign w:val="center"/>
          </w:tcPr>
          <w:p>
            <w:pPr>
              <w:pStyle w:val="TableContents"/>
              <w:bidi w:val="0"/>
              <w:spacing w:before="0" w:after="283"/>
              <w:jc w:val="right"/>
              <w:rPr/>
            </w:pPr>
            <w:r>
              <w:rPr/>
              <w:t>       </w:t>
            </w:r>
            <w:r>
              <w:rPr>
                <w:b/>
                <w:sz w:val="16"/>
              </w:rPr>
              <w:t>6,203,938</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7,015,286</w:t>
            </w:r>
          </w:p>
        </w:tc>
        <w:tc>
          <w:tcPr>
            <w:tcW w:w="559" w:type="dxa"/>
            <w:tcBorders/>
            <w:shd w:fill="FFFFFF" w:val="clear"/>
            <w:vAlign w:val="center"/>
          </w:tcPr>
          <w:p>
            <w:pPr>
              <w:pStyle w:val="TableContents"/>
              <w:bidi w:val="0"/>
              <w:spacing w:before="0" w:after="283"/>
              <w:jc w:val="center"/>
              <w:rPr>
                <w:b/>
                <w:sz w:val="16"/>
              </w:rPr>
            </w:pPr>
            <w:r>
              <w:rPr>
                <w:b/>
                <w:sz w:val="16"/>
              </w:rPr>
              <w:t>13.1%</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11.4%</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9" w:type="dxa"/>
            <w:tcBorders/>
            <w:shd w:fill="FFFFFF" w:val="clear"/>
            <w:vAlign w:val="center"/>
          </w:tcPr>
          <w:p>
            <w:pPr>
              <w:pStyle w:val="TableContents"/>
              <w:bidi w:val="0"/>
              <w:spacing w:before="0" w:after="283"/>
              <w:jc w:val="center"/>
              <w:rPr/>
            </w:pPr>
            <w:r>
              <w:rPr/>
              <w:t> </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Assets</w:t>
            </w:r>
          </w:p>
        </w:tc>
        <w:tc>
          <w:tcPr>
            <w:tcW w:w="1535" w:type="dxa"/>
            <w:tcBorders>
              <w:left w:val="single" w:sz="8" w:space="0" w:color="000000"/>
            </w:tcBorders>
            <w:tcMar>
              <w:left w:w="28" w:type="dxa"/>
            </w:tcMar>
            <w:vAlign w:val="center"/>
          </w:tcPr>
          <w:p>
            <w:pPr>
              <w:pStyle w:val="TableContents"/>
              <w:bidi w:val="0"/>
              <w:spacing w:before="0" w:after="283"/>
              <w:jc w:val="right"/>
              <w:rPr>
                <w:b/>
                <w:sz w:val="16"/>
              </w:rPr>
            </w:pPr>
            <w:r>
              <w:rPr>
                <w:b/>
                <w:sz w:val="16"/>
              </w:rPr>
              <w:t>180,834,850</w:t>
            </w:r>
          </w:p>
        </w:tc>
        <w:tc>
          <w:tcPr>
            <w:tcW w:w="1535" w:type="dxa"/>
            <w:tcBorders/>
            <w:vAlign w:val="center"/>
          </w:tcPr>
          <w:p>
            <w:pPr>
              <w:pStyle w:val="TableContents"/>
              <w:bidi w:val="0"/>
              <w:spacing w:before="0" w:after="283"/>
              <w:jc w:val="right"/>
              <w:rPr>
                <w:b/>
                <w:sz w:val="16"/>
              </w:rPr>
            </w:pPr>
            <w:r>
              <w:rPr>
                <w:b/>
                <w:sz w:val="16"/>
              </w:rPr>
              <w:t>181,130,742</w:t>
            </w:r>
          </w:p>
        </w:tc>
        <w:tc>
          <w:tcPr>
            <w:tcW w:w="1535" w:type="dxa"/>
            <w:tcBorders>
              <w:right w:val="single" w:sz="8" w:space="0" w:color="000000"/>
            </w:tcBorders>
            <w:tcMar>
              <w:right w:w="60" w:type="dxa"/>
            </w:tcMar>
            <w:vAlign w:val="center"/>
          </w:tcPr>
          <w:p>
            <w:pPr>
              <w:pStyle w:val="TableContents"/>
              <w:bidi w:val="0"/>
              <w:spacing w:before="0" w:after="283"/>
              <w:jc w:val="right"/>
              <w:rPr>
                <w:b/>
                <w:sz w:val="16"/>
              </w:rPr>
            </w:pPr>
            <w:r>
              <w:rPr>
                <w:b/>
                <w:sz w:val="16"/>
              </w:rPr>
              <w:t>177,368,492</w:t>
            </w:r>
          </w:p>
        </w:tc>
        <w:tc>
          <w:tcPr>
            <w:tcW w:w="559" w:type="dxa"/>
            <w:tcBorders/>
            <w:shd w:fill="FFFFFF" w:val="clear"/>
            <w:vAlign w:val="center"/>
          </w:tcPr>
          <w:p>
            <w:pPr>
              <w:pStyle w:val="TableContents"/>
              <w:bidi w:val="0"/>
              <w:spacing w:before="0" w:after="283"/>
              <w:jc w:val="center"/>
              <w:rPr>
                <w:b/>
                <w:sz w:val="16"/>
              </w:rPr>
            </w:pPr>
            <w:r>
              <w:rPr>
                <w:b/>
                <w:sz w:val="16"/>
              </w:rPr>
              <w:t>-2.1%</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-1.9%</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9" w:type="dxa"/>
            <w:tcBorders/>
            <w:shd w:fill="FFFFFF" w:val="clear"/>
            <w:vAlign w:val="center"/>
          </w:tcPr>
          <w:p>
            <w:pPr>
              <w:pStyle w:val="TableContents"/>
              <w:bidi w:val="0"/>
              <w:spacing w:before="0" w:after="283"/>
              <w:jc w:val="center"/>
              <w:rPr/>
            </w:pPr>
            <w:r>
              <w:rPr/>
              <w:t> </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Liabilities and Equity</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9" w:type="dxa"/>
            <w:tcBorders/>
            <w:shd w:fill="FFFFFF" w:val="clear"/>
            <w:vAlign w:val="center"/>
          </w:tcPr>
          <w:p>
            <w:pPr>
              <w:pStyle w:val="TableContents"/>
              <w:bidi w:val="0"/>
              <w:spacing w:before="0" w:after="283"/>
              <w:jc w:val="center"/>
              <w:rPr/>
            </w:pPr>
            <w:r>
              <w:rPr/>
              <w:t> </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243" w:type="dxa"/>
            <w:gridSpan w:val="2"/>
            <w:tcBorders>
              <w:left w:val="single" w:sz="8" w:space="0" w:color="000000"/>
            </w:tcBorders>
            <w:tcMar>
              <w:left w:w="28" w:type="dxa"/>
            </w:tcMar>
            <w:vAlign w:val="center"/>
          </w:tcPr>
          <w:p>
            <w:pPr>
              <w:pStyle w:val="TableContents"/>
              <w:bidi w:val="0"/>
              <w:spacing w:before="0" w:after="283"/>
              <w:jc w:val="left"/>
              <w:rPr>
                <w:b/>
                <w:sz w:val="16"/>
              </w:rPr>
            </w:pPr>
            <w:r>
              <w:rPr>
                <w:b/>
                <w:sz w:val="16"/>
              </w:rPr>
              <w:t>Deposits and obligations</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9" w:type="dxa"/>
            <w:tcBorders/>
            <w:vAlign w:val="center"/>
          </w:tcPr>
          <w:p>
            <w:pPr>
              <w:pStyle w:val="TableContents"/>
              <w:bidi w:val="0"/>
              <w:spacing w:before="0" w:after="283"/>
              <w:jc w:val="center"/>
              <w:rPr/>
            </w:pPr>
            <w:r>
              <w:rPr/>
              <w:t> </w:t>
            </w:r>
          </w:p>
        </w:tc>
        <w:tc>
          <w:tcPr>
            <w:tcW w:w="533"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lineRule="auto" w:line="240" w:before="0" w:after="283"/>
              <w:jc w:val="left"/>
              <w:rPr>
                <w:sz w:val="16"/>
              </w:rPr>
            </w:pPr>
            <w:r>
              <w:rPr>
                <w:sz w:val="16"/>
              </w:rPr>
              <w:t>Non-interest bearing</w:t>
            </w:r>
            <w:r>
              <w:rPr>
                <w:caps w:val="false"/>
                <w:smallCaps w:val="false"/>
                <w:sz w:val="16"/>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40,978,979</w:t>
            </w:r>
          </w:p>
        </w:tc>
        <w:tc>
          <w:tcPr>
            <w:tcW w:w="1535" w:type="dxa"/>
            <w:tcBorders/>
            <w:vAlign w:val="center"/>
          </w:tcPr>
          <w:p>
            <w:pPr>
              <w:pStyle w:val="TableContents"/>
              <w:bidi w:val="0"/>
              <w:spacing w:before="0" w:after="283"/>
              <w:jc w:val="right"/>
              <w:rPr/>
            </w:pPr>
            <w:r>
              <w:rPr/>
              <w:t>     </w:t>
            </w:r>
            <w:r>
              <w:rPr>
                <w:sz w:val="16"/>
              </w:rPr>
              <w:t>37,968,322</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36,465,910</w:t>
            </w:r>
          </w:p>
        </w:tc>
        <w:tc>
          <w:tcPr>
            <w:tcW w:w="559" w:type="dxa"/>
            <w:tcBorders/>
            <w:shd w:fill="FFFFFF" w:val="clear"/>
            <w:vAlign w:val="center"/>
          </w:tcPr>
          <w:p>
            <w:pPr>
              <w:pStyle w:val="TableContents"/>
              <w:bidi w:val="0"/>
              <w:spacing w:before="0" w:after="283"/>
              <w:jc w:val="center"/>
              <w:rPr>
                <w:sz w:val="16"/>
              </w:rPr>
            </w:pPr>
            <w:r>
              <w:rPr>
                <w:sz w:val="16"/>
              </w:rPr>
              <w:t>-4.0%</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-11.0%</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lineRule="auto" w:line="240" w:before="0" w:after="283"/>
              <w:jc w:val="left"/>
              <w:rPr>
                <w:sz w:val="16"/>
              </w:rPr>
            </w:pPr>
            <w:r>
              <w:rPr>
                <w:sz w:val="16"/>
              </w:rPr>
              <w:t>Interest bearing</w:t>
            </w:r>
            <w:r>
              <w:rPr>
                <w:caps w:val="false"/>
                <w:smallCaps w:val="false"/>
                <w:sz w:val="16"/>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79,282,172</w:t>
            </w:r>
          </w:p>
        </w:tc>
        <w:tc>
          <w:tcPr>
            <w:tcW w:w="1535" w:type="dxa"/>
            <w:tcBorders/>
            <w:vAlign w:val="center"/>
          </w:tcPr>
          <w:p>
            <w:pPr>
              <w:pStyle w:val="TableContents"/>
              <w:bidi w:val="0"/>
              <w:spacing w:before="0" w:after="283"/>
              <w:jc w:val="right"/>
              <w:rPr/>
            </w:pPr>
            <w:r>
              <w:rPr/>
              <w:t>     </w:t>
            </w:r>
            <w:r>
              <w:rPr>
                <w:sz w:val="16"/>
              </w:rPr>
              <w:t>84,477,317</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81,295,129</w:t>
            </w:r>
          </w:p>
        </w:tc>
        <w:tc>
          <w:tcPr>
            <w:tcW w:w="559" w:type="dxa"/>
            <w:tcBorders/>
            <w:shd w:fill="FFFFFF" w:val="clear"/>
            <w:vAlign w:val="center"/>
          </w:tcPr>
          <w:p>
            <w:pPr>
              <w:pStyle w:val="TableContents"/>
              <w:bidi w:val="0"/>
              <w:spacing w:before="0" w:after="283"/>
              <w:jc w:val="center"/>
              <w:rPr>
                <w:sz w:val="16"/>
              </w:rPr>
            </w:pPr>
            <w:r>
              <w:rPr>
                <w:sz w:val="16"/>
              </w:rPr>
              <w:t>-3.8%</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2.5%</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before="0" w:after="283"/>
              <w:jc w:val="left"/>
              <w:rPr>
                <w:b/>
                <w:sz w:val="16"/>
              </w:rPr>
            </w:pPr>
            <w:r>
              <w:rPr>
                <w:b/>
                <w:sz w:val="16"/>
              </w:rPr>
              <w:t>Total deposits and obligations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120,261,151</w:t>
            </w:r>
          </w:p>
        </w:tc>
        <w:tc>
          <w:tcPr>
            <w:tcW w:w="1535" w:type="dxa"/>
            <w:tcBorders/>
            <w:vAlign w:val="center"/>
          </w:tcPr>
          <w:p>
            <w:pPr>
              <w:pStyle w:val="TableContents"/>
              <w:bidi w:val="0"/>
              <w:spacing w:before="0" w:after="283"/>
              <w:jc w:val="right"/>
              <w:rPr/>
            </w:pPr>
            <w:r>
              <w:rPr/>
              <w:t>   </w:t>
            </w:r>
            <w:r>
              <w:rPr>
                <w:b/>
                <w:sz w:val="16"/>
              </w:rPr>
              <w:t>122,445,639</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117,761,039</w:t>
            </w:r>
          </w:p>
        </w:tc>
        <w:tc>
          <w:tcPr>
            <w:tcW w:w="559" w:type="dxa"/>
            <w:tcBorders/>
            <w:shd w:fill="FFFFFF" w:val="clear"/>
            <w:vAlign w:val="center"/>
          </w:tcPr>
          <w:p>
            <w:pPr>
              <w:pStyle w:val="TableContents"/>
              <w:bidi w:val="0"/>
              <w:spacing w:before="0" w:after="283"/>
              <w:jc w:val="center"/>
              <w:rPr>
                <w:b/>
                <w:sz w:val="16"/>
              </w:rPr>
            </w:pPr>
            <w:r>
              <w:rPr>
                <w:b/>
                <w:sz w:val="16"/>
              </w:rPr>
              <w:t>-3.8%</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-2.1%</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9" w:type="dxa"/>
            <w:tcBorders/>
            <w:vAlign w:val="center"/>
          </w:tcPr>
          <w:p>
            <w:pPr>
              <w:pStyle w:val="TableContents"/>
              <w:bidi w:val="0"/>
              <w:spacing w:before="0" w:after="283"/>
              <w:jc w:val="center"/>
              <w:rPr/>
            </w:pPr>
            <w:r>
              <w:rPr/>
              <w:t> </w:t>
            </w:r>
          </w:p>
        </w:tc>
        <w:tc>
          <w:tcPr>
            <w:tcW w:w="533"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243" w:type="dxa"/>
            <w:gridSpan w:val="2"/>
            <w:tcBorders>
              <w:left w:val="single" w:sz="8" w:space="0" w:color="000000"/>
            </w:tcBorders>
            <w:tcMar>
              <w:left w:w="28" w:type="dxa"/>
            </w:tcMar>
            <w:vAlign w:val="center"/>
          </w:tcPr>
          <w:p>
            <w:pPr>
              <w:pStyle w:val="TableContents"/>
              <w:bidi w:val="0"/>
              <w:spacing w:before="0" w:after="283"/>
              <w:jc w:val="left"/>
              <w:rPr>
                <w:b/>
                <w:sz w:val="16"/>
              </w:rPr>
            </w:pPr>
            <w:r>
              <w:rPr>
                <w:b/>
                <w:sz w:val="16"/>
              </w:rPr>
              <w:t>Payables from repurchase agreements and securities lending</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14,886,829</w:t>
            </w:r>
          </w:p>
        </w:tc>
        <w:tc>
          <w:tcPr>
            <w:tcW w:w="1535" w:type="dxa"/>
            <w:tcBorders/>
            <w:vAlign w:val="center"/>
          </w:tcPr>
          <w:p>
            <w:pPr>
              <w:pStyle w:val="TableContents"/>
              <w:bidi w:val="0"/>
              <w:spacing w:before="0" w:after="283"/>
              <w:jc w:val="right"/>
              <w:rPr/>
            </w:pPr>
            <w:r>
              <w:rPr/>
              <w:t>       </w:t>
            </w:r>
            <w:r>
              <w:rPr>
                <w:b/>
                <w:sz w:val="16"/>
              </w:rPr>
              <w:t>9,578,869</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11,759,891</w:t>
            </w:r>
          </w:p>
        </w:tc>
        <w:tc>
          <w:tcPr>
            <w:tcW w:w="559" w:type="dxa"/>
            <w:tcBorders/>
            <w:vAlign w:val="center"/>
          </w:tcPr>
          <w:p>
            <w:pPr>
              <w:pStyle w:val="TableContents"/>
              <w:bidi w:val="0"/>
              <w:spacing w:before="0" w:after="283"/>
              <w:jc w:val="center"/>
              <w:rPr>
                <w:b/>
                <w:sz w:val="16"/>
              </w:rPr>
            </w:pPr>
            <w:r>
              <w:rPr>
                <w:b/>
                <w:sz w:val="16"/>
              </w:rPr>
              <w:t>22.8%</w:t>
            </w:r>
          </w:p>
        </w:tc>
        <w:tc>
          <w:tcPr>
            <w:tcW w:w="533"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-21.0%</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before="0" w:after="283"/>
              <w:jc w:val="left"/>
              <w:rPr>
                <w:sz w:val="16"/>
              </w:rPr>
            </w:pPr>
            <w:r>
              <w:rPr>
                <w:sz w:val="16"/>
              </w:rPr>
              <w:t>BCRP instruments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14,339,601</w:t>
            </w:r>
          </w:p>
        </w:tc>
        <w:tc>
          <w:tcPr>
            <w:tcW w:w="1535" w:type="dxa"/>
            <w:tcBorders/>
            <w:vAlign w:val="center"/>
          </w:tcPr>
          <w:p>
            <w:pPr>
              <w:pStyle w:val="TableContents"/>
              <w:bidi w:val="0"/>
              <w:spacing w:before="0" w:after="283"/>
              <w:jc w:val="right"/>
              <w:rPr/>
            </w:pPr>
            <w:r>
              <w:rPr/>
              <w:t>       </w:t>
            </w:r>
            <w:r>
              <w:rPr>
                <w:sz w:val="16"/>
              </w:rPr>
              <w:t>9,040,723</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11,222,266</w:t>
            </w:r>
          </w:p>
        </w:tc>
        <w:tc>
          <w:tcPr>
            <w:tcW w:w="559" w:type="dxa"/>
            <w:tcBorders/>
            <w:shd w:fill="FFFFFF" w:val="clear"/>
            <w:vAlign w:val="center"/>
          </w:tcPr>
          <w:p>
            <w:pPr>
              <w:pStyle w:val="TableContents"/>
              <w:bidi w:val="0"/>
              <w:spacing w:before="0" w:after="283"/>
              <w:jc w:val="center"/>
              <w:rPr>
                <w:sz w:val="16"/>
              </w:rPr>
            </w:pPr>
            <w:r>
              <w:rPr>
                <w:sz w:val="16"/>
              </w:rPr>
              <w:t>24.1%</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-21.7%</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266" w:type="dxa"/>
            <w:gridSpan w:val="2"/>
            <w:tcBorders/>
            <w:shd w:fill="FFFFFF" w:val="clear"/>
            <w:vAlign w:val="center"/>
          </w:tcPr>
          <w:p>
            <w:pPr>
              <w:pStyle w:val="TableContents"/>
              <w:bidi w:val="0"/>
              <w:spacing w:before="0" w:after="283"/>
              <w:jc w:val="left"/>
              <w:rPr>
                <w:sz w:val="16"/>
              </w:rPr>
            </w:pPr>
            <w:r>
              <w:rPr>
                <w:sz w:val="16"/>
              </w:rPr>
              <w:t>Repurchase agreements with third parties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547,228</w:t>
            </w:r>
          </w:p>
        </w:tc>
        <w:tc>
          <w:tcPr>
            <w:tcW w:w="1535" w:type="dxa"/>
            <w:tcBorders/>
            <w:vAlign w:val="center"/>
          </w:tcPr>
          <w:p>
            <w:pPr>
              <w:pStyle w:val="TableContents"/>
              <w:bidi w:val="0"/>
              <w:spacing w:before="0" w:after="283"/>
              <w:jc w:val="right"/>
              <w:rPr/>
            </w:pPr>
            <w:r>
              <w:rPr/>
              <w:t>           </w:t>
            </w:r>
            <w:r>
              <w:rPr>
                <w:sz w:val="16"/>
              </w:rPr>
              <w:t>538,146</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537,625</w:t>
            </w:r>
          </w:p>
        </w:tc>
        <w:tc>
          <w:tcPr>
            <w:tcW w:w="559" w:type="dxa"/>
            <w:tcBorders/>
            <w:shd w:fill="FFFFFF" w:val="clear"/>
            <w:vAlign w:val="center"/>
          </w:tcPr>
          <w:p>
            <w:pPr>
              <w:pStyle w:val="TableContents"/>
              <w:bidi w:val="0"/>
              <w:spacing w:before="0" w:after="283"/>
              <w:jc w:val="center"/>
              <w:rPr>
                <w:sz w:val="16"/>
              </w:rPr>
            </w:pPr>
            <w:r>
              <w:rPr>
                <w:sz w:val="16"/>
              </w:rPr>
              <w:t>-0.1%</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-1.8%</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Due to banks and correspondents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4,946,046</w:t>
            </w:r>
          </w:p>
        </w:tc>
        <w:tc>
          <w:tcPr>
            <w:tcW w:w="1535" w:type="dxa"/>
            <w:tcBorders/>
            <w:vAlign w:val="center"/>
          </w:tcPr>
          <w:p>
            <w:pPr>
              <w:pStyle w:val="TableContents"/>
              <w:bidi w:val="0"/>
              <w:spacing w:before="0" w:after="283"/>
              <w:jc w:val="right"/>
              <w:rPr/>
            </w:pPr>
            <w:r>
              <w:rPr/>
              <w:t>       </w:t>
            </w:r>
            <w:r>
              <w:rPr>
                <w:b/>
                <w:sz w:val="16"/>
              </w:rPr>
              <w:t>8,535,930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8,670,982</w:t>
            </w:r>
          </w:p>
        </w:tc>
        <w:tc>
          <w:tcPr>
            <w:tcW w:w="559" w:type="dxa"/>
            <w:tcBorders/>
            <w:shd w:fill="FFFFFF" w:val="clear"/>
            <w:vAlign w:val="center"/>
          </w:tcPr>
          <w:p>
            <w:pPr>
              <w:pStyle w:val="TableContents"/>
              <w:bidi w:val="0"/>
              <w:spacing w:before="0" w:after="283"/>
              <w:jc w:val="center"/>
              <w:rPr>
                <w:b/>
                <w:sz w:val="16"/>
              </w:rPr>
            </w:pPr>
            <w:r>
              <w:rPr>
                <w:b/>
                <w:sz w:val="16"/>
              </w:rPr>
              <w:t>1.6%</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75.3%</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Bonds and notes issued</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13,833,991</w:t>
            </w:r>
          </w:p>
        </w:tc>
        <w:tc>
          <w:tcPr>
            <w:tcW w:w="1535" w:type="dxa"/>
            <w:tcBorders/>
            <w:vAlign w:val="center"/>
          </w:tcPr>
          <w:p>
            <w:pPr>
              <w:pStyle w:val="TableContents"/>
              <w:bidi w:val="0"/>
              <w:spacing w:before="0" w:after="283"/>
              <w:jc w:val="right"/>
              <w:rPr/>
            </w:pPr>
            <w:r>
              <w:rPr/>
              <w:t>     </w:t>
            </w:r>
            <w:r>
              <w:rPr>
                <w:b/>
                <w:sz w:val="16"/>
              </w:rPr>
              <w:t>10,396,500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10,152,890</w:t>
            </w:r>
          </w:p>
        </w:tc>
        <w:tc>
          <w:tcPr>
            <w:tcW w:w="559" w:type="dxa"/>
            <w:tcBorders/>
            <w:shd w:fill="FFFFFF" w:val="clear"/>
            <w:vAlign w:val="center"/>
          </w:tcPr>
          <w:p>
            <w:pPr>
              <w:pStyle w:val="TableContents"/>
              <w:bidi w:val="0"/>
              <w:spacing w:before="0" w:after="283"/>
              <w:jc w:val="center"/>
              <w:rPr>
                <w:b/>
                <w:sz w:val="16"/>
              </w:rPr>
            </w:pPr>
            <w:r>
              <w:rPr>
                <w:b/>
                <w:sz w:val="16"/>
              </w:rPr>
              <w:t>-2.3%</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-26.6%</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Banker’s acceptances outstanding</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743,925</w:t>
            </w:r>
          </w:p>
        </w:tc>
        <w:tc>
          <w:tcPr>
            <w:tcW w:w="1535" w:type="dxa"/>
            <w:tcBorders/>
            <w:vAlign w:val="center"/>
          </w:tcPr>
          <w:p>
            <w:pPr>
              <w:pStyle w:val="TableContents"/>
              <w:bidi w:val="0"/>
              <w:spacing w:before="0" w:after="283"/>
              <w:jc w:val="right"/>
              <w:rPr/>
            </w:pPr>
            <w:r>
              <w:rPr/>
              <w:t>           </w:t>
            </w:r>
            <w:r>
              <w:rPr>
                <w:b/>
                <w:sz w:val="16"/>
              </w:rPr>
              <w:t>496,170</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226,161</w:t>
            </w:r>
          </w:p>
        </w:tc>
        <w:tc>
          <w:tcPr>
            <w:tcW w:w="559" w:type="dxa"/>
            <w:tcBorders/>
            <w:shd w:fill="FFFFFF" w:val="clear"/>
            <w:vAlign w:val="center"/>
          </w:tcPr>
          <w:p>
            <w:pPr>
              <w:pStyle w:val="TableContents"/>
              <w:bidi w:val="0"/>
              <w:spacing w:before="0" w:after="283"/>
              <w:jc w:val="center"/>
              <w:rPr>
                <w:b/>
                <w:sz w:val="16"/>
              </w:rPr>
            </w:pPr>
            <w:r>
              <w:rPr>
                <w:b/>
                <w:sz w:val="16"/>
              </w:rPr>
              <w:t>-54.4%</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-69.6%</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Financial liabilities at fair value through profit or loss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210,393</w:t>
            </w:r>
          </w:p>
        </w:tc>
        <w:tc>
          <w:tcPr>
            <w:tcW w:w="1535" w:type="dxa"/>
            <w:tcBorders/>
            <w:vAlign w:val="center"/>
          </w:tcPr>
          <w:p>
            <w:pPr>
              <w:pStyle w:val="TableContents"/>
              <w:bidi w:val="0"/>
              <w:spacing w:before="0" w:after="283"/>
              <w:jc w:val="right"/>
              <w:rPr/>
            </w:pPr>
            <w:r>
              <w:rPr/>
              <w:t>           </w:t>
            </w:r>
            <w:r>
              <w:rPr>
                <w:b/>
                <w:sz w:val="16"/>
              </w:rPr>
              <w:t>193,031</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138,339</w:t>
            </w:r>
          </w:p>
        </w:tc>
        <w:tc>
          <w:tcPr>
            <w:tcW w:w="559" w:type="dxa"/>
            <w:tcBorders/>
            <w:shd w:fill="FFFFFF" w:val="clear"/>
            <w:vAlign w:val="center"/>
          </w:tcPr>
          <w:p>
            <w:pPr>
              <w:pStyle w:val="TableContents"/>
              <w:bidi w:val="0"/>
              <w:spacing w:before="0" w:after="283"/>
              <w:jc w:val="center"/>
              <w:rPr>
                <w:b/>
                <w:sz w:val="16"/>
              </w:rPr>
            </w:pPr>
            <w:r>
              <w:rPr>
                <w:b/>
                <w:sz w:val="16"/>
              </w:rPr>
              <w:t>-28.3%</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n.a.</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lineRule="auto" w:line="240" w:before="0" w:after="283"/>
              <w:jc w:val="left"/>
              <w:rPr>
                <w:b/>
                <w:sz w:val="16"/>
              </w:rPr>
            </w:pPr>
            <w:r>
              <w:rPr>
                <w:b/>
                <w:sz w:val="16"/>
              </w:rPr>
              <w:t xml:space="preserve">Other liabilities </w:t>
            </w:r>
            <w:r>
              <w:rPr>
                <w:rFonts w:ascii="Arial;Helvetica;Sans-Serif" w:hAnsi="Arial;Helvetica;Sans-Serif"/>
                <w:b w:val="false"/>
                <w:i w:val="false"/>
                <w:caps w:val="false"/>
                <w:smallCaps w:val="false"/>
                <w:sz w:val="16"/>
              </w:rPr>
              <w:t>(3)</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4,963,871</w:t>
            </w:r>
          </w:p>
        </w:tc>
        <w:tc>
          <w:tcPr>
            <w:tcW w:w="1535" w:type="dxa"/>
            <w:tcBorders/>
            <w:vAlign w:val="center"/>
          </w:tcPr>
          <w:p>
            <w:pPr>
              <w:pStyle w:val="TableContents"/>
              <w:bidi w:val="0"/>
              <w:spacing w:before="0" w:after="283"/>
              <w:jc w:val="right"/>
              <w:rPr/>
            </w:pPr>
            <w:r>
              <w:rPr/>
              <w:t>       </w:t>
            </w:r>
            <w:r>
              <w:rPr>
                <w:b/>
                <w:sz w:val="16"/>
              </w:rPr>
              <w:t>7,705,309</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5,432,431</w:t>
            </w:r>
          </w:p>
        </w:tc>
        <w:tc>
          <w:tcPr>
            <w:tcW w:w="559" w:type="dxa"/>
            <w:tcBorders/>
            <w:shd w:fill="FFFFFF" w:val="clear"/>
            <w:vAlign w:val="center"/>
          </w:tcPr>
          <w:p>
            <w:pPr>
              <w:pStyle w:val="TableContents"/>
              <w:bidi w:val="0"/>
              <w:spacing w:before="0" w:after="283"/>
              <w:jc w:val="center"/>
              <w:rPr>
                <w:b/>
                <w:sz w:val="16"/>
              </w:rPr>
            </w:pPr>
            <w:r>
              <w:rPr>
                <w:b/>
                <w:sz w:val="16"/>
              </w:rPr>
              <w:t>-29.5%</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9.4%</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Liabilities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159,846,206</w:t>
            </w:r>
          </w:p>
        </w:tc>
        <w:tc>
          <w:tcPr>
            <w:tcW w:w="1535" w:type="dxa"/>
            <w:tcBorders/>
            <w:vAlign w:val="center"/>
          </w:tcPr>
          <w:p>
            <w:pPr>
              <w:pStyle w:val="TableContents"/>
              <w:bidi w:val="0"/>
              <w:spacing w:before="0" w:after="283"/>
              <w:jc w:val="right"/>
              <w:rPr/>
            </w:pPr>
            <w:r>
              <w:rPr/>
              <w:t>   </w:t>
            </w:r>
            <w:r>
              <w:rPr>
                <w:b/>
                <w:sz w:val="16"/>
              </w:rPr>
              <w:t>159,351,448</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154,141,733</w:t>
            </w:r>
          </w:p>
        </w:tc>
        <w:tc>
          <w:tcPr>
            <w:tcW w:w="559" w:type="dxa"/>
            <w:tcBorders/>
            <w:shd w:fill="FFFFFF" w:val="clear"/>
            <w:vAlign w:val="center"/>
          </w:tcPr>
          <w:p>
            <w:pPr>
              <w:pStyle w:val="TableContents"/>
              <w:bidi w:val="0"/>
              <w:spacing w:before="0" w:after="283"/>
              <w:jc w:val="center"/>
              <w:rPr>
                <w:b/>
                <w:sz w:val="16"/>
              </w:rPr>
            </w:pPr>
            <w:r>
              <w:rPr>
                <w:b/>
                <w:sz w:val="16"/>
              </w:rPr>
              <w:t>-3.3%</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-3.6%</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9" w:type="dxa"/>
            <w:tcBorders/>
            <w:vAlign w:val="center"/>
          </w:tcPr>
          <w:p>
            <w:pPr>
              <w:pStyle w:val="TableContents"/>
              <w:bidi w:val="0"/>
              <w:spacing w:before="0" w:after="283"/>
              <w:jc w:val="center"/>
              <w:rPr/>
            </w:pPr>
            <w:r>
              <w:rPr/>
              <w:t> </w:t>
            </w:r>
          </w:p>
        </w:tc>
        <w:tc>
          <w:tcPr>
            <w:tcW w:w="533"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243"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Net equity</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20,988,644</w:t>
            </w:r>
          </w:p>
        </w:tc>
        <w:tc>
          <w:tcPr>
            <w:tcW w:w="1535" w:type="dxa"/>
            <w:tcBorders/>
            <w:vAlign w:val="center"/>
          </w:tcPr>
          <w:p>
            <w:pPr>
              <w:pStyle w:val="TableContents"/>
              <w:bidi w:val="0"/>
              <w:spacing w:before="0" w:after="283"/>
              <w:jc w:val="right"/>
              <w:rPr/>
            </w:pPr>
            <w:r>
              <w:rPr/>
              <w:t>     </w:t>
            </w:r>
            <w:r>
              <w:rPr>
                <w:b/>
                <w:sz w:val="16"/>
              </w:rPr>
              <w:t>21,779,294</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23,226,759</w:t>
            </w:r>
          </w:p>
        </w:tc>
        <w:tc>
          <w:tcPr>
            <w:tcW w:w="559" w:type="dxa"/>
            <w:tcBorders/>
            <w:shd w:fill="FFFFFF" w:val="clear"/>
            <w:vAlign w:val="center"/>
          </w:tcPr>
          <w:p>
            <w:pPr>
              <w:pStyle w:val="TableContents"/>
              <w:bidi w:val="0"/>
              <w:spacing w:before="0" w:after="283"/>
              <w:jc w:val="center"/>
              <w:rPr>
                <w:b/>
                <w:sz w:val="16"/>
              </w:rPr>
            </w:pPr>
            <w:r>
              <w:rPr>
                <w:b/>
                <w:sz w:val="16"/>
              </w:rPr>
              <w:t>6.6%</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10.7%</w:t>
            </w:r>
          </w:p>
        </w:tc>
      </w:tr>
      <w:tr>
        <w:trPr/>
        <w:tc>
          <w:tcPr>
            <w:tcW w:w="242" w:type="dxa"/>
            <w:tcBorders>
              <w:left w:val="single" w:sz="8" w:space="0" w:color="000000"/>
            </w:tcBorders>
            <w:tcMar>
              <w:left w:w="28" w:type="dxa"/>
            </w:tcMar>
            <w:vAlign w:val="center"/>
          </w:tcPr>
          <w:p>
            <w:pPr>
              <w:pStyle w:val="TableContents"/>
              <w:bidi w:val="0"/>
              <w:spacing w:before="0" w:after="283"/>
              <w:jc w:val="left"/>
              <w:rPr/>
            </w:pPr>
            <w:r>
              <w:rPr/>
              <w:t> </w:t>
            </w:r>
          </w:p>
        </w:tc>
        <w:tc>
          <w:tcPr>
            <w:tcW w:w="4001" w:type="dxa"/>
            <w:tcBorders/>
            <w:vAlign w:val="center"/>
          </w:tcPr>
          <w:p>
            <w:pPr>
              <w:pStyle w:val="TableContents"/>
              <w:bidi w:val="0"/>
              <w:spacing w:before="0" w:after="283"/>
              <w:jc w:val="left"/>
              <w:rPr>
                <w:sz w:val="16"/>
              </w:rPr>
            </w:pPr>
            <w:r>
              <w:rPr>
                <w:sz w:val="16"/>
              </w:rPr>
              <w:t>Capital stock</w:t>
            </w:r>
          </w:p>
        </w:tc>
        <w:tc>
          <w:tcPr>
            <w:tcW w:w="265" w:type="dxa"/>
            <w:tcBorders/>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11,882,984</w:t>
            </w:r>
          </w:p>
        </w:tc>
        <w:tc>
          <w:tcPr>
            <w:tcW w:w="1535" w:type="dxa"/>
            <w:tcBorders/>
            <w:vAlign w:val="center"/>
          </w:tcPr>
          <w:p>
            <w:pPr>
              <w:pStyle w:val="TableContents"/>
              <w:bidi w:val="0"/>
              <w:spacing w:before="0" w:after="283"/>
              <w:jc w:val="right"/>
              <w:rPr/>
            </w:pPr>
            <w:r>
              <w:rPr/>
              <w:t>     </w:t>
            </w:r>
            <w:r>
              <w:rPr>
                <w:sz w:val="16"/>
              </w:rPr>
              <w:t>12,679,794</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12,679,794</w:t>
            </w:r>
          </w:p>
        </w:tc>
        <w:tc>
          <w:tcPr>
            <w:tcW w:w="559" w:type="dxa"/>
            <w:tcBorders/>
            <w:vAlign w:val="center"/>
          </w:tcPr>
          <w:p>
            <w:pPr>
              <w:pStyle w:val="TableContents"/>
              <w:bidi w:val="0"/>
              <w:spacing w:before="0" w:after="283"/>
              <w:jc w:val="center"/>
              <w:rPr>
                <w:sz w:val="16"/>
              </w:rPr>
            </w:pPr>
            <w:r>
              <w:rPr>
                <w:sz w:val="16"/>
              </w:rPr>
              <w:t>0.0%</w:t>
            </w:r>
          </w:p>
        </w:tc>
        <w:tc>
          <w:tcPr>
            <w:tcW w:w="533" w:type="dxa"/>
            <w:tcBorders>
              <w:right w:val="single" w:sz="8" w:space="0" w:color="000000"/>
            </w:tcBorders>
            <w:tcMar>
              <w:right w:w="28" w:type="dxa"/>
            </w:tcMar>
            <w:vAlign w:val="center"/>
          </w:tcPr>
          <w:p>
            <w:pPr>
              <w:pStyle w:val="TableContents"/>
              <w:bidi w:val="0"/>
              <w:spacing w:before="0" w:after="283"/>
              <w:jc w:val="center"/>
              <w:rPr>
                <w:sz w:val="16"/>
              </w:rPr>
            </w:pPr>
            <w:r>
              <w:rPr>
                <w:sz w:val="16"/>
              </w:rPr>
              <w:t>6.7%</w:t>
            </w:r>
          </w:p>
        </w:tc>
      </w:tr>
      <w:tr>
        <w:trPr/>
        <w:tc>
          <w:tcPr>
            <w:tcW w:w="242" w:type="dxa"/>
            <w:tcBorders>
              <w:left w:val="single" w:sz="8" w:space="0" w:color="000000"/>
            </w:tcBorders>
            <w:tcMar>
              <w:left w:w="28" w:type="dxa"/>
            </w:tcMar>
            <w:vAlign w:val="center"/>
          </w:tcPr>
          <w:p>
            <w:pPr>
              <w:pStyle w:val="TableContents"/>
              <w:bidi w:val="0"/>
              <w:spacing w:before="0" w:after="283"/>
              <w:jc w:val="left"/>
              <w:rPr/>
            </w:pPr>
            <w:r>
              <w:rPr/>
              <w:t> </w:t>
            </w:r>
          </w:p>
        </w:tc>
        <w:tc>
          <w:tcPr>
            <w:tcW w:w="4001" w:type="dxa"/>
            <w:tcBorders/>
            <w:vAlign w:val="center"/>
          </w:tcPr>
          <w:p>
            <w:pPr>
              <w:pStyle w:val="TableContents"/>
              <w:bidi w:val="0"/>
              <w:spacing w:before="0" w:after="283"/>
              <w:jc w:val="left"/>
              <w:rPr>
                <w:sz w:val="16"/>
              </w:rPr>
            </w:pPr>
            <w:r>
              <w:rPr>
                <w:sz w:val="16"/>
              </w:rPr>
              <w:t>Reserves</w:t>
            </w:r>
          </w:p>
        </w:tc>
        <w:tc>
          <w:tcPr>
            <w:tcW w:w="265" w:type="dxa"/>
            <w:tcBorders/>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7,298,035</w:t>
            </w:r>
          </w:p>
        </w:tc>
        <w:tc>
          <w:tcPr>
            <w:tcW w:w="1535" w:type="dxa"/>
            <w:tcBorders/>
            <w:vAlign w:val="center"/>
          </w:tcPr>
          <w:p>
            <w:pPr>
              <w:pStyle w:val="TableContents"/>
              <w:bidi w:val="0"/>
              <w:spacing w:before="0" w:after="283"/>
              <w:jc w:val="right"/>
              <w:rPr/>
            </w:pPr>
            <w:r>
              <w:rPr/>
              <w:t>       </w:t>
            </w:r>
            <w:r>
              <w:rPr>
                <w:sz w:val="16"/>
              </w:rPr>
              <w:t>6,820,019</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6,820,497</w:t>
            </w:r>
          </w:p>
        </w:tc>
        <w:tc>
          <w:tcPr>
            <w:tcW w:w="559" w:type="dxa"/>
            <w:tcBorders/>
            <w:vAlign w:val="center"/>
          </w:tcPr>
          <w:p>
            <w:pPr>
              <w:pStyle w:val="TableContents"/>
              <w:bidi w:val="0"/>
              <w:spacing w:before="0" w:after="283"/>
              <w:jc w:val="center"/>
              <w:rPr>
                <w:sz w:val="16"/>
              </w:rPr>
            </w:pPr>
            <w:r>
              <w:rPr>
                <w:sz w:val="16"/>
              </w:rPr>
              <w:t>0.0%</w:t>
            </w:r>
          </w:p>
        </w:tc>
        <w:tc>
          <w:tcPr>
            <w:tcW w:w="533" w:type="dxa"/>
            <w:tcBorders>
              <w:right w:val="single" w:sz="8" w:space="0" w:color="000000"/>
            </w:tcBorders>
            <w:tcMar>
              <w:right w:w="28" w:type="dxa"/>
            </w:tcMar>
            <w:vAlign w:val="center"/>
          </w:tcPr>
          <w:p>
            <w:pPr>
              <w:pStyle w:val="TableContents"/>
              <w:bidi w:val="0"/>
              <w:spacing w:before="0" w:after="283"/>
              <w:jc w:val="center"/>
              <w:rPr>
                <w:sz w:val="16"/>
              </w:rPr>
            </w:pPr>
            <w:r>
              <w:rPr>
                <w:sz w:val="16"/>
              </w:rPr>
              <w:t>-6.5%</w:t>
            </w:r>
          </w:p>
        </w:tc>
      </w:tr>
      <w:tr>
        <w:trPr/>
        <w:tc>
          <w:tcPr>
            <w:tcW w:w="242" w:type="dxa"/>
            <w:tcBorders>
              <w:left w:val="single" w:sz="8" w:space="0" w:color="000000"/>
            </w:tcBorders>
            <w:tcMar>
              <w:left w:w="28" w:type="dxa"/>
            </w:tcMar>
            <w:vAlign w:val="center"/>
          </w:tcPr>
          <w:p>
            <w:pPr>
              <w:pStyle w:val="TableContents"/>
              <w:bidi w:val="0"/>
              <w:spacing w:before="0" w:after="283"/>
              <w:jc w:val="left"/>
              <w:rPr/>
            </w:pPr>
            <w:r>
              <w:rPr/>
              <w:t> </w:t>
            </w:r>
          </w:p>
        </w:tc>
        <w:tc>
          <w:tcPr>
            <w:tcW w:w="4266" w:type="dxa"/>
            <w:gridSpan w:val="2"/>
            <w:tcBorders/>
            <w:vAlign w:val="center"/>
          </w:tcPr>
          <w:p>
            <w:pPr>
              <w:pStyle w:val="TableContents"/>
              <w:bidi w:val="0"/>
              <w:spacing w:before="0" w:after="283"/>
              <w:jc w:val="left"/>
              <w:rPr>
                <w:sz w:val="16"/>
              </w:rPr>
            </w:pPr>
            <w:r>
              <w:rPr>
                <w:sz w:val="16"/>
              </w:rPr>
              <w:t>Unrealized gains and losses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(1,089,747)</w:t>
            </w:r>
          </w:p>
        </w:tc>
        <w:tc>
          <w:tcPr>
            <w:tcW w:w="1535" w:type="dxa"/>
            <w:tcBorders/>
            <w:vAlign w:val="center"/>
          </w:tcPr>
          <w:p>
            <w:pPr>
              <w:pStyle w:val="TableContents"/>
              <w:bidi w:val="0"/>
              <w:spacing w:before="0" w:after="283"/>
              <w:jc w:val="right"/>
              <w:rPr/>
            </w:pPr>
            <w:r>
              <w:rPr/>
              <w:t>         </w:t>
            </w:r>
            <w:r>
              <w:rPr>
                <w:sz w:val="16"/>
              </w:rPr>
              <w:t>(467,041)</w:t>
            </w:r>
          </w:p>
        </w:tc>
        <w:tc>
          <w:tcPr>
            <w:tcW w:w="1535" w:type="dxa"/>
            <w:tcBorders>
              <w:right w:val="single" w:sz="8" w:space="0" w:color="000000"/>
            </w:tcBorders>
            <w:tcMar>
              <w:right w:w="28" w:type="dxa"/>
            </w:tcMar>
            <w:vAlign w:val="center"/>
          </w:tcPr>
          <w:p>
            <w:pPr>
              <w:pStyle w:val="TableContents"/>
              <w:bidi w:val="0"/>
              <w:spacing w:before="0" w:after="283"/>
              <w:jc w:val="right"/>
              <w:rPr/>
            </w:pPr>
            <w:r>
              <w:rPr/>
              <w:t>         </w:t>
            </w:r>
            <w:r>
              <w:rPr>
                <w:sz w:val="16"/>
              </w:rPr>
              <w:t>(274,021)</w:t>
            </w:r>
          </w:p>
        </w:tc>
        <w:tc>
          <w:tcPr>
            <w:tcW w:w="559" w:type="dxa"/>
            <w:tcBorders/>
            <w:vAlign w:val="center"/>
          </w:tcPr>
          <w:p>
            <w:pPr>
              <w:pStyle w:val="TableContents"/>
              <w:bidi w:val="0"/>
              <w:spacing w:before="0" w:after="283"/>
              <w:jc w:val="center"/>
              <w:rPr>
                <w:sz w:val="16"/>
              </w:rPr>
            </w:pPr>
            <w:r>
              <w:rPr>
                <w:sz w:val="16"/>
              </w:rPr>
              <w:t>-41.3%</w:t>
            </w:r>
          </w:p>
        </w:tc>
        <w:tc>
          <w:tcPr>
            <w:tcW w:w="533" w:type="dxa"/>
            <w:tcBorders>
              <w:right w:val="single" w:sz="8" w:space="0" w:color="000000"/>
            </w:tcBorders>
            <w:tcMar>
              <w:right w:w="28" w:type="dxa"/>
            </w:tcMar>
            <w:vAlign w:val="center"/>
          </w:tcPr>
          <w:p>
            <w:pPr>
              <w:pStyle w:val="TableContents"/>
              <w:bidi w:val="0"/>
              <w:spacing w:before="0" w:after="283"/>
              <w:jc w:val="center"/>
              <w:rPr>
                <w:sz w:val="16"/>
              </w:rPr>
            </w:pPr>
            <w:r>
              <w:rPr>
                <w:sz w:val="16"/>
              </w:rPr>
              <w:t>-74.9%</w:t>
            </w:r>
          </w:p>
        </w:tc>
      </w:tr>
      <w:tr>
        <w:trPr/>
        <w:tc>
          <w:tcPr>
            <w:tcW w:w="242" w:type="dxa"/>
            <w:tcBorders>
              <w:left w:val="single" w:sz="8" w:space="0" w:color="000000"/>
            </w:tcBorders>
            <w:tcMar>
              <w:left w:w="28" w:type="dxa"/>
            </w:tcMar>
            <w:vAlign w:val="center"/>
          </w:tcPr>
          <w:p>
            <w:pPr>
              <w:pStyle w:val="TableContents"/>
              <w:bidi w:val="0"/>
              <w:spacing w:before="0" w:after="283"/>
              <w:jc w:val="left"/>
              <w:rPr/>
            </w:pPr>
            <w:r>
              <w:rPr/>
              <w:t> </w:t>
            </w:r>
          </w:p>
        </w:tc>
        <w:tc>
          <w:tcPr>
            <w:tcW w:w="4266" w:type="dxa"/>
            <w:gridSpan w:val="2"/>
            <w:tcBorders/>
            <w:vAlign w:val="center"/>
          </w:tcPr>
          <w:p>
            <w:pPr>
              <w:pStyle w:val="TableContents"/>
              <w:bidi w:val="0"/>
              <w:spacing w:before="0" w:after="283"/>
              <w:jc w:val="left"/>
              <w:rPr>
                <w:sz w:val="16"/>
              </w:rPr>
            </w:pPr>
            <w:r>
              <w:rPr>
                <w:sz w:val="16"/>
              </w:rPr>
              <w:t>Retained earnings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2,897,372</w:t>
            </w:r>
            <w:r>
              <w:rPr/>
              <w:t xml:space="preserve"> </w:t>
            </w:r>
          </w:p>
        </w:tc>
        <w:tc>
          <w:tcPr>
            <w:tcW w:w="1535" w:type="dxa"/>
            <w:tcBorders/>
            <w:vAlign w:val="center"/>
          </w:tcPr>
          <w:p>
            <w:pPr>
              <w:pStyle w:val="TableContents"/>
              <w:bidi w:val="0"/>
              <w:spacing w:before="0" w:after="283"/>
              <w:jc w:val="right"/>
              <w:rPr/>
            </w:pPr>
            <w:r>
              <w:rPr/>
              <w:t>       </w:t>
            </w:r>
            <w:r>
              <w:rPr>
                <w:sz w:val="16"/>
              </w:rPr>
              <w:t>2,746,522</w:t>
            </w:r>
            <w:r>
              <w:rPr/>
              <w:t xml:space="preserve"> </w:t>
            </w:r>
          </w:p>
        </w:tc>
        <w:tc>
          <w:tcPr>
            <w:tcW w:w="1535" w:type="dxa"/>
            <w:tcBorders>
              <w:right w:val="single" w:sz="8" w:space="0" w:color="000000"/>
            </w:tcBorders>
            <w:tcMar>
              <w:right w:w="28" w:type="dxa"/>
            </w:tcMar>
            <w:vAlign w:val="center"/>
          </w:tcPr>
          <w:p>
            <w:pPr>
              <w:pStyle w:val="TableContents"/>
              <w:bidi w:val="0"/>
              <w:spacing w:before="0" w:after="283"/>
              <w:jc w:val="right"/>
              <w:rPr/>
            </w:pPr>
            <w:r>
              <w:rPr/>
              <w:t>       </w:t>
            </w:r>
            <w:r>
              <w:rPr>
                <w:sz w:val="16"/>
              </w:rPr>
              <w:t>4,000,489</w:t>
            </w:r>
            <w:r>
              <w:rPr/>
              <w:t xml:space="preserve"> </w:t>
            </w:r>
          </w:p>
        </w:tc>
        <w:tc>
          <w:tcPr>
            <w:tcW w:w="559" w:type="dxa"/>
            <w:tcBorders/>
            <w:vAlign w:val="center"/>
          </w:tcPr>
          <w:p>
            <w:pPr>
              <w:pStyle w:val="TableContents"/>
              <w:bidi w:val="0"/>
              <w:spacing w:before="0" w:after="283"/>
              <w:jc w:val="center"/>
              <w:rPr/>
            </w:pPr>
            <w:r>
              <w:rPr/>
              <w:t> </w:t>
            </w:r>
            <w:r>
              <w:rPr>
                <w:sz w:val="16"/>
              </w:rPr>
              <w:t>45.7%</w:t>
            </w:r>
          </w:p>
        </w:tc>
        <w:tc>
          <w:tcPr>
            <w:tcW w:w="533" w:type="dxa"/>
            <w:tcBorders>
              <w:right w:val="single" w:sz="8" w:space="0" w:color="000000"/>
            </w:tcBorders>
            <w:tcMar>
              <w:right w:w="28" w:type="dxa"/>
            </w:tcMar>
            <w:vAlign w:val="center"/>
          </w:tcPr>
          <w:p>
            <w:pPr>
              <w:pStyle w:val="TableContents"/>
              <w:bidi w:val="0"/>
              <w:spacing w:before="0" w:after="283"/>
              <w:jc w:val="center"/>
              <w:rPr/>
            </w:pPr>
            <w:r>
              <w:rPr/>
              <w:t> </w:t>
            </w:r>
            <w:r>
              <w:rPr>
                <w:sz w:val="16"/>
              </w:rPr>
              <w:t>38.1%</w:t>
            </w:r>
          </w:p>
        </w:tc>
      </w:tr>
      <w:tr>
        <w:trPr/>
        <w:tc>
          <w:tcPr>
            <w:tcW w:w="242" w:type="dxa"/>
            <w:tcBorders>
              <w:left w:val="single" w:sz="8" w:space="0" w:color="000000"/>
            </w:tcBorders>
            <w:tcMar>
              <w:left w:w="28" w:type="dxa"/>
            </w:tcMar>
            <w:vAlign w:val="center"/>
          </w:tcPr>
          <w:p>
            <w:pPr>
              <w:pStyle w:val="TableContents"/>
              <w:bidi w:val="0"/>
              <w:spacing w:before="0" w:after="283"/>
              <w:jc w:val="left"/>
              <w:rPr/>
            </w:pPr>
            <w:r>
              <w:rPr/>
              <w:t> </w:t>
            </w:r>
          </w:p>
        </w:tc>
        <w:tc>
          <w:tcPr>
            <w:tcW w:w="4001"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1535" w:type="dxa"/>
            <w:tcBorders>
              <w:right w:val="single" w:sz="8" w:space="0" w:color="000000"/>
            </w:tcBorders>
            <w:tcMar>
              <w:right w:w="60" w:type="dxa"/>
            </w:tcMar>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center"/>
              <w:rPr/>
            </w:pPr>
            <w:r>
              <w:rPr/>
              <w:t> </w:t>
            </w:r>
          </w:p>
        </w:tc>
        <w:tc>
          <w:tcPr>
            <w:tcW w:w="533"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508" w:type="dxa"/>
            <w:gridSpan w:val="3"/>
            <w:tcBorders>
              <w:left w:val="single" w:sz="8" w:space="0" w:color="000000"/>
            </w:tcBorders>
            <w:tcMar>
              <w:left w:w="28" w:type="dxa"/>
            </w:tcMar>
            <w:vAlign w:val="center"/>
          </w:tcPr>
          <w:p>
            <w:pPr>
              <w:pStyle w:val="TableContents"/>
              <w:bidi w:val="0"/>
              <w:spacing w:before="0" w:after="283"/>
              <w:jc w:val="center"/>
              <w:rPr>
                <w:b/>
                <w:sz w:val="16"/>
              </w:rPr>
            </w:pPr>
            <w:r>
              <w:rPr>
                <w:b/>
                <w:sz w:val="16"/>
              </w:rPr>
              <w:t>Total Net Equity</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20,988,644</w:t>
            </w:r>
          </w:p>
        </w:tc>
        <w:tc>
          <w:tcPr>
            <w:tcW w:w="1535" w:type="dxa"/>
            <w:tcBorders/>
            <w:vAlign w:val="center"/>
          </w:tcPr>
          <w:p>
            <w:pPr>
              <w:pStyle w:val="TableContents"/>
              <w:bidi w:val="0"/>
              <w:spacing w:before="0" w:after="283"/>
              <w:jc w:val="right"/>
              <w:rPr/>
            </w:pPr>
            <w:r>
              <w:rPr/>
              <w:t>     </w:t>
            </w:r>
            <w:r>
              <w:rPr>
                <w:b/>
                <w:sz w:val="16"/>
              </w:rPr>
              <w:t>21,779,294</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23,226,759</w:t>
            </w:r>
          </w:p>
        </w:tc>
        <w:tc>
          <w:tcPr>
            <w:tcW w:w="559" w:type="dxa"/>
            <w:tcBorders/>
            <w:vAlign w:val="center"/>
          </w:tcPr>
          <w:p>
            <w:pPr>
              <w:pStyle w:val="TableContents"/>
              <w:bidi w:val="0"/>
              <w:spacing w:before="0" w:after="283"/>
              <w:jc w:val="center"/>
              <w:rPr>
                <w:b/>
                <w:sz w:val="16"/>
              </w:rPr>
            </w:pPr>
            <w:r>
              <w:rPr>
                <w:b/>
                <w:sz w:val="16"/>
              </w:rPr>
              <w:t>6.6%</w:t>
            </w:r>
          </w:p>
        </w:tc>
        <w:tc>
          <w:tcPr>
            <w:tcW w:w="533"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10.7%</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4001" w:type="dxa"/>
            <w:tcBorders/>
            <w:shd w:fill="FFFFFF" w:val="clear"/>
            <w:vAlign w:val="center"/>
          </w:tcPr>
          <w:p>
            <w:pPr>
              <w:pStyle w:val="TableContents"/>
              <w:bidi w:val="0"/>
              <w:spacing w:before="0" w:after="283"/>
              <w:jc w:val="center"/>
              <w:rPr/>
            </w:pPr>
            <w:r>
              <w:rPr/>
              <w:t> </w:t>
            </w:r>
          </w:p>
        </w:tc>
        <w:tc>
          <w:tcPr>
            <w:tcW w:w="265" w:type="dxa"/>
            <w:tcBorders/>
            <w:shd w:fill="FFFFFF" w:val="clear"/>
            <w:vAlign w:val="center"/>
          </w:tcPr>
          <w:p>
            <w:pPr>
              <w:pStyle w:val="TableContents"/>
              <w:bidi w:val="0"/>
              <w:spacing w:before="0" w:after="283"/>
              <w:jc w:val="center"/>
              <w:rPr/>
            </w:pPr>
            <w:r>
              <w:rPr/>
              <w:t> </w:t>
            </w:r>
          </w:p>
        </w:tc>
        <w:tc>
          <w:tcPr>
            <w:tcW w:w="1535" w:type="dxa"/>
            <w:tcBorders>
              <w:left w:val="single" w:sz="8" w:space="0" w:color="000000"/>
            </w:tcBorders>
            <w:tcMar>
              <w:left w:w="28" w:type="dxa"/>
            </w:tcMar>
            <w:vAlign w:val="center"/>
          </w:tcPr>
          <w:p>
            <w:pPr>
              <w:pStyle w:val="TableContents"/>
              <w:bidi w:val="0"/>
              <w:spacing w:before="0" w:after="283"/>
              <w:jc w:val="center"/>
              <w:rPr/>
            </w:pPr>
            <w:r>
              <w:rPr/>
              <w:t>                      </w:t>
            </w:r>
            <w:r>
              <w:rPr>
                <w:sz w:val="16"/>
              </w:rPr>
              <w:t>-   </w:t>
            </w:r>
          </w:p>
        </w:tc>
        <w:tc>
          <w:tcPr>
            <w:tcW w:w="1535" w:type="dxa"/>
            <w:tcBorders/>
            <w:vAlign w:val="center"/>
          </w:tcPr>
          <w:p>
            <w:pPr>
              <w:pStyle w:val="TableContents"/>
              <w:bidi w:val="0"/>
              <w:spacing w:before="0" w:after="283"/>
              <w:jc w:val="center"/>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center"/>
              <w:rPr/>
            </w:pPr>
            <w:r>
              <w:rPr/>
              <w:t>                      </w:t>
            </w:r>
            <w:r>
              <w:rPr>
                <w:sz w:val="16"/>
              </w:rPr>
              <w:t>-   </w:t>
            </w:r>
          </w:p>
        </w:tc>
        <w:tc>
          <w:tcPr>
            <w:tcW w:w="559" w:type="dxa"/>
            <w:tcBorders/>
            <w:shd w:fill="FFFFFF" w:val="clear"/>
            <w:vAlign w:val="center"/>
          </w:tcPr>
          <w:p>
            <w:pPr>
              <w:pStyle w:val="TableContents"/>
              <w:bidi w:val="0"/>
              <w:spacing w:before="0" w:after="283"/>
              <w:jc w:val="center"/>
              <w:rPr/>
            </w:pPr>
            <w:r>
              <w:rPr/>
              <w:t> </w:t>
            </w:r>
          </w:p>
        </w:tc>
        <w:tc>
          <w:tcPr>
            <w:tcW w:w="533"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Total liabilities and equity</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180,834,850</w:t>
            </w:r>
          </w:p>
        </w:tc>
        <w:tc>
          <w:tcPr>
            <w:tcW w:w="1535" w:type="dxa"/>
            <w:tcBorders/>
            <w:vAlign w:val="center"/>
          </w:tcPr>
          <w:p>
            <w:pPr>
              <w:pStyle w:val="TableContents"/>
              <w:bidi w:val="0"/>
              <w:spacing w:before="0" w:after="283"/>
              <w:jc w:val="right"/>
              <w:rPr/>
            </w:pPr>
            <w:r>
              <w:rPr/>
              <w:t>   </w:t>
            </w:r>
            <w:r>
              <w:rPr>
                <w:b/>
                <w:sz w:val="16"/>
              </w:rPr>
              <w:t>181,130,742</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177,368,492</w:t>
            </w:r>
          </w:p>
        </w:tc>
        <w:tc>
          <w:tcPr>
            <w:tcW w:w="559" w:type="dxa"/>
            <w:tcBorders/>
            <w:vAlign w:val="center"/>
          </w:tcPr>
          <w:p>
            <w:pPr>
              <w:pStyle w:val="TableContents"/>
              <w:bidi w:val="0"/>
              <w:spacing w:before="0" w:after="283"/>
              <w:jc w:val="center"/>
              <w:rPr>
                <w:b/>
                <w:sz w:val="16"/>
              </w:rPr>
            </w:pPr>
            <w:r>
              <w:rPr>
                <w:b/>
                <w:sz w:val="16"/>
              </w:rPr>
              <w:t>-2.1%</w:t>
            </w:r>
          </w:p>
        </w:tc>
        <w:tc>
          <w:tcPr>
            <w:tcW w:w="533"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-1.9%</w:t>
            </w:r>
          </w:p>
        </w:tc>
      </w:tr>
      <w:tr>
        <w:trPr/>
        <w:tc>
          <w:tcPr>
            <w:tcW w:w="24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4001"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   </w:t>
            </w:r>
          </w:p>
        </w:tc>
        <w:tc>
          <w:tcPr>
            <w:tcW w:w="1535" w:type="dxa"/>
            <w:tcBorders/>
            <w:vAlign w:val="center"/>
          </w:tcPr>
          <w:p>
            <w:pPr>
              <w:pStyle w:val="TableContents"/>
              <w:bidi w:val="0"/>
              <w:spacing w:before="0" w:after="283"/>
              <w:jc w:val="right"/>
              <w:rPr/>
            </w:pPr>
            <w:r>
              <w:rPr/>
              <w:t>                      </w:t>
            </w:r>
            <w:r>
              <w:rPr>
                <w:sz w:val="16"/>
              </w:rPr>
              <w:t>-   </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   </w:t>
            </w:r>
          </w:p>
        </w:tc>
        <w:tc>
          <w:tcPr>
            <w:tcW w:w="559" w:type="dxa"/>
            <w:tcBorders/>
            <w:vAlign w:val="center"/>
          </w:tcPr>
          <w:p>
            <w:pPr>
              <w:pStyle w:val="TableContents"/>
              <w:bidi w:val="0"/>
              <w:spacing w:before="0" w:after="283"/>
              <w:jc w:val="right"/>
              <w:rPr/>
            </w:pPr>
            <w:r>
              <w:rPr/>
              <w:t> </w:t>
            </w:r>
          </w:p>
        </w:tc>
        <w:tc>
          <w:tcPr>
            <w:tcW w:w="533" w:type="dxa"/>
            <w:tcBorders>
              <w:right w:val="single" w:sz="8" w:space="0" w:color="000000"/>
            </w:tcBorders>
            <w:tcMar>
              <w:right w:w="28" w:type="dxa"/>
            </w:tcMar>
            <w:vAlign w:val="center"/>
          </w:tcPr>
          <w:p>
            <w:pPr>
              <w:pStyle w:val="TableContents"/>
              <w:bidi w:val="0"/>
              <w:spacing w:before="0" w:after="283"/>
              <w:jc w:val="right"/>
              <w:rPr/>
            </w:pPr>
            <w:r>
              <w:rPr/>
              <w:t> </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Off-balance sheet</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131,117,219</w:t>
            </w:r>
          </w:p>
        </w:tc>
        <w:tc>
          <w:tcPr>
            <w:tcW w:w="1535" w:type="dxa"/>
            <w:tcBorders/>
            <w:vAlign w:val="center"/>
          </w:tcPr>
          <w:p>
            <w:pPr>
              <w:pStyle w:val="TableContents"/>
              <w:bidi w:val="0"/>
              <w:spacing w:before="0" w:after="283"/>
              <w:jc w:val="right"/>
              <w:rPr/>
            </w:pPr>
            <w:r>
              <w:rPr/>
              <w:t>   </w:t>
            </w:r>
            <w:r>
              <w:rPr>
                <w:b/>
                <w:sz w:val="16"/>
              </w:rPr>
              <w:t>138,810,501</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129,969,150</w:t>
            </w:r>
          </w:p>
        </w:tc>
        <w:tc>
          <w:tcPr>
            <w:tcW w:w="559" w:type="dxa"/>
            <w:tcBorders/>
            <w:vAlign w:val="center"/>
          </w:tcPr>
          <w:p>
            <w:pPr>
              <w:pStyle w:val="TableContents"/>
              <w:bidi w:val="0"/>
              <w:spacing w:before="0" w:after="283"/>
              <w:jc w:val="center"/>
              <w:rPr>
                <w:b/>
                <w:sz w:val="16"/>
              </w:rPr>
            </w:pPr>
            <w:r>
              <w:rPr>
                <w:b/>
                <w:sz w:val="16"/>
              </w:rPr>
              <w:t>-6.4%</w:t>
            </w:r>
          </w:p>
        </w:tc>
        <w:tc>
          <w:tcPr>
            <w:tcW w:w="533"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-0.9%</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Total performance bonds, stand-by and L/Cs.</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19,490,337</w:t>
            </w:r>
          </w:p>
        </w:tc>
        <w:tc>
          <w:tcPr>
            <w:tcW w:w="1535" w:type="dxa"/>
            <w:tcBorders/>
            <w:vAlign w:val="center"/>
          </w:tcPr>
          <w:p>
            <w:pPr>
              <w:pStyle w:val="TableContents"/>
              <w:bidi w:val="0"/>
              <w:spacing w:before="0" w:after="283"/>
              <w:jc w:val="right"/>
              <w:rPr/>
            </w:pPr>
            <w:r>
              <w:rPr/>
              <w:t>     </w:t>
            </w:r>
            <w:r>
              <w:rPr>
                <w:sz w:val="16"/>
              </w:rPr>
              <w:t>17,932,454</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17,955,670</w:t>
            </w:r>
          </w:p>
        </w:tc>
        <w:tc>
          <w:tcPr>
            <w:tcW w:w="559" w:type="dxa"/>
            <w:tcBorders/>
            <w:vAlign w:val="center"/>
          </w:tcPr>
          <w:p>
            <w:pPr>
              <w:pStyle w:val="TableContents"/>
              <w:bidi w:val="0"/>
              <w:spacing w:before="0" w:after="283"/>
              <w:jc w:val="center"/>
              <w:rPr>
                <w:sz w:val="16"/>
              </w:rPr>
            </w:pPr>
            <w:r>
              <w:rPr>
                <w:sz w:val="16"/>
              </w:rPr>
              <w:t>0.1%</w:t>
            </w:r>
          </w:p>
        </w:tc>
        <w:tc>
          <w:tcPr>
            <w:tcW w:w="533" w:type="dxa"/>
            <w:tcBorders>
              <w:right w:val="single" w:sz="8" w:space="0" w:color="000000"/>
            </w:tcBorders>
            <w:tcMar>
              <w:right w:w="28" w:type="dxa"/>
            </w:tcMar>
            <w:vAlign w:val="center"/>
          </w:tcPr>
          <w:p>
            <w:pPr>
              <w:pStyle w:val="TableContents"/>
              <w:bidi w:val="0"/>
              <w:spacing w:before="0" w:after="283"/>
              <w:jc w:val="center"/>
              <w:rPr>
                <w:sz w:val="16"/>
              </w:rPr>
            </w:pPr>
            <w:r>
              <w:rPr>
                <w:sz w:val="16"/>
              </w:rPr>
              <w:t>-7.9%</w:t>
            </w:r>
          </w:p>
        </w:tc>
      </w:tr>
      <w:tr>
        <w:trPr/>
        <w:tc>
          <w:tcPr>
            <w:tcW w:w="4508" w:type="dxa"/>
            <w:gridSpan w:val="3"/>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Undrawn credit lines, advised but not committed</w:t>
            </w:r>
          </w:p>
        </w:tc>
        <w:tc>
          <w:tcPr>
            <w:tcW w:w="1535" w:type="dxa"/>
            <w:tcBorders>
              <w:left w:val="single" w:sz="8" w:space="0" w:color="000000"/>
            </w:tcBorders>
            <w:tcMar>
              <w:left w:w="28" w:type="dxa"/>
            </w:tcMar>
            <w:vAlign w:val="center"/>
          </w:tcPr>
          <w:p>
            <w:pPr>
              <w:pStyle w:val="TableContents"/>
              <w:bidi w:val="0"/>
              <w:spacing w:before="0" w:after="283"/>
              <w:jc w:val="right"/>
              <w:rPr/>
            </w:pPr>
            <w:r>
              <w:rPr/>
              <w:t>     </w:t>
            </w:r>
            <w:r>
              <w:rPr>
                <w:sz w:val="16"/>
              </w:rPr>
              <w:t>71,528,880</w:t>
            </w:r>
          </w:p>
        </w:tc>
        <w:tc>
          <w:tcPr>
            <w:tcW w:w="1535" w:type="dxa"/>
            <w:tcBorders/>
            <w:vAlign w:val="center"/>
          </w:tcPr>
          <w:p>
            <w:pPr>
              <w:pStyle w:val="TableContents"/>
              <w:bidi w:val="0"/>
              <w:spacing w:before="0" w:after="283"/>
              <w:jc w:val="right"/>
              <w:rPr/>
            </w:pPr>
            <w:r>
              <w:rPr/>
              <w:t>     </w:t>
            </w:r>
            <w:r>
              <w:rPr>
                <w:sz w:val="16"/>
              </w:rPr>
              <w:t>73,838,085</w:t>
            </w:r>
          </w:p>
        </w:tc>
        <w:tc>
          <w:tcPr>
            <w:tcW w:w="1535" w:type="dxa"/>
            <w:tcBorders>
              <w:right w:val="single" w:sz="8" w:space="0" w:color="000000"/>
            </w:tcBorders>
            <w:tcMar>
              <w:right w:w="60" w:type="dxa"/>
            </w:tcMar>
            <w:vAlign w:val="center"/>
          </w:tcPr>
          <w:p>
            <w:pPr>
              <w:pStyle w:val="TableContents"/>
              <w:bidi w:val="0"/>
              <w:spacing w:before="0" w:after="283"/>
              <w:jc w:val="right"/>
              <w:rPr/>
            </w:pPr>
            <w:r>
              <w:rPr/>
              <w:t>     </w:t>
            </w:r>
            <w:r>
              <w:rPr>
                <w:sz w:val="16"/>
              </w:rPr>
              <w:t>73,510,275</w:t>
            </w:r>
          </w:p>
        </w:tc>
        <w:tc>
          <w:tcPr>
            <w:tcW w:w="559" w:type="dxa"/>
            <w:tcBorders/>
            <w:vAlign w:val="center"/>
          </w:tcPr>
          <w:p>
            <w:pPr>
              <w:pStyle w:val="TableContents"/>
              <w:bidi w:val="0"/>
              <w:spacing w:before="0" w:after="283"/>
              <w:jc w:val="center"/>
              <w:rPr>
                <w:sz w:val="16"/>
              </w:rPr>
            </w:pPr>
            <w:r>
              <w:rPr>
                <w:sz w:val="16"/>
              </w:rPr>
              <w:t>-0.4%</w:t>
            </w:r>
          </w:p>
        </w:tc>
        <w:tc>
          <w:tcPr>
            <w:tcW w:w="533" w:type="dxa"/>
            <w:tcBorders>
              <w:right w:val="single" w:sz="8" w:space="0" w:color="000000"/>
            </w:tcBorders>
            <w:tcMar>
              <w:right w:w="28" w:type="dxa"/>
            </w:tcMar>
            <w:vAlign w:val="center"/>
          </w:tcPr>
          <w:p>
            <w:pPr>
              <w:pStyle w:val="TableContents"/>
              <w:bidi w:val="0"/>
              <w:spacing w:before="0" w:after="283"/>
              <w:jc w:val="center"/>
              <w:rPr>
                <w:sz w:val="16"/>
              </w:rPr>
            </w:pPr>
            <w:r>
              <w:rPr>
                <w:sz w:val="16"/>
              </w:rPr>
              <w:t>2.8%</w:t>
            </w:r>
          </w:p>
        </w:tc>
      </w:tr>
      <w:tr>
        <w:trPr/>
        <w:tc>
          <w:tcPr>
            <w:tcW w:w="4508" w:type="dxa"/>
            <w:gridSpan w:val="3"/>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sz w:val="16"/>
              </w:rPr>
            </w:pPr>
            <w:r>
              <w:rPr>
                <w:sz w:val="16"/>
              </w:rPr>
              <w:t>Total derivatives (notional) and others</w:t>
            </w:r>
          </w:p>
        </w:tc>
        <w:tc>
          <w:tcPr>
            <w:tcW w:w="1535"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right"/>
              <w:rPr/>
            </w:pPr>
            <w:r>
              <w:rPr/>
              <w:t>     </w:t>
            </w:r>
            <w:r>
              <w:rPr>
                <w:sz w:val="16"/>
              </w:rPr>
              <w:t>40,098,002</w:t>
            </w:r>
          </w:p>
        </w:tc>
        <w:tc>
          <w:tcPr>
            <w:tcW w:w="1535" w:type="dxa"/>
            <w:tcBorders>
              <w:bottom w:val="single" w:sz="8" w:space="0" w:color="000000"/>
            </w:tcBorders>
            <w:tcMar>
              <w:bottom w:w="28" w:type="dxa"/>
            </w:tcMar>
            <w:vAlign w:val="center"/>
          </w:tcPr>
          <w:p>
            <w:pPr>
              <w:pStyle w:val="TableContents"/>
              <w:bidi w:val="0"/>
              <w:spacing w:before="0" w:after="283"/>
              <w:jc w:val="right"/>
              <w:rPr/>
            </w:pPr>
            <w:r>
              <w:rPr/>
              <w:t>     </w:t>
            </w:r>
            <w:r>
              <w:rPr>
                <w:sz w:val="16"/>
              </w:rPr>
              <w:t>47,039,962</w:t>
            </w:r>
          </w:p>
        </w:tc>
        <w:tc>
          <w:tcPr>
            <w:tcW w:w="1535" w:type="dxa"/>
            <w:tcBorders>
              <w:bottom w:val="single" w:sz="8" w:space="0" w:color="000000"/>
              <w:right w:val="single" w:sz="8" w:space="0" w:color="000000"/>
            </w:tcBorders>
            <w:tcMar>
              <w:bottom w:w="28" w:type="dxa"/>
              <w:right w:w="60" w:type="dxa"/>
            </w:tcMar>
            <w:vAlign w:val="center"/>
          </w:tcPr>
          <w:p>
            <w:pPr>
              <w:pStyle w:val="TableContents"/>
              <w:bidi w:val="0"/>
              <w:spacing w:before="0" w:after="283"/>
              <w:jc w:val="right"/>
              <w:rPr/>
            </w:pPr>
            <w:r>
              <w:rPr/>
              <w:t>     </w:t>
            </w:r>
            <w:r>
              <w:rPr>
                <w:sz w:val="16"/>
              </w:rPr>
              <w:t>38,503,205</w:t>
            </w:r>
          </w:p>
        </w:tc>
        <w:tc>
          <w:tcPr>
            <w:tcW w:w="559" w:type="dxa"/>
            <w:tcBorders>
              <w:bottom w:val="single" w:sz="8" w:space="0" w:color="000000"/>
            </w:tcBorders>
            <w:tcMar>
              <w:bottom w:w="28" w:type="dxa"/>
            </w:tcMar>
            <w:vAlign w:val="center"/>
          </w:tcPr>
          <w:p>
            <w:pPr>
              <w:pStyle w:val="TableContents"/>
              <w:bidi w:val="0"/>
              <w:spacing w:before="0" w:after="283"/>
              <w:jc w:val="center"/>
              <w:rPr>
                <w:sz w:val="16"/>
              </w:rPr>
            </w:pPr>
            <w:r>
              <w:rPr>
                <w:sz w:val="16"/>
              </w:rPr>
              <w:t>-18.1%</w:t>
            </w:r>
          </w:p>
        </w:tc>
        <w:tc>
          <w:tcPr>
            <w:tcW w:w="533"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16"/>
              </w:rPr>
            </w:pPr>
            <w:r>
              <w:rPr>
                <w:sz w:val="16"/>
              </w:rPr>
              <w:t>-4.0%</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Right of use asset of lease contracts is included by application of IFRS 16. </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Mainly includes intangible assets, other receivable accounts, trading derivatives receivable accounts and tax credit </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Mainly includes other payable accounts, trading derivatives payable accounts and taxes for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9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35" descr=""/>
                          <pic:cNvPicPr>
                            <a:picLocks noChangeAspect="1" noChangeArrowheads="1"/>
                          </pic:cNvPicPr>
                        </pic:nvPicPr>
                        <pic:blipFill>
                          <a:blip r:embed="rId154"/>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BANCO DE CREDITO DEL PERU</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STATEMENT OF INCOME</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 thousands, IFRS)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
        <w:gridCol w:w="3551"/>
        <w:gridCol w:w="60"/>
        <w:gridCol w:w="905"/>
        <w:gridCol w:w="905"/>
        <w:gridCol w:w="905"/>
        <w:gridCol w:w="496"/>
        <w:gridCol w:w="586"/>
        <w:gridCol w:w="905"/>
        <w:gridCol w:w="905"/>
        <w:gridCol w:w="915"/>
      </w:tblGrid>
      <w:tr>
        <w:trPr/>
        <w:tc>
          <w:tcPr>
            <w:tcW w:w="72" w:type="dxa"/>
            <w:tcBorders/>
            <w:shd w:fill="FFFFFF" w:val="clear"/>
            <w:vAlign w:val="center"/>
          </w:tcPr>
          <w:p>
            <w:pPr>
              <w:pStyle w:val="TableContents"/>
              <w:bidi w:val="0"/>
              <w:spacing w:before="0" w:after="283"/>
              <w:jc w:val="center"/>
              <w:rPr/>
            </w:pPr>
            <w:r>
              <w:rPr/>
              <w:t> </w:t>
            </w:r>
          </w:p>
        </w:tc>
        <w:tc>
          <w:tcPr>
            <w:tcW w:w="355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715" w:type="dxa"/>
            <w:gridSpan w:val="3"/>
            <w:tcBorders>
              <w:top w:val="single" w:sz="8" w:space="0" w:color="000000"/>
              <w:left w:val="single" w:sz="8" w:space="0" w:color="000000"/>
              <w:right w:val="single" w:sz="8" w:space="0" w:color="000000"/>
            </w:tcBorders>
            <w:shd w:fill="2AD2C9" w:val="clear"/>
            <w:tcMar>
              <w:top w:w="28" w:type="dxa"/>
              <w:left w:w="28" w:type="dxa"/>
              <w:right w:w="60" w:type="dxa"/>
            </w:tcMar>
            <w:vAlign w:val="center"/>
          </w:tcPr>
          <w:p>
            <w:pPr>
              <w:pStyle w:val="TableContents"/>
              <w:bidi w:val="0"/>
              <w:spacing w:before="0" w:after="283"/>
              <w:jc w:val="center"/>
              <w:rPr>
                <w:b/>
                <w:color w:val="FFFFFF"/>
                <w:sz w:val="16"/>
              </w:rPr>
            </w:pPr>
            <w:r>
              <w:rPr>
                <w:b/>
                <w:color w:val="FFFFFF"/>
                <w:sz w:val="16"/>
              </w:rPr>
              <w:t>Quarter</w:t>
            </w:r>
          </w:p>
        </w:tc>
        <w:tc>
          <w:tcPr>
            <w:tcW w:w="1082" w:type="dxa"/>
            <w:gridSpan w:val="2"/>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1810" w:type="dxa"/>
            <w:gridSpan w:val="2"/>
            <w:tcBorders>
              <w:top w:val="single" w:sz="8" w:space="0" w:color="000000"/>
              <w:right w:val="single" w:sz="8" w:space="0" w:color="000000"/>
            </w:tcBorders>
            <w:shd w:fill="2AD2C9" w:val="clear"/>
            <w:tcMar>
              <w:top w:w="28" w:type="dxa"/>
              <w:right w:w="60" w:type="dxa"/>
            </w:tcMar>
            <w:vAlign w:val="center"/>
          </w:tcPr>
          <w:p>
            <w:pPr>
              <w:pStyle w:val="TableContents"/>
              <w:bidi w:val="0"/>
              <w:spacing w:before="0" w:after="283"/>
              <w:jc w:val="center"/>
              <w:rPr>
                <w:b/>
                <w:color w:val="FFFFFF"/>
                <w:sz w:val="16"/>
              </w:rPr>
            </w:pPr>
            <w:r>
              <w:rPr>
                <w:b/>
                <w:color w:val="FFFFFF"/>
                <w:sz w:val="16"/>
              </w:rPr>
              <w:t>Year</w:t>
            </w:r>
          </w:p>
        </w:tc>
        <w:tc>
          <w:tcPr>
            <w:tcW w:w="915" w:type="dxa"/>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3683" w:type="dxa"/>
            <w:gridSpan w:val="3"/>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shd w:fill="2AD2C9" w:val="clear"/>
            <w:tcMar>
              <w:left w:w="28" w:type="dxa"/>
            </w:tcMar>
            <w:vAlign w:val="center"/>
          </w:tcPr>
          <w:p>
            <w:pPr>
              <w:pStyle w:val="TableContents"/>
              <w:bidi w:val="0"/>
              <w:spacing w:before="0" w:after="283"/>
              <w:jc w:val="center"/>
              <w:rPr>
                <w:b/>
                <w:i w:val="false"/>
                <w:caps w:val="false"/>
                <w:smallCaps w:val="false"/>
                <w:color w:val="FFFFFF"/>
                <w:sz w:val="16"/>
              </w:rPr>
            </w:pPr>
            <w:r>
              <w:rPr>
                <w:b/>
                <w:i w:val="false"/>
                <w:caps w:val="false"/>
                <w:smallCaps w:val="false"/>
                <w:color w:val="FFFFFF"/>
                <w:sz w:val="16"/>
              </w:rPr>
              <w:t>2Q22</w:t>
            </w:r>
          </w:p>
        </w:tc>
        <w:tc>
          <w:tcPr>
            <w:tcW w:w="905" w:type="dxa"/>
            <w:tcBorders/>
            <w:shd w:fill="2AD2C9" w:val="clear"/>
            <w:vAlign w:val="center"/>
          </w:tcPr>
          <w:p>
            <w:pPr>
              <w:pStyle w:val="TableContents"/>
              <w:bidi w:val="0"/>
              <w:spacing w:before="0" w:after="283"/>
              <w:jc w:val="center"/>
              <w:rPr>
                <w:b/>
                <w:i w:val="false"/>
                <w:caps w:val="false"/>
                <w:smallCaps w:val="false"/>
                <w:color w:val="FFFFFF"/>
                <w:sz w:val="16"/>
              </w:rPr>
            </w:pPr>
            <w:r>
              <w:rPr>
                <w:b/>
                <w:i w:val="false"/>
                <w:caps w:val="false"/>
                <w:smallCaps w:val="false"/>
                <w:color w:val="FFFFFF"/>
                <w:sz w:val="16"/>
              </w:rPr>
              <w:t>1Q23</w:t>
            </w:r>
          </w:p>
        </w:tc>
        <w:tc>
          <w:tcPr>
            <w:tcW w:w="905" w:type="dxa"/>
            <w:tcBorders>
              <w:right w:val="single" w:sz="8" w:space="0" w:color="000000"/>
            </w:tcBorders>
            <w:shd w:fill="2AD2C9" w:val="clear"/>
            <w:tcMar>
              <w:right w:w="60" w:type="dxa"/>
            </w:tcMar>
            <w:vAlign w:val="center"/>
          </w:tcPr>
          <w:p>
            <w:pPr>
              <w:pStyle w:val="TableContents"/>
              <w:bidi w:val="0"/>
              <w:spacing w:before="0" w:after="283"/>
              <w:jc w:val="center"/>
              <w:rPr>
                <w:b/>
                <w:i w:val="false"/>
                <w:caps w:val="false"/>
                <w:smallCaps w:val="false"/>
                <w:color w:val="FFFFFF"/>
                <w:sz w:val="16"/>
              </w:rPr>
            </w:pPr>
            <w:r>
              <w:rPr>
                <w:b/>
                <w:i w:val="false"/>
                <w:caps w:val="false"/>
                <w:smallCaps w:val="false"/>
                <w:color w:val="FFFFFF"/>
                <w:sz w:val="16"/>
              </w:rPr>
              <w:t>2Q23</w:t>
            </w:r>
          </w:p>
        </w:tc>
        <w:tc>
          <w:tcPr>
            <w:tcW w:w="496" w:type="dxa"/>
            <w:tcBorders/>
            <w:shd w:fill="2AD2C9" w:val="clear"/>
            <w:vAlign w:val="center"/>
          </w:tcPr>
          <w:p>
            <w:pPr>
              <w:pStyle w:val="TableContents"/>
              <w:bidi w:val="0"/>
              <w:spacing w:before="0" w:after="283"/>
              <w:jc w:val="center"/>
              <w:rPr>
                <w:b/>
                <w:i w:val="false"/>
                <w:caps w:val="false"/>
                <w:smallCaps w:val="false"/>
                <w:color w:val="FFFFFF"/>
                <w:sz w:val="16"/>
              </w:rPr>
            </w:pPr>
            <w:r>
              <w:rPr>
                <w:b/>
                <w:i w:val="false"/>
                <w:caps w:val="false"/>
                <w:smallCaps w:val="false"/>
                <w:color w:val="FFFFFF"/>
                <w:sz w:val="16"/>
              </w:rPr>
              <w:t>QoQ</w:t>
            </w:r>
          </w:p>
        </w:tc>
        <w:tc>
          <w:tcPr>
            <w:tcW w:w="586" w:type="dxa"/>
            <w:tcBorders>
              <w:right w:val="single" w:sz="8" w:space="0" w:color="000000"/>
            </w:tcBorders>
            <w:shd w:fill="2AD2C9" w:val="clear"/>
            <w:tcMar>
              <w:right w:w="28" w:type="dxa"/>
            </w:tcMar>
            <w:vAlign w:val="center"/>
          </w:tcPr>
          <w:p>
            <w:pPr>
              <w:pStyle w:val="TableContents"/>
              <w:bidi w:val="0"/>
              <w:spacing w:before="0" w:after="283"/>
              <w:jc w:val="center"/>
              <w:rPr>
                <w:b/>
                <w:i w:val="false"/>
                <w:caps w:val="false"/>
                <w:smallCaps w:val="false"/>
                <w:color w:val="FFFFFF"/>
                <w:sz w:val="16"/>
              </w:rPr>
            </w:pPr>
            <w:r>
              <w:rPr>
                <w:b/>
                <w:i w:val="false"/>
                <w:caps w:val="false"/>
                <w:smallCaps w:val="false"/>
                <w:color w:val="FFFFFF"/>
                <w:sz w:val="16"/>
              </w:rPr>
              <w:t>YoY</w:t>
            </w:r>
          </w:p>
        </w:tc>
        <w:tc>
          <w:tcPr>
            <w:tcW w:w="905" w:type="dxa"/>
            <w:tcBorders/>
            <w:shd w:fill="2AD2C9" w:val="clear"/>
            <w:vAlign w:val="center"/>
          </w:tcPr>
          <w:p>
            <w:pPr>
              <w:pStyle w:val="TableContents"/>
              <w:bidi w:val="0"/>
              <w:spacing w:before="0" w:after="283"/>
              <w:jc w:val="center"/>
              <w:rPr>
                <w:b/>
                <w:i w:val="false"/>
                <w:caps w:val="false"/>
                <w:smallCaps w:val="false"/>
                <w:color w:val="FFFFFF"/>
                <w:sz w:val="16"/>
              </w:rPr>
            </w:pPr>
            <w:r>
              <w:rPr>
                <w:b/>
                <w:i w:val="false"/>
                <w:caps w:val="false"/>
                <w:smallCaps w:val="false"/>
                <w:color w:val="FFFFFF"/>
                <w:sz w:val="16"/>
              </w:rPr>
              <w:t>1H22</w:t>
            </w:r>
          </w:p>
        </w:tc>
        <w:tc>
          <w:tcPr>
            <w:tcW w:w="905" w:type="dxa"/>
            <w:tcBorders>
              <w:right w:val="single" w:sz="8" w:space="0" w:color="000000"/>
            </w:tcBorders>
            <w:shd w:fill="2AD2C9" w:val="clear"/>
            <w:tcMar>
              <w:right w:w="60" w:type="dxa"/>
            </w:tcMar>
            <w:vAlign w:val="center"/>
          </w:tcPr>
          <w:p>
            <w:pPr>
              <w:pStyle w:val="TableContents"/>
              <w:bidi w:val="0"/>
              <w:spacing w:before="0" w:after="283"/>
              <w:jc w:val="center"/>
              <w:rPr>
                <w:b/>
                <w:i w:val="false"/>
                <w:caps w:val="false"/>
                <w:smallCaps w:val="false"/>
                <w:color w:val="FFFFFF"/>
                <w:sz w:val="16"/>
              </w:rPr>
            </w:pPr>
            <w:r>
              <w:rPr>
                <w:b/>
                <w:i w:val="false"/>
                <w:caps w:val="false"/>
                <w:smallCaps w:val="false"/>
                <w:color w:val="FFFFFF"/>
                <w:sz w:val="16"/>
              </w:rPr>
              <w:t>1H23</w:t>
            </w:r>
          </w:p>
        </w:tc>
        <w:tc>
          <w:tcPr>
            <w:tcW w:w="915" w:type="dxa"/>
            <w:tcBorders>
              <w:right w:val="single" w:sz="8" w:space="0" w:color="000000"/>
            </w:tcBorders>
            <w:shd w:fill="2AD2C9" w:val="clear"/>
            <w:tcMar>
              <w:right w:w="28" w:type="dxa"/>
            </w:tcMar>
            <w:vAlign w:val="center"/>
          </w:tcPr>
          <w:p>
            <w:pPr>
              <w:pStyle w:val="TableContents"/>
              <w:bidi w:val="0"/>
              <w:spacing w:before="0" w:after="283"/>
              <w:jc w:val="center"/>
              <w:rPr>
                <w:b/>
                <w:i w:val="false"/>
                <w:caps w:val="false"/>
                <w:smallCaps w:val="false"/>
                <w:color w:val="FFFFFF"/>
                <w:sz w:val="16"/>
              </w:rPr>
            </w:pPr>
            <w:r>
              <w:rPr>
                <w:b/>
                <w:i w:val="false"/>
                <w:caps w:val="false"/>
                <w:smallCaps w:val="false"/>
                <w:color w:val="FFFFFF"/>
                <w:sz w:val="16"/>
              </w:rPr>
              <w:t>1H23 / 1H22</w:t>
            </w:r>
          </w:p>
        </w:tc>
      </w:tr>
      <w:tr>
        <w:trPr/>
        <w:tc>
          <w:tcPr>
            <w:tcW w:w="3623" w:type="dxa"/>
            <w:gridSpan w:val="2"/>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left"/>
              <w:rPr>
                <w:b/>
                <w:sz w:val="16"/>
              </w:rPr>
            </w:pPr>
            <w:r>
              <w:rPr>
                <w:b/>
                <w:sz w:val="16"/>
              </w:rPr>
              <w:t>Interest income and expense</w:t>
            </w:r>
          </w:p>
        </w:tc>
        <w:tc>
          <w:tcPr>
            <w:tcW w:w="60" w:type="dxa"/>
            <w:tcBorders>
              <w:top w:val="single" w:sz="8" w:space="0" w:color="000000"/>
            </w:tcBorders>
            <w:shd w:fill="FFFFFF" w:val="clear"/>
            <w:tcMar>
              <w:top w:w="28" w:type="dxa"/>
            </w:tcMar>
            <w:vAlign w:val="center"/>
          </w:tcPr>
          <w:p>
            <w:pPr>
              <w:pStyle w:val="TableContents"/>
              <w:bidi w:val="0"/>
              <w:spacing w:before="0" w:after="283"/>
              <w:jc w:val="left"/>
              <w:rPr/>
            </w:pPr>
            <w:r>
              <w:rPr/>
              <w:t> </w:t>
            </w:r>
          </w:p>
        </w:tc>
        <w:tc>
          <w:tcPr>
            <w:tcW w:w="905" w:type="dxa"/>
            <w:tcBorders>
              <w:top w:val="single" w:sz="8" w:space="0" w:color="000000"/>
              <w:left w:val="single" w:sz="8" w:space="0" w:color="000000"/>
            </w:tcBorders>
            <w:tcMar>
              <w:top w:w="28" w:type="dxa"/>
              <w:left w:w="28" w:type="dxa"/>
            </w:tcMar>
            <w:vAlign w:val="center"/>
          </w:tcPr>
          <w:p>
            <w:pPr>
              <w:pStyle w:val="TableContents"/>
              <w:bidi w:val="0"/>
              <w:spacing w:before="0" w:after="283"/>
              <w:jc w:val="left"/>
              <w:rPr/>
            </w:pPr>
            <w:r>
              <w:rPr/>
              <w:t> </w:t>
            </w:r>
          </w:p>
        </w:tc>
        <w:tc>
          <w:tcPr>
            <w:tcW w:w="905" w:type="dxa"/>
            <w:tcBorders>
              <w:top w:val="single" w:sz="8" w:space="0" w:color="000000"/>
            </w:tcBorders>
            <w:tcMar>
              <w:top w:w="28" w:type="dxa"/>
            </w:tcMar>
            <w:vAlign w:val="center"/>
          </w:tcPr>
          <w:p>
            <w:pPr>
              <w:pStyle w:val="TableContents"/>
              <w:bidi w:val="0"/>
              <w:spacing w:before="0" w:after="283"/>
              <w:jc w:val="left"/>
              <w:rPr/>
            </w:pPr>
            <w:r>
              <w:rPr/>
              <w:t> </w:t>
            </w:r>
          </w:p>
        </w:tc>
        <w:tc>
          <w:tcPr>
            <w:tcW w:w="905" w:type="dxa"/>
            <w:tcBorders>
              <w:top w:val="single" w:sz="8" w:space="0" w:color="000000"/>
              <w:right w:val="single" w:sz="8" w:space="0" w:color="000000"/>
            </w:tcBorders>
            <w:tcMar>
              <w:top w:w="28" w:type="dxa"/>
              <w:right w:w="60" w:type="dxa"/>
            </w:tcMar>
            <w:vAlign w:val="center"/>
          </w:tcPr>
          <w:p>
            <w:pPr>
              <w:pStyle w:val="TableContents"/>
              <w:bidi w:val="0"/>
              <w:spacing w:before="0" w:after="283"/>
              <w:jc w:val="left"/>
              <w:rPr/>
            </w:pPr>
            <w:r>
              <w:rPr/>
              <w:t> </w:t>
            </w:r>
          </w:p>
        </w:tc>
        <w:tc>
          <w:tcPr>
            <w:tcW w:w="496" w:type="dxa"/>
            <w:tcBorders>
              <w:top w:val="single" w:sz="8" w:space="0" w:color="000000"/>
            </w:tcBorders>
            <w:tcMar>
              <w:top w:w="28" w:type="dxa"/>
            </w:tcMar>
            <w:vAlign w:val="center"/>
          </w:tcPr>
          <w:p>
            <w:pPr>
              <w:pStyle w:val="TableContents"/>
              <w:bidi w:val="0"/>
              <w:spacing w:before="0" w:after="283"/>
              <w:jc w:val="left"/>
              <w:rPr/>
            </w:pPr>
            <w:r>
              <w:rPr/>
              <w:t> </w:t>
            </w:r>
          </w:p>
        </w:tc>
        <w:tc>
          <w:tcPr>
            <w:tcW w:w="586"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905" w:type="dxa"/>
            <w:tcBorders>
              <w:top w:val="single" w:sz="8" w:space="0" w:color="000000"/>
            </w:tcBorders>
            <w:shd w:fill="FFFFFF" w:val="clear"/>
            <w:tcMar>
              <w:top w:w="28" w:type="dxa"/>
            </w:tcMar>
            <w:vAlign w:val="center"/>
          </w:tcPr>
          <w:p>
            <w:pPr>
              <w:pStyle w:val="TableContents"/>
              <w:bidi w:val="0"/>
              <w:spacing w:before="0" w:after="283"/>
              <w:jc w:val="left"/>
              <w:rPr/>
            </w:pPr>
            <w:r>
              <w:rPr/>
              <w:t> </w:t>
            </w:r>
          </w:p>
        </w:tc>
        <w:tc>
          <w:tcPr>
            <w:tcW w:w="905" w:type="dxa"/>
            <w:tcBorders>
              <w:top w:val="single" w:sz="8" w:space="0" w:color="000000"/>
              <w:right w:val="single" w:sz="8" w:space="0" w:color="000000"/>
            </w:tcBorders>
            <w:shd w:fill="FFFFFF" w:val="clear"/>
            <w:tcMar>
              <w:top w:w="28" w:type="dxa"/>
              <w:right w:w="60" w:type="dxa"/>
            </w:tcMar>
            <w:vAlign w:val="center"/>
          </w:tcPr>
          <w:p>
            <w:pPr>
              <w:pStyle w:val="TableContents"/>
              <w:bidi w:val="0"/>
              <w:spacing w:before="0" w:after="283"/>
              <w:jc w:val="left"/>
              <w:rPr/>
            </w:pPr>
            <w:r>
              <w:rPr/>
              <w:t> </w:t>
            </w:r>
          </w:p>
        </w:tc>
        <w:tc>
          <w:tcPr>
            <w:tcW w:w="915"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center"/>
              <w:rPr/>
            </w:pPr>
            <w:r>
              <w:rPr/>
              <w:t> </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Interest and dividend income</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r>
              <w:rPr>
                <w:sz w:val="16"/>
              </w:rPr>
              <w:t>2,340,804</w:t>
            </w:r>
          </w:p>
        </w:tc>
        <w:tc>
          <w:tcPr>
            <w:tcW w:w="905" w:type="dxa"/>
            <w:tcBorders/>
            <w:vAlign w:val="center"/>
          </w:tcPr>
          <w:p>
            <w:pPr>
              <w:pStyle w:val="TableContents"/>
              <w:bidi w:val="0"/>
              <w:spacing w:before="0" w:after="283"/>
              <w:jc w:val="right"/>
              <w:rPr/>
            </w:pPr>
            <w:r>
              <w:rPr/>
              <w:t> </w:t>
            </w:r>
            <w:r>
              <w:rPr>
                <w:sz w:val="16"/>
              </w:rPr>
              <w:t>3,205,509</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r>
              <w:rPr>
                <w:sz w:val="16"/>
              </w:rPr>
              <w:t>3,323,237</w:t>
            </w:r>
          </w:p>
        </w:tc>
        <w:tc>
          <w:tcPr>
            <w:tcW w:w="496" w:type="dxa"/>
            <w:tcBorders/>
            <w:vAlign w:val="center"/>
          </w:tcPr>
          <w:p>
            <w:pPr>
              <w:pStyle w:val="TableContents"/>
              <w:bidi w:val="0"/>
              <w:spacing w:before="0" w:after="283"/>
              <w:jc w:val="center"/>
              <w:rPr>
                <w:sz w:val="16"/>
              </w:rPr>
            </w:pPr>
            <w:r>
              <w:rPr>
                <w:sz w:val="16"/>
              </w:rPr>
              <w:t>3.7%</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42.0%</w:t>
            </w:r>
          </w:p>
        </w:tc>
        <w:tc>
          <w:tcPr>
            <w:tcW w:w="905" w:type="dxa"/>
            <w:tcBorders/>
            <w:shd w:fill="FFFFFF" w:val="clear"/>
            <w:vAlign w:val="center"/>
          </w:tcPr>
          <w:p>
            <w:pPr>
              <w:pStyle w:val="TableContents"/>
              <w:bidi w:val="0"/>
              <w:spacing w:before="0" w:after="283"/>
              <w:jc w:val="right"/>
              <w:rPr/>
            </w:pPr>
            <w:r>
              <w:rPr/>
              <w:t> </w:t>
            </w:r>
            <w:r>
              <w:rPr>
                <w:sz w:val="16"/>
              </w:rPr>
              <w:t>4,461,020</w:t>
            </w:r>
          </w:p>
        </w:tc>
        <w:tc>
          <w:tcPr>
            <w:tcW w:w="905" w:type="dxa"/>
            <w:tcBorders/>
            <w:shd w:fill="FFFFFF" w:val="clear"/>
            <w:vAlign w:val="center"/>
          </w:tcPr>
          <w:p>
            <w:pPr>
              <w:pStyle w:val="TableContents"/>
              <w:bidi w:val="0"/>
              <w:spacing w:before="0" w:after="283"/>
              <w:jc w:val="right"/>
              <w:rPr/>
            </w:pPr>
            <w:r>
              <w:rPr/>
              <w:t> </w:t>
            </w:r>
            <w:r>
              <w:rPr>
                <w:sz w:val="16"/>
              </w:rPr>
              <w:t>6,528,746</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46.4%</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Interest expense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(481,139)</w:t>
            </w:r>
          </w:p>
        </w:tc>
        <w:tc>
          <w:tcPr>
            <w:tcW w:w="905" w:type="dxa"/>
            <w:tcBorders/>
            <w:vAlign w:val="center"/>
          </w:tcPr>
          <w:p>
            <w:pPr>
              <w:pStyle w:val="TableContents"/>
              <w:bidi w:val="0"/>
              <w:spacing w:before="0" w:after="283"/>
              <w:jc w:val="right"/>
              <w:rPr>
                <w:sz w:val="16"/>
              </w:rPr>
            </w:pPr>
            <w:r>
              <w:rPr>
                <w:sz w:val="16"/>
              </w:rPr>
              <w:t>(817,056)</w:t>
            </w:r>
          </w:p>
        </w:tc>
        <w:tc>
          <w:tcPr>
            <w:tcW w:w="905" w:type="dxa"/>
            <w:tcBorders>
              <w:right w:val="single" w:sz="8" w:space="0" w:color="000000"/>
            </w:tcBorders>
            <w:tcMar>
              <w:right w:w="28" w:type="dxa"/>
            </w:tcMar>
            <w:vAlign w:val="center"/>
          </w:tcPr>
          <w:p>
            <w:pPr>
              <w:pStyle w:val="TableContents"/>
              <w:bidi w:val="0"/>
              <w:spacing w:before="0" w:after="283"/>
              <w:jc w:val="right"/>
              <w:rPr>
                <w:sz w:val="16"/>
              </w:rPr>
            </w:pPr>
            <w:r>
              <w:rPr>
                <w:sz w:val="16"/>
              </w:rPr>
              <w:t>(912,744)</w:t>
            </w:r>
          </w:p>
        </w:tc>
        <w:tc>
          <w:tcPr>
            <w:tcW w:w="496" w:type="dxa"/>
            <w:tcBorders/>
            <w:vAlign w:val="center"/>
          </w:tcPr>
          <w:p>
            <w:pPr>
              <w:pStyle w:val="TableContents"/>
              <w:bidi w:val="0"/>
              <w:spacing w:before="0" w:after="283"/>
              <w:jc w:val="center"/>
              <w:rPr>
                <w:sz w:val="16"/>
              </w:rPr>
            </w:pPr>
            <w:r>
              <w:rPr>
                <w:sz w:val="16"/>
              </w:rPr>
              <w:t>11.7%</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89.7%</w:t>
            </w:r>
          </w:p>
        </w:tc>
        <w:tc>
          <w:tcPr>
            <w:tcW w:w="905" w:type="dxa"/>
            <w:tcBorders/>
            <w:shd w:fill="FFFFFF" w:val="clear"/>
            <w:vAlign w:val="center"/>
          </w:tcPr>
          <w:p>
            <w:pPr>
              <w:pStyle w:val="TableContents"/>
              <w:bidi w:val="0"/>
              <w:spacing w:before="0" w:after="283"/>
              <w:jc w:val="right"/>
              <w:rPr/>
            </w:pPr>
            <w:r>
              <w:rPr/>
              <w:t> </w:t>
            </w:r>
            <w:r>
              <w:rPr>
                <w:sz w:val="16"/>
              </w:rPr>
              <w:t>(896,002)</w:t>
            </w:r>
          </w:p>
        </w:tc>
        <w:tc>
          <w:tcPr>
            <w:tcW w:w="905" w:type="dxa"/>
            <w:tcBorders/>
            <w:shd w:fill="FFFFFF" w:val="clear"/>
            <w:vAlign w:val="center"/>
          </w:tcPr>
          <w:p>
            <w:pPr>
              <w:pStyle w:val="TableContents"/>
              <w:bidi w:val="0"/>
              <w:spacing w:before="0" w:after="283"/>
              <w:jc w:val="right"/>
              <w:rPr/>
            </w:pPr>
            <w:r>
              <w:rPr/>
              <w:t> </w:t>
            </w:r>
            <w:r>
              <w:rPr>
                <w:sz w:val="16"/>
              </w:rPr>
              <w:t>(1,729,800)</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93.1%</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vAlign w:val="center"/>
          </w:tcPr>
          <w:p>
            <w:pPr>
              <w:pStyle w:val="TableContents"/>
              <w:bidi w:val="0"/>
              <w:spacing w:before="0" w:after="283"/>
              <w:jc w:val="left"/>
              <w:rPr>
                <w:b/>
                <w:sz w:val="16"/>
              </w:rPr>
            </w:pPr>
            <w:r>
              <w:rPr>
                <w:b/>
                <w:sz w:val="16"/>
              </w:rPr>
              <w:t>Net interest income</w:t>
            </w:r>
          </w:p>
        </w:tc>
        <w:tc>
          <w:tcPr>
            <w:tcW w:w="60" w:type="dxa"/>
            <w:tcBorders/>
            <w:shd w:fill="FFFFFF" w:val="clear"/>
            <w:vAlign w:val="center"/>
          </w:tcPr>
          <w:p>
            <w:pPr>
              <w:pStyle w:val="TableContents"/>
              <w:bidi w:val="0"/>
              <w:spacing w:before="0" w:after="283"/>
              <w:jc w:val="center"/>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1,859,665</w:t>
            </w:r>
          </w:p>
        </w:tc>
        <w:tc>
          <w:tcPr>
            <w:tcW w:w="905" w:type="dxa"/>
            <w:tcBorders/>
            <w:vAlign w:val="center"/>
          </w:tcPr>
          <w:p>
            <w:pPr>
              <w:pStyle w:val="TableContents"/>
              <w:bidi w:val="0"/>
              <w:spacing w:before="0" w:after="283"/>
              <w:jc w:val="right"/>
              <w:rPr/>
            </w:pPr>
            <w:r>
              <w:rPr/>
              <w:t> </w:t>
            </w:r>
            <w:r>
              <w:rPr>
                <w:b/>
                <w:sz w:val="16"/>
              </w:rPr>
              <w:t>2,388,453</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2,410,493</w:t>
            </w:r>
          </w:p>
        </w:tc>
        <w:tc>
          <w:tcPr>
            <w:tcW w:w="496" w:type="dxa"/>
            <w:tcBorders/>
            <w:vAlign w:val="center"/>
          </w:tcPr>
          <w:p>
            <w:pPr>
              <w:pStyle w:val="TableContents"/>
              <w:bidi w:val="0"/>
              <w:spacing w:before="0" w:after="283"/>
              <w:jc w:val="center"/>
              <w:rPr>
                <w:b/>
                <w:sz w:val="16"/>
              </w:rPr>
            </w:pPr>
            <w:r>
              <w:rPr>
                <w:b/>
                <w:sz w:val="16"/>
              </w:rPr>
              <w:t>0.9%</w:t>
            </w:r>
          </w:p>
        </w:tc>
        <w:tc>
          <w:tcPr>
            <w:tcW w:w="586"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29.6%</w:t>
            </w:r>
          </w:p>
        </w:tc>
        <w:tc>
          <w:tcPr>
            <w:tcW w:w="905" w:type="dxa"/>
            <w:tcBorders/>
            <w:shd w:fill="FFFFFF" w:val="clear"/>
            <w:vAlign w:val="center"/>
          </w:tcPr>
          <w:p>
            <w:pPr>
              <w:pStyle w:val="TableContents"/>
              <w:bidi w:val="0"/>
              <w:spacing w:before="0" w:after="283"/>
              <w:jc w:val="right"/>
              <w:rPr/>
            </w:pPr>
            <w:r>
              <w:rPr/>
              <w:t> </w:t>
            </w:r>
            <w:r>
              <w:rPr>
                <w:b/>
                <w:sz w:val="16"/>
              </w:rPr>
              <w:t>3,565,018</w:t>
            </w:r>
          </w:p>
        </w:tc>
        <w:tc>
          <w:tcPr>
            <w:tcW w:w="905" w:type="dxa"/>
            <w:tcBorders/>
            <w:shd w:fill="FFFFFF" w:val="clear"/>
            <w:vAlign w:val="center"/>
          </w:tcPr>
          <w:p>
            <w:pPr>
              <w:pStyle w:val="TableContents"/>
              <w:bidi w:val="0"/>
              <w:spacing w:before="0" w:after="283"/>
              <w:jc w:val="right"/>
              <w:rPr/>
            </w:pPr>
            <w:r>
              <w:rPr/>
              <w:t> </w:t>
            </w:r>
            <w:r>
              <w:rPr>
                <w:b/>
                <w:sz w:val="16"/>
              </w:rPr>
              <w:t>4,798,946</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34.6%</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p>
        </w:tc>
        <w:tc>
          <w:tcPr>
            <w:tcW w:w="496" w:type="dxa"/>
            <w:tcBorders/>
            <w:vAlign w:val="center"/>
          </w:tcPr>
          <w:p>
            <w:pPr>
              <w:pStyle w:val="TableContents"/>
              <w:bidi w:val="0"/>
              <w:spacing w:before="0" w:after="283"/>
              <w:jc w:val="center"/>
              <w:rPr/>
            </w:pPr>
            <w:r>
              <w:rPr/>
              <w:t> </w:t>
            </w:r>
          </w:p>
        </w:tc>
        <w:tc>
          <w:tcPr>
            <w:tcW w:w="586" w:type="dxa"/>
            <w:tcBorders>
              <w:right w:val="single" w:sz="8" w:space="0" w:color="000000"/>
            </w:tcBorders>
            <w:tcMar>
              <w:right w:w="28" w:type="dxa"/>
            </w:tcM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283"/>
              <w:jc w:val="right"/>
              <w:rPr/>
            </w:pPr>
            <w:r>
              <w:rPr/>
              <w:t> </w:t>
            </w:r>
          </w:p>
        </w:tc>
        <w:tc>
          <w:tcPr>
            <w:tcW w:w="91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center"/>
              <w:rPr/>
            </w:pPr>
            <w:r>
              <w:rPr/>
              <w:t> </w:t>
            </w:r>
          </w:p>
        </w:tc>
      </w:tr>
      <w:tr>
        <w:trPr/>
        <w:tc>
          <w:tcPr>
            <w:tcW w:w="3623" w:type="dxa"/>
            <w:gridSpan w:val="2"/>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Provision for credit losses on loan portfolio</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(268,439)</w:t>
            </w:r>
          </w:p>
        </w:tc>
        <w:tc>
          <w:tcPr>
            <w:tcW w:w="905" w:type="dxa"/>
            <w:tcBorders/>
            <w:vAlign w:val="center"/>
          </w:tcPr>
          <w:p>
            <w:pPr>
              <w:pStyle w:val="TableContents"/>
              <w:bidi w:val="0"/>
              <w:spacing w:before="0" w:after="283"/>
              <w:jc w:val="right"/>
              <w:rPr>
                <w:sz w:val="16"/>
              </w:rPr>
            </w:pPr>
            <w:r>
              <w:rPr>
                <w:sz w:val="16"/>
              </w:rPr>
              <w:t>(532,192)</w:t>
            </w:r>
          </w:p>
        </w:tc>
        <w:tc>
          <w:tcPr>
            <w:tcW w:w="905" w:type="dxa"/>
            <w:tcBorders>
              <w:right w:val="single" w:sz="8" w:space="0" w:color="000000"/>
            </w:tcBorders>
            <w:tcMar>
              <w:right w:w="28" w:type="dxa"/>
            </w:tcMar>
            <w:vAlign w:val="center"/>
          </w:tcPr>
          <w:p>
            <w:pPr>
              <w:pStyle w:val="TableContents"/>
              <w:bidi w:val="0"/>
              <w:spacing w:before="0" w:after="283"/>
              <w:jc w:val="right"/>
              <w:rPr>
                <w:sz w:val="16"/>
              </w:rPr>
            </w:pPr>
            <w:r>
              <w:rPr>
                <w:sz w:val="16"/>
              </w:rPr>
              <w:t>(657,546)</w:t>
            </w:r>
          </w:p>
        </w:tc>
        <w:tc>
          <w:tcPr>
            <w:tcW w:w="496" w:type="dxa"/>
            <w:tcBorders/>
            <w:vAlign w:val="center"/>
          </w:tcPr>
          <w:p>
            <w:pPr>
              <w:pStyle w:val="TableContents"/>
              <w:bidi w:val="0"/>
              <w:spacing w:before="0" w:after="283"/>
              <w:jc w:val="center"/>
              <w:rPr>
                <w:sz w:val="16"/>
              </w:rPr>
            </w:pPr>
            <w:r>
              <w:rPr>
                <w:sz w:val="16"/>
              </w:rPr>
              <w:t>23.6%</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145.0%</w:t>
            </w:r>
          </w:p>
        </w:tc>
        <w:tc>
          <w:tcPr>
            <w:tcW w:w="905" w:type="dxa"/>
            <w:tcBorders/>
            <w:shd w:fill="FFFFFF" w:val="clear"/>
            <w:vAlign w:val="center"/>
          </w:tcPr>
          <w:p>
            <w:pPr>
              <w:pStyle w:val="TableContents"/>
              <w:bidi w:val="0"/>
              <w:spacing w:before="0" w:after="283"/>
              <w:jc w:val="right"/>
              <w:rPr/>
            </w:pPr>
            <w:r>
              <w:rPr/>
              <w:t> </w:t>
            </w:r>
            <w:r>
              <w:rPr>
                <w:sz w:val="16"/>
              </w:rPr>
              <w:t>(471,207)</w:t>
            </w:r>
          </w:p>
        </w:tc>
        <w:tc>
          <w:tcPr>
            <w:tcW w:w="905" w:type="dxa"/>
            <w:tcBorders/>
            <w:shd w:fill="FFFFFF" w:val="clear"/>
            <w:vAlign w:val="center"/>
          </w:tcPr>
          <w:p>
            <w:pPr>
              <w:pStyle w:val="TableContents"/>
              <w:bidi w:val="0"/>
              <w:spacing w:before="0" w:after="283"/>
              <w:jc w:val="right"/>
              <w:rPr/>
            </w:pPr>
            <w:r>
              <w:rPr/>
              <w:t> </w:t>
            </w:r>
            <w:r>
              <w:rPr>
                <w:sz w:val="16"/>
              </w:rPr>
              <w:t>(1,189,738)</w:t>
            </w:r>
          </w:p>
        </w:tc>
        <w:tc>
          <w:tcPr>
            <w:tcW w:w="91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center"/>
              <w:rPr>
                <w:sz w:val="16"/>
              </w:rPr>
            </w:pPr>
            <w:r>
              <w:rPr>
                <w:sz w:val="16"/>
              </w:rPr>
              <w:t>152.5%</w:t>
            </w:r>
          </w:p>
        </w:tc>
      </w:tr>
      <w:tr>
        <w:trPr/>
        <w:tc>
          <w:tcPr>
            <w:tcW w:w="3623" w:type="dxa"/>
            <w:gridSpan w:val="2"/>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Recoveries of written-off loans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51,155</w:t>
            </w:r>
          </w:p>
        </w:tc>
        <w:tc>
          <w:tcPr>
            <w:tcW w:w="905" w:type="dxa"/>
            <w:tcBorders/>
            <w:vAlign w:val="center"/>
          </w:tcPr>
          <w:p>
            <w:pPr>
              <w:pStyle w:val="TableContents"/>
              <w:bidi w:val="0"/>
              <w:spacing w:before="0" w:after="283"/>
              <w:jc w:val="right"/>
              <w:rPr>
                <w:sz w:val="16"/>
              </w:rPr>
            </w:pPr>
            <w:r>
              <w:rPr>
                <w:sz w:val="16"/>
              </w:rPr>
              <w:t>47,417</w:t>
            </w:r>
          </w:p>
        </w:tc>
        <w:tc>
          <w:tcPr>
            <w:tcW w:w="905" w:type="dxa"/>
            <w:tcBorders>
              <w:right w:val="single" w:sz="8" w:space="0" w:color="000000"/>
            </w:tcBorders>
            <w:tcMar>
              <w:right w:w="60" w:type="dxa"/>
            </w:tcMar>
            <w:vAlign w:val="center"/>
          </w:tcPr>
          <w:p>
            <w:pPr>
              <w:pStyle w:val="TableContents"/>
              <w:bidi w:val="0"/>
              <w:spacing w:before="0" w:after="283"/>
              <w:jc w:val="right"/>
              <w:rPr>
                <w:sz w:val="16"/>
              </w:rPr>
            </w:pPr>
            <w:r>
              <w:rPr>
                <w:sz w:val="16"/>
              </w:rPr>
              <w:t>53,892</w:t>
            </w:r>
          </w:p>
        </w:tc>
        <w:tc>
          <w:tcPr>
            <w:tcW w:w="496" w:type="dxa"/>
            <w:tcBorders/>
            <w:vAlign w:val="center"/>
          </w:tcPr>
          <w:p>
            <w:pPr>
              <w:pStyle w:val="TableContents"/>
              <w:bidi w:val="0"/>
              <w:spacing w:before="0" w:after="283"/>
              <w:jc w:val="center"/>
              <w:rPr>
                <w:sz w:val="16"/>
              </w:rPr>
            </w:pPr>
            <w:r>
              <w:rPr>
                <w:sz w:val="16"/>
              </w:rPr>
              <w:t>13.7%</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5.4%</w:t>
            </w:r>
          </w:p>
        </w:tc>
        <w:tc>
          <w:tcPr>
            <w:tcW w:w="905" w:type="dxa"/>
            <w:tcBorders/>
            <w:shd w:fill="FFFFFF" w:val="clear"/>
            <w:vAlign w:val="center"/>
          </w:tcPr>
          <w:p>
            <w:pPr>
              <w:pStyle w:val="TableContents"/>
              <w:bidi w:val="0"/>
              <w:spacing w:before="0" w:after="283"/>
              <w:jc w:val="right"/>
              <w:rPr>
                <w:sz w:val="16"/>
              </w:rPr>
            </w:pPr>
            <w:r>
              <w:rPr>
                <w:sz w:val="16"/>
              </w:rPr>
              <w:t>107,280</w:t>
            </w:r>
          </w:p>
        </w:tc>
        <w:tc>
          <w:tcPr>
            <w:tcW w:w="905" w:type="dxa"/>
            <w:tcBorders/>
            <w:shd w:fill="FFFFFF" w:val="clear"/>
            <w:vAlign w:val="center"/>
          </w:tcPr>
          <w:p>
            <w:pPr>
              <w:pStyle w:val="TableContents"/>
              <w:bidi w:val="0"/>
              <w:spacing w:before="0" w:after="283"/>
              <w:jc w:val="right"/>
              <w:rPr>
                <w:sz w:val="16"/>
              </w:rPr>
            </w:pPr>
            <w:r>
              <w:rPr>
                <w:sz w:val="16"/>
              </w:rPr>
              <w:t>101,309</w:t>
            </w:r>
          </w:p>
        </w:tc>
        <w:tc>
          <w:tcPr>
            <w:tcW w:w="91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center"/>
              <w:rPr>
                <w:sz w:val="16"/>
              </w:rPr>
            </w:pPr>
            <w:r>
              <w:rPr>
                <w:sz w:val="16"/>
              </w:rPr>
              <w:t>-5.6%</w:t>
            </w:r>
          </w:p>
        </w:tc>
      </w:tr>
      <w:tr>
        <w:trPr/>
        <w:tc>
          <w:tcPr>
            <w:tcW w:w="3623"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Provision for credit losses on loan portfolio, net of recoveries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b/>
                <w:sz w:val="16"/>
              </w:rPr>
            </w:pPr>
            <w:r>
              <w:rPr>
                <w:b/>
                <w:sz w:val="16"/>
              </w:rPr>
              <w:t>(217,284)</w:t>
            </w:r>
          </w:p>
        </w:tc>
        <w:tc>
          <w:tcPr>
            <w:tcW w:w="905" w:type="dxa"/>
            <w:tcBorders/>
            <w:vAlign w:val="center"/>
          </w:tcPr>
          <w:p>
            <w:pPr>
              <w:pStyle w:val="TableContents"/>
              <w:bidi w:val="0"/>
              <w:spacing w:before="0" w:after="283"/>
              <w:jc w:val="right"/>
              <w:rPr>
                <w:b/>
                <w:sz w:val="16"/>
              </w:rPr>
            </w:pPr>
            <w:r>
              <w:rPr>
                <w:b/>
                <w:sz w:val="16"/>
              </w:rPr>
              <w:t>(484,775)</w:t>
            </w:r>
          </w:p>
        </w:tc>
        <w:tc>
          <w:tcPr>
            <w:tcW w:w="905" w:type="dxa"/>
            <w:tcBorders>
              <w:right w:val="single" w:sz="8" w:space="0" w:color="000000"/>
            </w:tcBorders>
            <w:tcMar>
              <w:right w:w="28" w:type="dxa"/>
            </w:tcMar>
            <w:vAlign w:val="center"/>
          </w:tcPr>
          <w:p>
            <w:pPr>
              <w:pStyle w:val="TableContents"/>
              <w:bidi w:val="0"/>
              <w:spacing w:before="0" w:after="283"/>
              <w:jc w:val="right"/>
              <w:rPr>
                <w:b/>
                <w:sz w:val="16"/>
              </w:rPr>
            </w:pPr>
            <w:r>
              <w:rPr>
                <w:b/>
                <w:sz w:val="16"/>
              </w:rPr>
              <w:t>(603,654)</w:t>
            </w:r>
          </w:p>
        </w:tc>
        <w:tc>
          <w:tcPr>
            <w:tcW w:w="496" w:type="dxa"/>
            <w:tcBorders/>
            <w:vAlign w:val="center"/>
          </w:tcPr>
          <w:p>
            <w:pPr>
              <w:pStyle w:val="TableContents"/>
              <w:bidi w:val="0"/>
              <w:spacing w:before="0" w:after="283"/>
              <w:jc w:val="center"/>
              <w:rPr>
                <w:b/>
                <w:sz w:val="16"/>
              </w:rPr>
            </w:pPr>
            <w:r>
              <w:rPr>
                <w:b/>
                <w:sz w:val="16"/>
              </w:rPr>
              <w:t>24.5%</w:t>
            </w:r>
          </w:p>
        </w:tc>
        <w:tc>
          <w:tcPr>
            <w:tcW w:w="586"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177.8%</w:t>
            </w:r>
          </w:p>
        </w:tc>
        <w:tc>
          <w:tcPr>
            <w:tcW w:w="905" w:type="dxa"/>
            <w:tcBorders/>
            <w:shd w:fill="FFFFFF" w:val="clear"/>
            <w:vAlign w:val="center"/>
          </w:tcPr>
          <w:p>
            <w:pPr>
              <w:pStyle w:val="TableContents"/>
              <w:bidi w:val="0"/>
              <w:spacing w:before="0" w:after="283"/>
              <w:jc w:val="right"/>
              <w:rPr/>
            </w:pPr>
            <w:r>
              <w:rPr/>
              <w:t> </w:t>
            </w:r>
            <w:r>
              <w:rPr>
                <w:b/>
                <w:sz w:val="16"/>
              </w:rPr>
              <w:t>(363,927)</w:t>
            </w:r>
          </w:p>
        </w:tc>
        <w:tc>
          <w:tcPr>
            <w:tcW w:w="905" w:type="dxa"/>
            <w:tcBorders/>
            <w:shd w:fill="FFFFFF" w:val="clear"/>
            <w:vAlign w:val="center"/>
          </w:tcPr>
          <w:p>
            <w:pPr>
              <w:pStyle w:val="TableContents"/>
              <w:bidi w:val="0"/>
              <w:spacing w:before="0" w:after="283"/>
              <w:jc w:val="right"/>
              <w:rPr/>
            </w:pPr>
            <w:r>
              <w:rPr/>
              <w:t> </w:t>
            </w:r>
            <w:r>
              <w:rPr>
                <w:b/>
                <w:sz w:val="16"/>
              </w:rPr>
              <w:t>(1,088,429)</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199.1%</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p>
        </w:tc>
        <w:tc>
          <w:tcPr>
            <w:tcW w:w="496" w:type="dxa"/>
            <w:tcBorders/>
            <w:vAlign w:val="center"/>
          </w:tcPr>
          <w:p>
            <w:pPr>
              <w:pStyle w:val="TableContents"/>
              <w:bidi w:val="0"/>
              <w:spacing w:before="0" w:after="283"/>
              <w:jc w:val="center"/>
              <w:rPr/>
            </w:pPr>
            <w:r>
              <w:rPr/>
              <w:t> </w:t>
            </w:r>
          </w:p>
        </w:tc>
        <w:tc>
          <w:tcPr>
            <w:tcW w:w="586" w:type="dxa"/>
            <w:tcBorders>
              <w:right w:val="single" w:sz="8" w:space="0" w:color="000000"/>
            </w:tcBorders>
            <w:tcMar>
              <w:right w:w="28" w:type="dxa"/>
            </w:tcM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283"/>
              <w:jc w:val="right"/>
              <w:rPr/>
            </w:pPr>
            <w:r>
              <w:rPr/>
              <w:t> </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3683" w:type="dxa"/>
            <w:gridSpan w:val="3"/>
            <w:tcBorders>
              <w:left w:val="single" w:sz="8" w:space="0" w:color="000000"/>
            </w:tcBorders>
            <w:tcMar>
              <w:left w:w="28" w:type="dxa"/>
            </w:tcMar>
            <w:vAlign w:val="center"/>
          </w:tcPr>
          <w:p>
            <w:pPr>
              <w:pStyle w:val="TableContents"/>
              <w:bidi w:val="0"/>
              <w:spacing w:before="0" w:after="283"/>
              <w:jc w:val="left"/>
              <w:rPr>
                <w:b/>
                <w:sz w:val="16"/>
              </w:rPr>
            </w:pPr>
            <w:r>
              <w:rPr>
                <w:b/>
                <w:sz w:val="16"/>
              </w:rPr>
              <w:t>Risk-adjusted net interest income</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1,642,381</w:t>
            </w:r>
          </w:p>
        </w:tc>
        <w:tc>
          <w:tcPr>
            <w:tcW w:w="905" w:type="dxa"/>
            <w:tcBorders/>
            <w:vAlign w:val="center"/>
          </w:tcPr>
          <w:p>
            <w:pPr>
              <w:pStyle w:val="TableContents"/>
              <w:bidi w:val="0"/>
              <w:spacing w:before="0" w:after="283"/>
              <w:jc w:val="right"/>
              <w:rPr/>
            </w:pPr>
            <w:r>
              <w:rPr/>
              <w:t> </w:t>
            </w:r>
            <w:r>
              <w:rPr>
                <w:b/>
                <w:sz w:val="16"/>
              </w:rPr>
              <w:t>1,903,678</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1,806,839</w:t>
            </w:r>
          </w:p>
        </w:tc>
        <w:tc>
          <w:tcPr>
            <w:tcW w:w="496" w:type="dxa"/>
            <w:tcBorders/>
            <w:vAlign w:val="center"/>
          </w:tcPr>
          <w:p>
            <w:pPr>
              <w:pStyle w:val="TableContents"/>
              <w:bidi w:val="0"/>
              <w:spacing w:before="0" w:after="283"/>
              <w:jc w:val="center"/>
              <w:rPr>
                <w:b/>
                <w:sz w:val="16"/>
              </w:rPr>
            </w:pPr>
            <w:r>
              <w:rPr>
                <w:b/>
                <w:sz w:val="16"/>
              </w:rPr>
              <w:t>-5.1%</w:t>
            </w:r>
          </w:p>
        </w:tc>
        <w:tc>
          <w:tcPr>
            <w:tcW w:w="586"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10.0%</w:t>
            </w:r>
          </w:p>
        </w:tc>
        <w:tc>
          <w:tcPr>
            <w:tcW w:w="905" w:type="dxa"/>
            <w:tcBorders/>
            <w:shd w:fill="FFFFFF" w:val="clear"/>
            <w:vAlign w:val="center"/>
          </w:tcPr>
          <w:p>
            <w:pPr>
              <w:pStyle w:val="TableContents"/>
              <w:bidi w:val="0"/>
              <w:spacing w:before="0" w:after="283"/>
              <w:jc w:val="right"/>
              <w:rPr/>
            </w:pPr>
            <w:r>
              <w:rPr/>
              <w:t> </w:t>
            </w:r>
            <w:r>
              <w:rPr>
                <w:b/>
                <w:sz w:val="16"/>
              </w:rPr>
              <w:t>3,201,091</w:t>
            </w:r>
          </w:p>
        </w:tc>
        <w:tc>
          <w:tcPr>
            <w:tcW w:w="905" w:type="dxa"/>
            <w:tcBorders/>
            <w:shd w:fill="FFFFFF" w:val="clear"/>
            <w:vAlign w:val="center"/>
          </w:tcPr>
          <w:p>
            <w:pPr>
              <w:pStyle w:val="TableContents"/>
              <w:bidi w:val="0"/>
              <w:spacing w:before="0" w:after="283"/>
              <w:jc w:val="right"/>
              <w:rPr/>
            </w:pPr>
            <w:r>
              <w:rPr/>
              <w:t> </w:t>
            </w:r>
            <w:r>
              <w:rPr>
                <w:b/>
                <w:sz w:val="16"/>
              </w:rPr>
              <w:t>3,710,517</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15.9%</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p>
        </w:tc>
        <w:tc>
          <w:tcPr>
            <w:tcW w:w="496" w:type="dxa"/>
            <w:tcBorders/>
            <w:vAlign w:val="center"/>
          </w:tcPr>
          <w:p>
            <w:pPr>
              <w:pStyle w:val="TableContents"/>
              <w:bidi w:val="0"/>
              <w:spacing w:before="0" w:after="283"/>
              <w:jc w:val="center"/>
              <w:rPr/>
            </w:pPr>
            <w:r>
              <w:rPr/>
              <w:t> </w:t>
            </w:r>
          </w:p>
        </w:tc>
        <w:tc>
          <w:tcPr>
            <w:tcW w:w="586" w:type="dxa"/>
            <w:tcBorders>
              <w:right w:val="single" w:sz="8" w:space="0" w:color="000000"/>
            </w:tcBorders>
            <w:tcMar>
              <w:right w:w="28" w:type="dxa"/>
            </w:tcM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283"/>
              <w:jc w:val="right"/>
              <w:rPr/>
            </w:pPr>
            <w:r>
              <w:rPr/>
              <w:t> </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3623"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Other income</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p>
        </w:tc>
        <w:tc>
          <w:tcPr>
            <w:tcW w:w="496" w:type="dxa"/>
            <w:tcBorders/>
            <w:vAlign w:val="center"/>
          </w:tcPr>
          <w:p>
            <w:pPr>
              <w:pStyle w:val="TableContents"/>
              <w:bidi w:val="0"/>
              <w:spacing w:before="0" w:after="283"/>
              <w:jc w:val="center"/>
              <w:rPr/>
            </w:pPr>
            <w:r>
              <w:rPr/>
              <w:t> </w:t>
            </w:r>
          </w:p>
        </w:tc>
        <w:tc>
          <w:tcPr>
            <w:tcW w:w="586" w:type="dxa"/>
            <w:tcBorders>
              <w:right w:val="single" w:sz="8" w:space="0" w:color="000000"/>
            </w:tcBorders>
            <w:tcMar>
              <w:right w:w="28" w:type="dxa"/>
            </w:tcM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283"/>
              <w:jc w:val="right"/>
              <w:rPr/>
            </w:pPr>
            <w:r>
              <w:rPr/>
              <w:t> </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Fee income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727,644</w:t>
            </w:r>
          </w:p>
        </w:tc>
        <w:tc>
          <w:tcPr>
            <w:tcW w:w="905" w:type="dxa"/>
            <w:tcBorders/>
            <w:vAlign w:val="center"/>
          </w:tcPr>
          <w:p>
            <w:pPr>
              <w:pStyle w:val="TableContents"/>
              <w:bidi w:val="0"/>
              <w:spacing w:before="0" w:after="283"/>
              <w:jc w:val="right"/>
              <w:rPr>
                <w:sz w:val="16"/>
              </w:rPr>
            </w:pPr>
            <w:r>
              <w:rPr>
                <w:sz w:val="16"/>
              </w:rPr>
              <w:t>698,207</w:t>
            </w:r>
          </w:p>
        </w:tc>
        <w:tc>
          <w:tcPr>
            <w:tcW w:w="905" w:type="dxa"/>
            <w:tcBorders>
              <w:right w:val="single" w:sz="8" w:space="0" w:color="000000"/>
            </w:tcBorders>
            <w:tcMar>
              <w:right w:w="60" w:type="dxa"/>
            </w:tcMar>
            <w:vAlign w:val="center"/>
          </w:tcPr>
          <w:p>
            <w:pPr>
              <w:pStyle w:val="TableContents"/>
              <w:bidi w:val="0"/>
              <w:spacing w:before="0" w:after="283"/>
              <w:jc w:val="right"/>
              <w:rPr>
                <w:sz w:val="16"/>
              </w:rPr>
            </w:pPr>
            <w:r>
              <w:rPr>
                <w:sz w:val="16"/>
              </w:rPr>
              <w:t>723,231</w:t>
            </w:r>
          </w:p>
        </w:tc>
        <w:tc>
          <w:tcPr>
            <w:tcW w:w="496" w:type="dxa"/>
            <w:tcBorders/>
            <w:vAlign w:val="center"/>
          </w:tcPr>
          <w:p>
            <w:pPr>
              <w:pStyle w:val="TableContents"/>
              <w:bidi w:val="0"/>
              <w:spacing w:before="0" w:after="283"/>
              <w:jc w:val="center"/>
              <w:rPr>
                <w:sz w:val="16"/>
              </w:rPr>
            </w:pPr>
            <w:r>
              <w:rPr>
                <w:sz w:val="16"/>
              </w:rPr>
              <w:t>3.6%</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-0.6%</w:t>
            </w:r>
          </w:p>
        </w:tc>
        <w:tc>
          <w:tcPr>
            <w:tcW w:w="905" w:type="dxa"/>
            <w:tcBorders/>
            <w:shd w:fill="FFFFFF" w:val="clear"/>
            <w:vAlign w:val="center"/>
          </w:tcPr>
          <w:p>
            <w:pPr>
              <w:pStyle w:val="TableContents"/>
              <w:bidi w:val="0"/>
              <w:spacing w:before="0" w:after="283"/>
              <w:jc w:val="right"/>
              <w:rPr/>
            </w:pPr>
            <w:r>
              <w:rPr/>
              <w:t> </w:t>
            </w:r>
            <w:r>
              <w:rPr>
                <w:sz w:val="16"/>
              </w:rPr>
              <w:t>1,434,505</w:t>
            </w:r>
          </w:p>
        </w:tc>
        <w:tc>
          <w:tcPr>
            <w:tcW w:w="905" w:type="dxa"/>
            <w:tcBorders/>
            <w:shd w:fill="FFFFFF" w:val="clear"/>
            <w:vAlign w:val="center"/>
          </w:tcPr>
          <w:p>
            <w:pPr>
              <w:pStyle w:val="TableContents"/>
              <w:bidi w:val="0"/>
              <w:spacing w:before="0" w:after="283"/>
              <w:jc w:val="right"/>
              <w:rPr/>
            </w:pPr>
            <w:r>
              <w:rPr/>
              <w:t> </w:t>
            </w:r>
            <w:r>
              <w:rPr>
                <w:sz w:val="16"/>
              </w:rPr>
              <w:t>1,421,438</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-0.9%</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Net gain on foreign exchange transactions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240,387</w:t>
            </w:r>
          </w:p>
        </w:tc>
        <w:tc>
          <w:tcPr>
            <w:tcW w:w="905" w:type="dxa"/>
            <w:tcBorders/>
            <w:vAlign w:val="center"/>
          </w:tcPr>
          <w:p>
            <w:pPr>
              <w:pStyle w:val="TableContents"/>
              <w:bidi w:val="0"/>
              <w:spacing w:before="0" w:after="283"/>
              <w:jc w:val="right"/>
              <w:rPr>
                <w:sz w:val="16"/>
              </w:rPr>
            </w:pPr>
            <w:r>
              <w:rPr>
                <w:sz w:val="16"/>
              </w:rPr>
              <w:t>239,547</w:t>
            </w:r>
          </w:p>
        </w:tc>
        <w:tc>
          <w:tcPr>
            <w:tcW w:w="905" w:type="dxa"/>
            <w:tcBorders>
              <w:right w:val="single" w:sz="8" w:space="0" w:color="000000"/>
            </w:tcBorders>
            <w:tcMar>
              <w:right w:w="60" w:type="dxa"/>
            </w:tcMar>
            <w:vAlign w:val="center"/>
          </w:tcPr>
          <w:p>
            <w:pPr>
              <w:pStyle w:val="TableContents"/>
              <w:bidi w:val="0"/>
              <w:spacing w:before="0" w:after="283"/>
              <w:jc w:val="right"/>
              <w:rPr>
                <w:sz w:val="16"/>
              </w:rPr>
            </w:pPr>
            <w:r>
              <w:rPr>
                <w:sz w:val="16"/>
              </w:rPr>
              <w:t>244,314</w:t>
            </w:r>
          </w:p>
        </w:tc>
        <w:tc>
          <w:tcPr>
            <w:tcW w:w="496" w:type="dxa"/>
            <w:tcBorders/>
            <w:vAlign w:val="center"/>
          </w:tcPr>
          <w:p>
            <w:pPr>
              <w:pStyle w:val="TableContents"/>
              <w:bidi w:val="0"/>
              <w:spacing w:before="0" w:after="283"/>
              <w:jc w:val="center"/>
              <w:rPr>
                <w:sz w:val="16"/>
              </w:rPr>
            </w:pPr>
            <w:r>
              <w:rPr>
                <w:sz w:val="16"/>
              </w:rPr>
              <w:t>2.0%</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1.6%</w:t>
            </w:r>
          </w:p>
        </w:tc>
        <w:tc>
          <w:tcPr>
            <w:tcW w:w="905" w:type="dxa"/>
            <w:tcBorders/>
            <w:shd w:fill="FFFFFF" w:val="clear"/>
            <w:vAlign w:val="center"/>
          </w:tcPr>
          <w:p>
            <w:pPr>
              <w:pStyle w:val="TableContents"/>
              <w:bidi w:val="0"/>
              <w:spacing w:before="0" w:after="283"/>
              <w:jc w:val="right"/>
              <w:rPr>
                <w:sz w:val="16"/>
              </w:rPr>
            </w:pPr>
            <w:r>
              <w:rPr>
                <w:sz w:val="16"/>
              </w:rPr>
              <w:t>479,125</w:t>
            </w:r>
          </w:p>
        </w:tc>
        <w:tc>
          <w:tcPr>
            <w:tcW w:w="905" w:type="dxa"/>
            <w:tcBorders/>
            <w:shd w:fill="FFFFFF" w:val="clear"/>
            <w:vAlign w:val="center"/>
          </w:tcPr>
          <w:p>
            <w:pPr>
              <w:pStyle w:val="TableContents"/>
              <w:bidi w:val="0"/>
              <w:spacing w:before="0" w:after="283"/>
              <w:jc w:val="right"/>
              <w:rPr>
                <w:sz w:val="16"/>
              </w:rPr>
            </w:pPr>
            <w:r>
              <w:rPr>
                <w:sz w:val="16"/>
              </w:rPr>
              <w:t>483,861</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1.0%</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Net gain (losses) on securities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112,761</w:t>
            </w:r>
          </w:p>
        </w:tc>
        <w:tc>
          <w:tcPr>
            <w:tcW w:w="905" w:type="dxa"/>
            <w:tcBorders/>
            <w:vAlign w:val="center"/>
          </w:tcPr>
          <w:p>
            <w:pPr>
              <w:pStyle w:val="TableContents"/>
              <w:bidi w:val="0"/>
              <w:spacing w:before="0" w:after="283"/>
              <w:jc w:val="right"/>
              <w:rPr>
                <w:sz w:val="16"/>
              </w:rPr>
            </w:pPr>
            <w:r>
              <w:rPr>
                <w:sz w:val="16"/>
              </w:rPr>
              <w:t>26,998</w:t>
            </w:r>
          </w:p>
        </w:tc>
        <w:tc>
          <w:tcPr>
            <w:tcW w:w="905" w:type="dxa"/>
            <w:tcBorders>
              <w:right w:val="single" w:sz="8" w:space="0" w:color="000000"/>
            </w:tcBorders>
            <w:tcMar>
              <w:right w:w="60" w:type="dxa"/>
            </w:tcMar>
            <w:vAlign w:val="center"/>
          </w:tcPr>
          <w:p>
            <w:pPr>
              <w:pStyle w:val="TableContents"/>
              <w:bidi w:val="0"/>
              <w:spacing w:before="0" w:after="283"/>
              <w:jc w:val="right"/>
              <w:rPr>
                <w:sz w:val="16"/>
              </w:rPr>
            </w:pPr>
            <w:r>
              <w:rPr>
                <w:sz w:val="16"/>
              </w:rPr>
              <w:t>36,377</w:t>
            </w:r>
          </w:p>
        </w:tc>
        <w:tc>
          <w:tcPr>
            <w:tcW w:w="496" w:type="dxa"/>
            <w:tcBorders/>
            <w:vAlign w:val="center"/>
          </w:tcPr>
          <w:p>
            <w:pPr>
              <w:pStyle w:val="TableContents"/>
              <w:bidi w:val="0"/>
              <w:spacing w:before="0" w:after="283"/>
              <w:jc w:val="center"/>
              <w:rPr>
                <w:sz w:val="16"/>
              </w:rPr>
            </w:pPr>
            <w:r>
              <w:rPr>
                <w:sz w:val="16"/>
              </w:rPr>
              <w:t>34.7%</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-67.7%</w:t>
            </w:r>
          </w:p>
        </w:tc>
        <w:tc>
          <w:tcPr>
            <w:tcW w:w="905" w:type="dxa"/>
            <w:tcBorders/>
            <w:vAlign w:val="center"/>
          </w:tcPr>
          <w:p>
            <w:pPr>
              <w:pStyle w:val="TableContents"/>
              <w:bidi w:val="0"/>
              <w:spacing w:before="0" w:after="283"/>
              <w:jc w:val="right"/>
              <w:rPr>
                <w:sz w:val="16"/>
              </w:rPr>
            </w:pPr>
            <w:r>
              <w:rPr>
                <w:sz w:val="16"/>
              </w:rPr>
              <w:t>203,224</w:t>
            </w:r>
          </w:p>
        </w:tc>
        <w:tc>
          <w:tcPr>
            <w:tcW w:w="905" w:type="dxa"/>
            <w:tcBorders/>
            <w:shd w:fill="FFFFFF" w:val="clear"/>
            <w:vAlign w:val="center"/>
          </w:tcPr>
          <w:p>
            <w:pPr>
              <w:pStyle w:val="TableContents"/>
              <w:bidi w:val="0"/>
              <w:spacing w:before="0" w:after="283"/>
              <w:jc w:val="right"/>
              <w:rPr>
                <w:sz w:val="16"/>
              </w:rPr>
            </w:pPr>
            <w:r>
              <w:rPr>
                <w:sz w:val="16"/>
              </w:rPr>
              <w:t>63,375</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-68.8%</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Net gain from associates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7,421</w:t>
            </w:r>
          </w:p>
        </w:tc>
        <w:tc>
          <w:tcPr>
            <w:tcW w:w="905" w:type="dxa"/>
            <w:tcBorders/>
            <w:vAlign w:val="center"/>
          </w:tcPr>
          <w:p>
            <w:pPr>
              <w:pStyle w:val="TableContents"/>
              <w:bidi w:val="0"/>
              <w:spacing w:before="0" w:after="283"/>
              <w:jc w:val="right"/>
              <w:rPr/>
            </w:pPr>
            <w:r>
              <w:rPr/>
              <w:t> </w:t>
            </w:r>
            <w:r>
              <w:rPr>
                <w:sz w:val="16"/>
              </w:rPr>
              <w:t>(7,269)</w:t>
            </w:r>
          </w:p>
        </w:tc>
        <w:tc>
          <w:tcPr>
            <w:tcW w:w="905" w:type="dxa"/>
            <w:tcBorders>
              <w:right w:val="single" w:sz="8" w:space="0" w:color="000000"/>
            </w:tcBorders>
            <w:tcMar>
              <w:right w:w="28" w:type="dxa"/>
            </w:tcMar>
            <w:vAlign w:val="center"/>
          </w:tcPr>
          <w:p>
            <w:pPr>
              <w:pStyle w:val="TableContents"/>
              <w:bidi w:val="0"/>
              <w:spacing w:before="0" w:after="283"/>
              <w:jc w:val="right"/>
              <w:rPr/>
            </w:pPr>
            <w:r>
              <w:rPr/>
              <w:t> </w:t>
            </w:r>
            <w:r>
              <w:rPr>
                <w:sz w:val="16"/>
              </w:rPr>
              <w:t>(1,355)</w:t>
            </w:r>
          </w:p>
        </w:tc>
        <w:tc>
          <w:tcPr>
            <w:tcW w:w="496" w:type="dxa"/>
            <w:tcBorders/>
            <w:vAlign w:val="center"/>
          </w:tcPr>
          <w:p>
            <w:pPr>
              <w:pStyle w:val="TableContents"/>
              <w:bidi w:val="0"/>
              <w:spacing w:before="0" w:after="283"/>
              <w:jc w:val="center"/>
              <w:rPr>
                <w:sz w:val="16"/>
              </w:rPr>
            </w:pPr>
            <w:r>
              <w:rPr>
                <w:sz w:val="16"/>
              </w:rPr>
              <w:t>-81.4%</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-118.3%</w:t>
            </w:r>
          </w:p>
        </w:tc>
        <w:tc>
          <w:tcPr>
            <w:tcW w:w="905" w:type="dxa"/>
            <w:tcBorders/>
            <w:vAlign w:val="center"/>
          </w:tcPr>
          <w:p>
            <w:pPr>
              <w:pStyle w:val="TableContents"/>
              <w:bidi w:val="0"/>
              <w:spacing w:before="0" w:after="283"/>
              <w:jc w:val="right"/>
              <w:rPr>
                <w:sz w:val="16"/>
              </w:rPr>
            </w:pPr>
            <w:r>
              <w:rPr>
                <w:sz w:val="16"/>
              </w:rPr>
              <w:t>13,122</w:t>
            </w:r>
          </w:p>
        </w:tc>
        <w:tc>
          <w:tcPr>
            <w:tcW w:w="905" w:type="dxa"/>
            <w:tcBorders/>
            <w:shd w:fill="FFFFFF" w:val="clear"/>
            <w:vAlign w:val="center"/>
          </w:tcPr>
          <w:p>
            <w:pPr>
              <w:pStyle w:val="TableContents"/>
              <w:bidi w:val="0"/>
              <w:spacing w:before="0" w:after="283"/>
              <w:jc w:val="right"/>
              <w:rPr/>
            </w:pPr>
            <w:r>
              <w:rPr/>
              <w:t> </w:t>
            </w:r>
            <w:r>
              <w:rPr>
                <w:sz w:val="16"/>
              </w:rPr>
              <w:t>(8,624)</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-165.7%</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vAlign w:val="center"/>
          </w:tcPr>
          <w:p>
            <w:pPr>
              <w:pStyle w:val="TableContents"/>
              <w:bidi w:val="0"/>
              <w:spacing w:before="0" w:after="283"/>
              <w:jc w:val="left"/>
              <w:rPr>
                <w:sz w:val="16"/>
              </w:rPr>
            </w:pPr>
            <w:r>
              <w:rPr>
                <w:sz w:val="16"/>
              </w:rPr>
              <w:t>Net gain (losses) on derivatives held for trading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r>
              <w:rPr>
                <w:sz w:val="16"/>
              </w:rPr>
              <w:t>(16,568)</w:t>
            </w:r>
          </w:p>
        </w:tc>
        <w:tc>
          <w:tcPr>
            <w:tcW w:w="905" w:type="dxa"/>
            <w:tcBorders/>
            <w:vAlign w:val="center"/>
          </w:tcPr>
          <w:p>
            <w:pPr>
              <w:pStyle w:val="TableContents"/>
              <w:bidi w:val="0"/>
              <w:spacing w:before="0" w:after="283"/>
              <w:jc w:val="right"/>
              <w:rPr>
                <w:sz w:val="16"/>
              </w:rPr>
            </w:pPr>
            <w:r>
              <w:rPr>
                <w:sz w:val="16"/>
              </w:rPr>
              <w:t>20,553</w:t>
            </w:r>
          </w:p>
        </w:tc>
        <w:tc>
          <w:tcPr>
            <w:tcW w:w="905" w:type="dxa"/>
            <w:tcBorders>
              <w:right w:val="single" w:sz="8" w:space="0" w:color="000000"/>
            </w:tcBorders>
            <w:tcMar>
              <w:right w:w="60" w:type="dxa"/>
            </w:tcMar>
            <w:vAlign w:val="center"/>
          </w:tcPr>
          <w:p>
            <w:pPr>
              <w:pStyle w:val="TableContents"/>
              <w:bidi w:val="0"/>
              <w:spacing w:before="0" w:after="283"/>
              <w:jc w:val="right"/>
              <w:rPr>
                <w:sz w:val="16"/>
              </w:rPr>
            </w:pPr>
            <w:r>
              <w:rPr>
                <w:sz w:val="16"/>
              </w:rPr>
              <w:t>36,271</w:t>
            </w:r>
          </w:p>
        </w:tc>
        <w:tc>
          <w:tcPr>
            <w:tcW w:w="496" w:type="dxa"/>
            <w:tcBorders/>
            <w:vAlign w:val="center"/>
          </w:tcPr>
          <w:p>
            <w:pPr>
              <w:pStyle w:val="TableContents"/>
              <w:bidi w:val="0"/>
              <w:spacing w:before="0" w:after="283"/>
              <w:jc w:val="center"/>
              <w:rPr>
                <w:sz w:val="16"/>
              </w:rPr>
            </w:pPr>
            <w:r>
              <w:rPr>
                <w:sz w:val="16"/>
              </w:rPr>
              <w:t>76.5%</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n.a.</w:t>
            </w:r>
          </w:p>
        </w:tc>
        <w:tc>
          <w:tcPr>
            <w:tcW w:w="905" w:type="dxa"/>
            <w:tcBorders/>
            <w:shd w:fill="FFFFFF" w:val="clear"/>
            <w:vAlign w:val="center"/>
          </w:tcPr>
          <w:p>
            <w:pPr>
              <w:pStyle w:val="TableContents"/>
              <w:bidi w:val="0"/>
              <w:spacing w:before="0" w:after="283"/>
              <w:jc w:val="right"/>
              <w:rPr/>
            </w:pPr>
            <w:r>
              <w:rPr/>
              <w:t> </w:t>
            </w:r>
            <w:r>
              <w:rPr>
                <w:sz w:val="16"/>
              </w:rPr>
              <w:t>(26,544)</w:t>
            </w:r>
          </w:p>
        </w:tc>
        <w:tc>
          <w:tcPr>
            <w:tcW w:w="905" w:type="dxa"/>
            <w:tcBorders/>
            <w:shd w:fill="FFFFFF" w:val="clear"/>
            <w:vAlign w:val="center"/>
          </w:tcPr>
          <w:p>
            <w:pPr>
              <w:pStyle w:val="TableContents"/>
              <w:bidi w:val="0"/>
              <w:spacing w:before="0" w:after="283"/>
              <w:jc w:val="right"/>
              <w:rPr>
                <w:sz w:val="16"/>
              </w:rPr>
            </w:pPr>
            <w:r>
              <w:rPr>
                <w:sz w:val="16"/>
              </w:rPr>
              <w:t>56,824</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-314.1%</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vAlign w:val="center"/>
          </w:tcPr>
          <w:p>
            <w:pPr>
              <w:pStyle w:val="TableContents"/>
              <w:bidi w:val="0"/>
              <w:spacing w:before="0" w:after="283"/>
              <w:jc w:val="left"/>
              <w:rPr>
                <w:sz w:val="16"/>
              </w:rPr>
            </w:pPr>
            <w:r>
              <w:rPr>
                <w:sz w:val="16"/>
              </w:rPr>
              <w:t>Net gain (losses) from exchange differences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7,249</w:t>
            </w:r>
          </w:p>
        </w:tc>
        <w:tc>
          <w:tcPr>
            <w:tcW w:w="905" w:type="dxa"/>
            <w:tcBorders/>
            <w:vAlign w:val="center"/>
          </w:tcPr>
          <w:p>
            <w:pPr>
              <w:pStyle w:val="TableContents"/>
              <w:bidi w:val="0"/>
              <w:spacing w:before="0" w:after="283"/>
              <w:jc w:val="right"/>
              <w:rPr>
                <w:sz w:val="16"/>
              </w:rPr>
            </w:pPr>
            <w:r>
              <w:rPr>
                <w:sz w:val="16"/>
              </w:rPr>
              <w:t>4,691</w:t>
            </w:r>
          </w:p>
        </w:tc>
        <w:tc>
          <w:tcPr>
            <w:tcW w:w="905" w:type="dxa"/>
            <w:tcBorders>
              <w:right w:val="single" w:sz="8" w:space="0" w:color="000000"/>
            </w:tcBorders>
            <w:tcMar>
              <w:right w:w="60" w:type="dxa"/>
            </w:tcMar>
            <w:vAlign w:val="center"/>
          </w:tcPr>
          <w:p>
            <w:pPr>
              <w:pStyle w:val="TableContents"/>
              <w:bidi w:val="0"/>
              <w:spacing w:before="0" w:after="283"/>
              <w:jc w:val="right"/>
              <w:rPr>
                <w:sz w:val="16"/>
              </w:rPr>
            </w:pPr>
            <w:r>
              <w:rPr>
                <w:sz w:val="16"/>
              </w:rPr>
              <w:t>7,961</w:t>
            </w:r>
          </w:p>
        </w:tc>
        <w:tc>
          <w:tcPr>
            <w:tcW w:w="496" w:type="dxa"/>
            <w:tcBorders/>
            <w:vAlign w:val="center"/>
          </w:tcPr>
          <w:p>
            <w:pPr>
              <w:pStyle w:val="TableContents"/>
              <w:bidi w:val="0"/>
              <w:spacing w:before="0" w:after="283"/>
              <w:jc w:val="center"/>
              <w:rPr>
                <w:sz w:val="16"/>
              </w:rPr>
            </w:pPr>
            <w:r>
              <w:rPr>
                <w:sz w:val="16"/>
              </w:rPr>
              <w:t>69.7%</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9.8%</w:t>
            </w:r>
          </w:p>
        </w:tc>
        <w:tc>
          <w:tcPr>
            <w:tcW w:w="905" w:type="dxa"/>
            <w:tcBorders/>
            <w:shd w:fill="FFFFFF" w:val="clear"/>
            <w:vAlign w:val="center"/>
          </w:tcPr>
          <w:p>
            <w:pPr>
              <w:pStyle w:val="TableContents"/>
              <w:bidi w:val="0"/>
              <w:spacing w:before="0" w:after="283"/>
              <w:jc w:val="right"/>
              <w:rPr/>
            </w:pPr>
            <w:r>
              <w:rPr/>
              <w:t> </w:t>
            </w:r>
            <w:r>
              <w:rPr>
                <w:sz w:val="16"/>
              </w:rPr>
              <w:t>(2,768)</w:t>
            </w:r>
          </w:p>
        </w:tc>
        <w:tc>
          <w:tcPr>
            <w:tcW w:w="905" w:type="dxa"/>
            <w:tcBorders/>
            <w:shd w:fill="FFFFFF" w:val="clear"/>
            <w:vAlign w:val="center"/>
          </w:tcPr>
          <w:p>
            <w:pPr>
              <w:pStyle w:val="TableContents"/>
              <w:bidi w:val="0"/>
              <w:spacing w:before="0" w:after="283"/>
              <w:jc w:val="right"/>
              <w:rPr>
                <w:sz w:val="16"/>
              </w:rPr>
            </w:pPr>
            <w:r>
              <w:rPr>
                <w:sz w:val="16"/>
              </w:rPr>
              <w:t>12,652</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-557.1%</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Others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45,276</w:t>
            </w:r>
          </w:p>
        </w:tc>
        <w:tc>
          <w:tcPr>
            <w:tcW w:w="905" w:type="dxa"/>
            <w:tcBorders/>
            <w:vAlign w:val="center"/>
          </w:tcPr>
          <w:p>
            <w:pPr>
              <w:pStyle w:val="TableContents"/>
              <w:bidi w:val="0"/>
              <w:spacing w:before="0" w:after="283"/>
              <w:jc w:val="right"/>
              <w:rPr>
                <w:sz w:val="16"/>
              </w:rPr>
            </w:pPr>
            <w:r>
              <w:rPr>
                <w:sz w:val="16"/>
              </w:rPr>
              <w:t>68,255</w:t>
            </w:r>
          </w:p>
        </w:tc>
        <w:tc>
          <w:tcPr>
            <w:tcW w:w="905" w:type="dxa"/>
            <w:tcBorders>
              <w:right w:val="single" w:sz="8" w:space="0" w:color="000000"/>
            </w:tcBorders>
            <w:tcMar>
              <w:right w:w="60" w:type="dxa"/>
            </w:tcMar>
            <w:vAlign w:val="center"/>
          </w:tcPr>
          <w:p>
            <w:pPr>
              <w:pStyle w:val="TableContents"/>
              <w:bidi w:val="0"/>
              <w:spacing w:before="0" w:after="283"/>
              <w:jc w:val="right"/>
              <w:rPr>
                <w:sz w:val="16"/>
              </w:rPr>
            </w:pPr>
            <w:r>
              <w:rPr>
                <w:sz w:val="16"/>
              </w:rPr>
              <w:t>113,963</w:t>
            </w:r>
          </w:p>
        </w:tc>
        <w:tc>
          <w:tcPr>
            <w:tcW w:w="496" w:type="dxa"/>
            <w:tcBorders/>
            <w:vAlign w:val="center"/>
          </w:tcPr>
          <w:p>
            <w:pPr>
              <w:pStyle w:val="TableContents"/>
              <w:bidi w:val="0"/>
              <w:spacing w:before="0" w:after="283"/>
              <w:jc w:val="center"/>
              <w:rPr>
                <w:sz w:val="16"/>
              </w:rPr>
            </w:pPr>
            <w:r>
              <w:rPr>
                <w:sz w:val="16"/>
              </w:rPr>
              <w:t>67.0%</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151.7%</w:t>
            </w:r>
          </w:p>
        </w:tc>
        <w:tc>
          <w:tcPr>
            <w:tcW w:w="905" w:type="dxa"/>
            <w:tcBorders/>
            <w:shd w:fill="FFFFFF" w:val="clear"/>
            <w:vAlign w:val="center"/>
          </w:tcPr>
          <w:p>
            <w:pPr>
              <w:pStyle w:val="TableContents"/>
              <w:bidi w:val="0"/>
              <w:spacing w:before="0" w:after="283"/>
              <w:jc w:val="right"/>
              <w:rPr>
                <w:sz w:val="16"/>
              </w:rPr>
            </w:pPr>
            <w:r>
              <w:rPr>
                <w:sz w:val="16"/>
              </w:rPr>
              <w:t>156,026</w:t>
            </w:r>
          </w:p>
        </w:tc>
        <w:tc>
          <w:tcPr>
            <w:tcW w:w="905" w:type="dxa"/>
            <w:tcBorders/>
            <w:shd w:fill="FFFFFF" w:val="clear"/>
            <w:vAlign w:val="center"/>
          </w:tcPr>
          <w:p>
            <w:pPr>
              <w:pStyle w:val="TableContents"/>
              <w:bidi w:val="0"/>
              <w:spacing w:before="0" w:after="283"/>
              <w:jc w:val="right"/>
              <w:rPr>
                <w:sz w:val="16"/>
              </w:rPr>
            </w:pPr>
            <w:r>
              <w:rPr>
                <w:sz w:val="16"/>
              </w:rPr>
              <w:t>182,218</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16.8%</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b/>
                <w:sz w:val="16"/>
              </w:rPr>
            </w:pPr>
            <w:r>
              <w:rPr>
                <w:b/>
                <w:sz w:val="16"/>
              </w:rPr>
              <w:t>Total other income</w:t>
            </w:r>
          </w:p>
        </w:tc>
        <w:tc>
          <w:tcPr>
            <w:tcW w:w="60" w:type="dxa"/>
            <w:tcBorders/>
            <w:shd w:fill="FFFFFF" w:val="clear"/>
            <w:vAlign w:val="center"/>
          </w:tcPr>
          <w:p>
            <w:pPr>
              <w:pStyle w:val="TableContents"/>
              <w:bidi w:val="0"/>
              <w:spacing w:before="0" w:after="283"/>
              <w:jc w:val="center"/>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1,124,170</w:t>
            </w:r>
          </w:p>
        </w:tc>
        <w:tc>
          <w:tcPr>
            <w:tcW w:w="905" w:type="dxa"/>
            <w:tcBorders/>
            <w:vAlign w:val="center"/>
          </w:tcPr>
          <w:p>
            <w:pPr>
              <w:pStyle w:val="TableContents"/>
              <w:bidi w:val="0"/>
              <w:spacing w:before="0" w:after="283"/>
              <w:jc w:val="right"/>
              <w:rPr/>
            </w:pPr>
            <w:r>
              <w:rPr/>
              <w:t> </w:t>
            </w:r>
            <w:r>
              <w:rPr>
                <w:b/>
                <w:sz w:val="16"/>
              </w:rPr>
              <w:t>1,050,982</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1,160,762</w:t>
            </w:r>
          </w:p>
        </w:tc>
        <w:tc>
          <w:tcPr>
            <w:tcW w:w="496" w:type="dxa"/>
            <w:tcBorders/>
            <w:vAlign w:val="center"/>
          </w:tcPr>
          <w:p>
            <w:pPr>
              <w:pStyle w:val="TableContents"/>
              <w:bidi w:val="0"/>
              <w:spacing w:before="0" w:after="283"/>
              <w:jc w:val="center"/>
              <w:rPr>
                <w:b/>
                <w:sz w:val="16"/>
              </w:rPr>
            </w:pPr>
            <w:r>
              <w:rPr>
                <w:b/>
                <w:sz w:val="16"/>
              </w:rPr>
              <w:t>10.4%</w:t>
            </w:r>
          </w:p>
        </w:tc>
        <w:tc>
          <w:tcPr>
            <w:tcW w:w="586"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3.3%</w:t>
            </w:r>
          </w:p>
        </w:tc>
        <w:tc>
          <w:tcPr>
            <w:tcW w:w="905" w:type="dxa"/>
            <w:tcBorders/>
            <w:shd w:fill="FFFFFF" w:val="clear"/>
            <w:vAlign w:val="center"/>
          </w:tcPr>
          <w:p>
            <w:pPr>
              <w:pStyle w:val="TableContents"/>
              <w:bidi w:val="0"/>
              <w:spacing w:before="0" w:after="283"/>
              <w:jc w:val="right"/>
              <w:rPr/>
            </w:pPr>
            <w:r>
              <w:rPr/>
              <w:t> </w:t>
            </w:r>
            <w:r>
              <w:rPr>
                <w:b/>
                <w:sz w:val="16"/>
              </w:rPr>
              <w:t>2,256,690</w:t>
            </w:r>
          </w:p>
        </w:tc>
        <w:tc>
          <w:tcPr>
            <w:tcW w:w="905" w:type="dxa"/>
            <w:tcBorders/>
            <w:shd w:fill="FFFFFF" w:val="clear"/>
            <w:vAlign w:val="center"/>
          </w:tcPr>
          <w:p>
            <w:pPr>
              <w:pStyle w:val="TableContents"/>
              <w:bidi w:val="0"/>
              <w:spacing w:before="0" w:after="283"/>
              <w:jc w:val="right"/>
              <w:rPr/>
            </w:pPr>
            <w:r>
              <w:rPr/>
              <w:t> </w:t>
            </w:r>
            <w:r>
              <w:rPr>
                <w:b/>
                <w:sz w:val="16"/>
              </w:rPr>
              <w:t>2,211,744</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-2.0%</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p>
        </w:tc>
        <w:tc>
          <w:tcPr>
            <w:tcW w:w="496" w:type="dxa"/>
            <w:tcBorders/>
            <w:vAlign w:val="center"/>
          </w:tcPr>
          <w:p>
            <w:pPr>
              <w:pStyle w:val="TableContents"/>
              <w:bidi w:val="0"/>
              <w:spacing w:before="0" w:after="283"/>
              <w:jc w:val="center"/>
              <w:rPr/>
            </w:pPr>
            <w:r>
              <w:rPr/>
              <w:t> </w:t>
            </w:r>
          </w:p>
        </w:tc>
        <w:tc>
          <w:tcPr>
            <w:tcW w:w="586" w:type="dxa"/>
            <w:tcBorders>
              <w:right w:val="single" w:sz="8" w:space="0" w:color="000000"/>
            </w:tcBorders>
            <w:tcMar>
              <w:right w:w="28" w:type="dxa"/>
            </w:tcM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283"/>
              <w:jc w:val="right"/>
              <w:rPr/>
            </w:pPr>
            <w:r>
              <w:rPr/>
              <w:t> </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3623"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Total expenses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p>
        </w:tc>
        <w:tc>
          <w:tcPr>
            <w:tcW w:w="496" w:type="dxa"/>
            <w:tcBorders/>
            <w:vAlign w:val="center"/>
          </w:tcPr>
          <w:p>
            <w:pPr>
              <w:pStyle w:val="TableContents"/>
              <w:bidi w:val="0"/>
              <w:spacing w:before="0" w:after="283"/>
              <w:jc w:val="center"/>
              <w:rPr/>
            </w:pPr>
            <w:r>
              <w:rPr/>
              <w:t> </w:t>
            </w:r>
          </w:p>
        </w:tc>
        <w:tc>
          <w:tcPr>
            <w:tcW w:w="586" w:type="dxa"/>
            <w:tcBorders>
              <w:right w:val="single" w:sz="8" w:space="0" w:color="000000"/>
            </w:tcBorders>
            <w:tcMar>
              <w:right w:w="28" w:type="dxa"/>
            </w:tcM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283"/>
              <w:jc w:val="right"/>
              <w:rPr/>
            </w:pPr>
            <w:r>
              <w:rPr/>
              <w:t> </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Salaries and employee benefits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(487,698)</w:t>
            </w:r>
          </w:p>
        </w:tc>
        <w:tc>
          <w:tcPr>
            <w:tcW w:w="905" w:type="dxa"/>
            <w:tcBorders/>
            <w:vAlign w:val="center"/>
          </w:tcPr>
          <w:p>
            <w:pPr>
              <w:pStyle w:val="TableContents"/>
              <w:bidi w:val="0"/>
              <w:spacing w:before="0" w:after="283"/>
              <w:jc w:val="right"/>
              <w:rPr>
                <w:sz w:val="16"/>
              </w:rPr>
            </w:pPr>
            <w:r>
              <w:rPr>
                <w:sz w:val="16"/>
              </w:rPr>
              <w:t>(546,048)</w:t>
            </w:r>
          </w:p>
        </w:tc>
        <w:tc>
          <w:tcPr>
            <w:tcW w:w="905" w:type="dxa"/>
            <w:tcBorders>
              <w:right w:val="single" w:sz="8" w:space="0" w:color="000000"/>
            </w:tcBorders>
            <w:tcMar>
              <w:right w:w="28" w:type="dxa"/>
            </w:tcMar>
            <w:vAlign w:val="center"/>
          </w:tcPr>
          <w:p>
            <w:pPr>
              <w:pStyle w:val="TableContents"/>
              <w:bidi w:val="0"/>
              <w:spacing w:before="0" w:after="283"/>
              <w:jc w:val="right"/>
              <w:rPr>
                <w:sz w:val="16"/>
              </w:rPr>
            </w:pPr>
            <w:r>
              <w:rPr>
                <w:sz w:val="16"/>
              </w:rPr>
              <w:t>(563,407)</w:t>
            </w:r>
          </w:p>
        </w:tc>
        <w:tc>
          <w:tcPr>
            <w:tcW w:w="496" w:type="dxa"/>
            <w:tcBorders/>
            <w:vAlign w:val="center"/>
          </w:tcPr>
          <w:p>
            <w:pPr>
              <w:pStyle w:val="TableContents"/>
              <w:bidi w:val="0"/>
              <w:spacing w:before="0" w:after="283"/>
              <w:jc w:val="center"/>
              <w:rPr>
                <w:sz w:val="16"/>
              </w:rPr>
            </w:pPr>
            <w:r>
              <w:rPr>
                <w:sz w:val="16"/>
              </w:rPr>
              <w:t>3.2%</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15.5%</w:t>
            </w:r>
          </w:p>
        </w:tc>
        <w:tc>
          <w:tcPr>
            <w:tcW w:w="905" w:type="dxa"/>
            <w:tcBorders/>
            <w:shd w:fill="FFFFFF" w:val="clear"/>
            <w:vAlign w:val="center"/>
          </w:tcPr>
          <w:p>
            <w:pPr>
              <w:pStyle w:val="TableContents"/>
              <w:bidi w:val="0"/>
              <w:spacing w:before="0" w:after="283"/>
              <w:jc w:val="right"/>
              <w:rPr/>
            </w:pPr>
            <w:r>
              <w:rPr/>
              <w:t> </w:t>
            </w:r>
            <w:r>
              <w:rPr>
                <w:sz w:val="16"/>
              </w:rPr>
              <w:t>(988,911)</w:t>
            </w:r>
          </w:p>
        </w:tc>
        <w:tc>
          <w:tcPr>
            <w:tcW w:w="905" w:type="dxa"/>
            <w:tcBorders/>
            <w:shd w:fill="FFFFFF" w:val="clear"/>
            <w:vAlign w:val="center"/>
          </w:tcPr>
          <w:p>
            <w:pPr>
              <w:pStyle w:val="TableContents"/>
              <w:bidi w:val="0"/>
              <w:spacing w:before="0" w:after="283"/>
              <w:jc w:val="right"/>
              <w:rPr/>
            </w:pPr>
            <w:r>
              <w:rPr/>
              <w:t> </w:t>
            </w:r>
            <w:r>
              <w:rPr>
                <w:sz w:val="16"/>
              </w:rPr>
              <w:t>(1,109,455)</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12.2%</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Administrative expenses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(575,071)</w:t>
            </w:r>
          </w:p>
        </w:tc>
        <w:tc>
          <w:tcPr>
            <w:tcW w:w="905" w:type="dxa"/>
            <w:tcBorders/>
            <w:vAlign w:val="center"/>
          </w:tcPr>
          <w:p>
            <w:pPr>
              <w:pStyle w:val="TableContents"/>
              <w:bidi w:val="0"/>
              <w:spacing w:before="0" w:after="283"/>
              <w:jc w:val="right"/>
              <w:rPr>
                <w:sz w:val="16"/>
              </w:rPr>
            </w:pPr>
            <w:r>
              <w:rPr>
                <w:sz w:val="16"/>
              </w:rPr>
              <w:t>(571,780)</w:t>
            </w:r>
          </w:p>
        </w:tc>
        <w:tc>
          <w:tcPr>
            <w:tcW w:w="905" w:type="dxa"/>
            <w:tcBorders>
              <w:right w:val="single" w:sz="8" w:space="0" w:color="000000"/>
            </w:tcBorders>
            <w:tcMar>
              <w:right w:w="28" w:type="dxa"/>
            </w:tcMar>
            <w:vAlign w:val="center"/>
          </w:tcPr>
          <w:p>
            <w:pPr>
              <w:pStyle w:val="TableContents"/>
              <w:bidi w:val="0"/>
              <w:spacing w:before="0" w:after="283"/>
              <w:jc w:val="right"/>
              <w:rPr>
                <w:sz w:val="16"/>
              </w:rPr>
            </w:pPr>
            <w:r>
              <w:rPr>
                <w:sz w:val="16"/>
              </w:rPr>
              <w:t>(599,803)</w:t>
            </w:r>
          </w:p>
        </w:tc>
        <w:tc>
          <w:tcPr>
            <w:tcW w:w="496" w:type="dxa"/>
            <w:tcBorders/>
            <w:vAlign w:val="center"/>
          </w:tcPr>
          <w:p>
            <w:pPr>
              <w:pStyle w:val="TableContents"/>
              <w:bidi w:val="0"/>
              <w:spacing w:before="0" w:after="283"/>
              <w:jc w:val="center"/>
              <w:rPr>
                <w:sz w:val="16"/>
              </w:rPr>
            </w:pPr>
            <w:r>
              <w:rPr>
                <w:sz w:val="16"/>
              </w:rPr>
              <w:t>4.9%</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4.3%</w:t>
            </w:r>
          </w:p>
        </w:tc>
        <w:tc>
          <w:tcPr>
            <w:tcW w:w="905" w:type="dxa"/>
            <w:tcBorders/>
            <w:shd w:fill="FFFFFF" w:val="clear"/>
            <w:vAlign w:val="center"/>
          </w:tcPr>
          <w:p>
            <w:pPr>
              <w:pStyle w:val="TableContents"/>
              <w:bidi w:val="0"/>
              <w:spacing w:before="0" w:after="283"/>
              <w:jc w:val="right"/>
              <w:rPr/>
            </w:pPr>
            <w:r>
              <w:rPr/>
              <w:t> </w:t>
            </w:r>
            <w:r>
              <w:rPr>
                <w:sz w:val="16"/>
              </w:rPr>
              <w:t>(1,038,998)</w:t>
            </w:r>
          </w:p>
        </w:tc>
        <w:tc>
          <w:tcPr>
            <w:tcW w:w="905" w:type="dxa"/>
            <w:tcBorders/>
            <w:shd w:fill="FFFFFF" w:val="clear"/>
            <w:vAlign w:val="center"/>
          </w:tcPr>
          <w:p>
            <w:pPr>
              <w:pStyle w:val="TableContents"/>
              <w:bidi w:val="0"/>
              <w:spacing w:before="0" w:after="283"/>
              <w:jc w:val="right"/>
              <w:rPr/>
            </w:pPr>
            <w:r>
              <w:rPr/>
              <w:t> </w:t>
            </w:r>
            <w:r>
              <w:rPr>
                <w:sz w:val="16"/>
              </w:rPr>
              <w:t>(1,171,583)</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12.8%</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Depreciation and amortization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(109,824)</w:t>
            </w:r>
          </w:p>
        </w:tc>
        <w:tc>
          <w:tcPr>
            <w:tcW w:w="905" w:type="dxa"/>
            <w:tcBorders/>
            <w:vAlign w:val="center"/>
          </w:tcPr>
          <w:p>
            <w:pPr>
              <w:pStyle w:val="TableContents"/>
              <w:bidi w:val="0"/>
              <w:spacing w:before="0" w:after="283"/>
              <w:jc w:val="right"/>
              <w:rPr>
                <w:sz w:val="16"/>
              </w:rPr>
            </w:pPr>
            <w:r>
              <w:rPr>
                <w:sz w:val="16"/>
              </w:rPr>
              <w:t>(112,872)</w:t>
            </w:r>
          </w:p>
        </w:tc>
        <w:tc>
          <w:tcPr>
            <w:tcW w:w="905" w:type="dxa"/>
            <w:tcBorders>
              <w:right w:val="single" w:sz="8" w:space="0" w:color="000000"/>
            </w:tcBorders>
            <w:tcMar>
              <w:right w:w="28" w:type="dxa"/>
            </w:tcMar>
            <w:vAlign w:val="center"/>
          </w:tcPr>
          <w:p>
            <w:pPr>
              <w:pStyle w:val="TableContents"/>
              <w:bidi w:val="0"/>
              <w:spacing w:before="0" w:after="283"/>
              <w:jc w:val="right"/>
              <w:rPr>
                <w:sz w:val="16"/>
              </w:rPr>
            </w:pPr>
            <w:r>
              <w:rPr>
                <w:sz w:val="16"/>
              </w:rPr>
              <w:t>(112,661)</w:t>
            </w:r>
          </w:p>
        </w:tc>
        <w:tc>
          <w:tcPr>
            <w:tcW w:w="496" w:type="dxa"/>
            <w:tcBorders/>
            <w:vAlign w:val="center"/>
          </w:tcPr>
          <w:p>
            <w:pPr>
              <w:pStyle w:val="TableContents"/>
              <w:bidi w:val="0"/>
              <w:spacing w:before="0" w:after="283"/>
              <w:jc w:val="center"/>
              <w:rPr>
                <w:sz w:val="16"/>
              </w:rPr>
            </w:pPr>
            <w:r>
              <w:rPr>
                <w:sz w:val="16"/>
              </w:rPr>
              <w:t>-0.2%</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2.6%</w:t>
            </w:r>
          </w:p>
        </w:tc>
        <w:tc>
          <w:tcPr>
            <w:tcW w:w="905" w:type="dxa"/>
            <w:tcBorders/>
            <w:shd w:fill="FFFFFF" w:val="clear"/>
            <w:vAlign w:val="center"/>
          </w:tcPr>
          <w:p>
            <w:pPr>
              <w:pStyle w:val="TableContents"/>
              <w:bidi w:val="0"/>
              <w:spacing w:before="0" w:after="283"/>
              <w:jc w:val="right"/>
              <w:rPr/>
            </w:pPr>
            <w:r>
              <w:rPr/>
              <w:t> </w:t>
            </w:r>
            <w:r>
              <w:rPr>
                <w:sz w:val="16"/>
              </w:rPr>
              <w:t>(215,683)</w:t>
            </w:r>
          </w:p>
        </w:tc>
        <w:tc>
          <w:tcPr>
            <w:tcW w:w="905" w:type="dxa"/>
            <w:tcBorders/>
            <w:shd w:fill="FFFFFF" w:val="clear"/>
            <w:vAlign w:val="center"/>
          </w:tcPr>
          <w:p>
            <w:pPr>
              <w:pStyle w:val="TableContents"/>
              <w:bidi w:val="0"/>
              <w:spacing w:before="0" w:after="283"/>
              <w:jc w:val="right"/>
              <w:rPr/>
            </w:pPr>
            <w:r>
              <w:rPr/>
              <w:t> </w:t>
            </w:r>
            <w:r>
              <w:rPr>
                <w:sz w:val="16"/>
              </w:rPr>
              <w:t>(225,533)</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4.6%</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Other expenses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r>
              <w:rPr>
                <w:sz w:val="16"/>
              </w:rPr>
              <w:t>(46,381)</w:t>
            </w:r>
          </w:p>
        </w:tc>
        <w:tc>
          <w:tcPr>
            <w:tcW w:w="905" w:type="dxa"/>
            <w:tcBorders/>
            <w:vAlign w:val="center"/>
          </w:tcPr>
          <w:p>
            <w:pPr>
              <w:pStyle w:val="TableContents"/>
              <w:bidi w:val="0"/>
              <w:spacing w:before="0" w:after="283"/>
              <w:jc w:val="right"/>
              <w:rPr/>
            </w:pPr>
            <w:r>
              <w:rPr/>
              <w:t> </w:t>
            </w:r>
            <w:r>
              <w:rPr>
                <w:sz w:val="16"/>
              </w:rPr>
              <w:t>(39,563)</w:t>
            </w:r>
          </w:p>
        </w:tc>
        <w:tc>
          <w:tcPr>
            <w:tcW w:w="905" w:type="dxa"/>
            <w:tcBorders>
              <w:right w:val="single" w:sz="8" w:space="0" w:color="000000"/>
            </w:tcBorders>
            <w:tcMar>
              <w:right w:w="28" w:type="dxa"/>
            </w:tcMar>
            <w:vAlign w:val="center"/>
          </w:tcPr>
          <w:p>
            <w:pPr>
              <w:pStyle w:val="TableContents"/>
              <w:bidi w:val="0"/>
              <w:spacing w:before="0" w:after="283"/>
              <w:jc w:val="right"/>
              <w:rPr/>
            </w:pPr>
            <w:r>
              <w:rPr/>
              <w:t> </w:t>
            </w:r>
            <w:r>
              <w:rPr>
                <w:sz w:val="16"/>
              </w:rPr>
              <w:t>(44,011)</w:t>
            </w:r>
          </w:p>
        </w:tc>
        <w:tc>
          <w:tcPr>
            <w:tcW w:w="496" w:type="dxa"/>
            <w:tcBorders/>
            <w:vAlign w:val="center"/>
          </w:tcPr>
          <w:p>
            <w:pPr>
              <w:pStyle w:val="TableContents"/>
              <w:bidi w:val="0"/>
              <w:spacing w:before="0" w:after="283"/>
              <w:jc w:val="center"/>
              <w:rPr>
                <w:sz w:val="16"/>
              </w:rPr>
            </w:pPr>
            <w:r>
              <w:rPr>
                <w:sz w:val="16"/>
              </w:rPr>
              <w:t>11.2%</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-5.1%</w:t>
            </w:r>
          </w:p>
        </w:tc>
        <w:tc>
          <w:tcPr>
            <w:tcW w:w="905" w:type="dxa"/>
            <w:tcBorders/>
            <w:shd w:fill="FFFFFF" w:val="clear"/>
            <w:vAlign w:val="center"/>
          </w:tcPr>
          <w:p>
            <w:pPr>
              <w:pStyle w:val="TableContents"/>
              <w:bidi w:val="0"/>
              <w:spacing w:before="0" w:after="283"/>
              <w:jc w:val="right"/>
              <w:rPr/>
            </w:pPr>
            <w:r>
              <w:rPr/>
              <w:t> </w:t>
            </w:r>
            <w:r>
              <w:rPr>
                <w:sz w:val="16"/>
              </w:rPr>
              <w:t>(90,067)</w:t>
            </w:r>
          </w:p>
        </w:tc>
        <w:tc>
          <w:tcPr>
            <w:tcW w:w="905" w:type="dxa"/>
            <w:tcBorders/>
            <w:shd w:fill="FFFFFF" w:val="clear"/>
            <w:vAlign w:val="center"/>
          </w:tcPr>
          <w:p>
            <w:pPr>
              <w:pStyle w:val="TableContents"/>
              <w:bidi w:val="0"/>
              <w:spacing w:before="0" w:after="283"/>
              <w:jc w:val="right"/>
              <w:rPr/>
            </w:pPr>
            <w:r>
              <w:rPr/>
              <w:t> </w:t>
            </w:r>
            <w:r>
              <w:rPr>
                <w:sz w:val="16"/>
              </w:rPr>
              <w:t>(83,574)</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-7.2%</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b/>
                <w:sz w:val="16"/>
              </w:rPr>
            </w:pPr>
            <w:r>
              <w:rPr>
                <w:b/>
                <w:sz w:val="16"/>
              </w:rPr>
              <w:t>Total expenses</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(1,218,974)</w:t>
            </w:r>
          </w:p>
        </w:tc>
        <w:tc>
          <w:tcPr>
            <w:tcW w:w="905" w:type="dxa"/>
            <w:tcBorders/>
            <w:vAlign w:val="center"/>
          </w:tcPr>
          <w:p>
            <w:pPr>
              <w:pStyle w:val="TableContents"/>
              <w:bidi w:val="0"/>
              <w:spacing w:before="0" w:after="283"/>
              <w:jc w:val="right"/>
              <w:rPr/>
            </w:pPr>
            <w:r>
              <w:rPr/>
              <w:t> </w:t>
            </w:r>
            <w:r>
              <w:rPr>
                <w:b/>
                <w:sz w:val="16"/>
              </w:rPr>
              <w:t>(1,270,263)</w:t>
            </w:r>
          </w:p>
        </w:tc>
        <w:tc>
          <w:tcPr>
            <w:tcW w:w="905" w:type="dxa"/>
            <w:tcBorders>
              <w:right w:val="single" w:sz="8" w:space="0" w:color="000000"/>
            </w:tcBorders>
            <w:tcMar>
              <w:right w:w="28" w:type="dxa"/>
            </w:tcMar>
            <w:vAlign w:val="center"/>
          </w:tcPr>
          <w:p>
            <w:pPr>
              <w:pStyle w:val="TableContents"/>
              <w:bidi w:val="0"/>
              <w:spacing w:before="0" w:after="283"/>
              <w:jc w:val="right"/>
              <w:rPr/>
            </w:pPr>
            <w:r>
              <w:rPr/>
              <w:t> </w:t>
            </w:r>
            <w:r>
              <w:rPr>
                <w:b/>
                <w:sz w:val="16"/>
              </w:rPr>
              <w:t>(1,319,882)</w:t>
            </w:r>
          </w:p>
        </w:tc>
        <w:tc>
          <w:tcPr>
            <w:tcW w:w="496" w:type="dxa"/>
            <w:tcBorders/>
            <w:vAlign w:val="center"/>
          </w:tcPr>
          <w:p>
            <w:pPr>
              <w:pStyle w:val="TableContents"/>
              <w:bidi w:val="0"/>
              <w:spacing w:before="0" w:after="283"/>
              <w:jc w:val="center"/>
              <w:rPr>
                <w:b/>
                <w:sz w:val="16"/>
              </w:rPr>
            </w:pPr>
            <w:r>
              <w:rPr>
                <w:b/>
                <w:sz w:val="16"/>
              </w:rPr>
              <w:t>3.9%</w:t>
            </w:r>
          </w:p>
        </w:tc>
        <w:tc>
          <w:tcPr>
            <w:tcW w:w="586"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8.3%</w:t>
            </w:r>
          </w:p>
        </w:tc>
        <w:tc>
          <w:tcPr>
            <w:tcW w:w="905" w:type="dxa"/>
            <w:tcBorders/>
            <w:shd w:fill="FFFFFF" w:val="clear"/>
            <w:vAlign w:val="center"/>
          </w:tcPr>
          <w:p>
            <w:pPr>
              <w:pStyle w:val="TableContents"/>
              <w:bidi w:val="0"/>
              <w:spacing w:before="0" w:after="283"/>
              <w:jc w:val="right"/>
              <w:rPr/>
            </w:pPr>
            <w:r>
              <w:rPr/>
              <w:t> </w:t>
            </w:r>
            <w:r>
              <w:rPr>
                <w:b/>
                <w:sz w:val="16"/>
              </w:rPr>
              <w:t>(2,333,659)</w:t>
            </w:r>
          </w:p>
        </w:tc>
        <w:tc>
          <w:tcPr>
            <w:tcW w:w="905" w:type="dxa"/>
            <w:tcBorders/>
            <w:shd w:fill="FFFFFF" w:val="clear"/>
            <w:vAlign w:val="center"/>
          </w:tcPr>
          <w:p>
            <w:pPr>
              <w:pStyle w:val="TableContents"/>
              <w:bidi w:val="0"/>
              <w:spacing w:before="0" w:after="283"/>
              <w:jc w:val="right"/>
              <w:rPr/>
            </w:pPr>
            <w:r>
              <w:rPr/>
              <w:t> </w:t>
            </w:r>
            <w:r>
              <w:rPr>
                <w:b/>
                <w:sz w:val="16"/>
              </w:rPr>
              <w:t>(2,590,145)</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11.0%</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p>
        </w:tc>
        <w:tc>
          <w:tcPr>
            <w:tcW w:w="496" w:type="dxa"/>
            <w:tcBorders/>
            <w:vAlign w:val="center"/>
          </w:tcPr>
          <w:p>
            <w:pPr>
              <w:pStyle w:val="TableContents"/>
              <w:bidi w:val="0"/>
              <w:spacing w:before="0" w:after="283"/>
              <w:jc w:val="center"/>
              <w:rPr/>
            </w:pPr>
            <w:r>
              <w:rPr/>
              <w:t> </w:t>
            </w:r>
          </w:p>
        </w:tc>
        <w:tc>
          <w:tcPr>
            <w:tcW w:w="586" w:type="dxa"/>
            <w:tcBorders>
              <w:right w:val="single" w:sz="8" w:space="0" w:color="000000"/>
            </w:tcBorders>
            <w:tcMar>
              <w:right w:w="28" w:type="dxa"/>
            </w:tcM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283"/>
              <w:jc w:val="right"/>
              <w:rPr/>
            </w:pPr>
            <w:r>
              <w:rPr/>
              <w:t> </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3623" w:type="dxa"/>
            <w:gridSpan w:val="2"/>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Profit before income tax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r>
              <w:rPr>
                <w:b/>
                <w:sz w:val="16"/>
              </w:rPr>
              <w:t>1,547,577</w:t>
            </w:r>
          </w:p>
        </w:tc>
        <w:tc>
          <w:tcPr>
            <w:tcW w:w="905" w:type="dxa"/>
            <w:tcBorders/>
            <w:vAlign w:val="center"/>
          </w:tcPr>
          <w:p>
            <w:pPr>
              <w:pStyle w:val="TableContents"/>
              <w:bidi w:val="0"/>
              <w:spacing w:before="0" w:after="283"/>
              <w:jc w:val="right"/>
              <w:rPr/>
            </w:pPr>
            <w:r>
              <w:rPr/>
              <w:t> </w:t>
            </w:r>
            <w:r>
              <w:rPr>
                <w:b/>
                <w:sz w:val="16"/>
              </w:rPr>
              <w:t>1,684,397</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1,647,719</w:t>
            </w:r>
          </w:p>
        </w:tc>
        <w:tc>
          <w:tcPr>
            <w:tcW w:w="496" w:type="dxa"/>
            <w:tcBorders/>
            <w:vAlign w:val="center"/>
          </w:tcPr>
          <w:p>
            <w:pPr>
              <w:pStyle w:val="TableContents"/>
              <w:bidi w:val="0"/>
              <w:spacing w:before="0" w:after="283"/>
              <w:jc w:val="center"/>
              <w:rPr>
                <w:b/>
                <w:sz w:val="16"/>
              </w:rPr>
            </w:pPr>
            <w:r>
              <w:rPr>
                <w:b/>
                <w:sz w:val="16"/>
              </w:rPr>
              <w:t>-2.2%</w:t>
            </w:r>
          </w:p>
        </w:tc>
        <w:tc>
          <w:tcPr>
            <w:tcW w:w="586" w:type="dxa"/>
            <w:tcBorders>
              <w:right w:val="single" w:sz="8" w:space="0" w:color="000000"/>
            </w:tcBorders>
            <w:tcMar>
              <w:right w:w="28" w:type="dxa"/>
            </w:tcMar>
            <w:vAlign w:val="center"/>
          </w:tcPr>
          <w:p>
            <w:pPr>
              <w:pStyle w:val="TableContents"/>
              <w:bidi w:val="0"/>
              <w:spacing w:before="0" w:after="283"/>
              <w:jc w:val="center"/>
              <w:rPr>
                <w:b/>
                <w:sz w:val="16"/>
              </w:rPr>
            </w:pPr>
            <w:r>
              <w:rPr>
                <w:b/>
                <w:sz w:val="16"/>
              </w:rPr>
              <w:t>6.5%</w:t>
            </w:r>
          </w:p>
        </w:tc>
        <w:tc>
          <w:tcPr>
            <w:tcW w:w="905" w:type="dxa"/>
            <w:tcBorders/>
            <w:shd w:fill="FFFFFF" w:val="clear"/>
            <w:vAlign w:val="center"/>
          </w:tcPr>
          <w:p>
            <w:pPr>
              <w:pStyle w:val="TableContents"/>
              <w:bidi w:val="0"/>
              <w:spacing w:before="0" w:after="283"/>
              <w:jc w:val="right"/>
              <w:rPr/>
            </w:pPr>
            <w:r>
              <w:rPr/>
              <w:t> </w:t>
            </w:r>
            <w:r>
              <w:rPr>
                <w:b/>
                <w:sz w:val="16"/>
              </w:rPr>
              <w:t>3,124,122</w:t>
            </w:r>
          </w:p>
        </w:tc>
        <w:tc>
          <w:tcPr>
            <w:tcW w:w="905" w:type="dxa"/>
            <w:tcBorders/>
            <w:shd w:fill="FFFFFF" w:val="clear"/>
            <w:vAlign w:val="center"/>
          </w:tcPr>
          <w:p>
            <w:pPr>
              <w:pStyle w:val="TableContents"/>
              <w:bidi w:val="0"/>
              <w:spacing w:before="0" w:after="283"/>
              <w:jc w:val="right"/>
              <w:rPr/>
            </w:pPr>
            <w:r>
              <w:rPr/>
              <w:t> </w:t>
            </w:r>
            <w:r>
              <w:rPr>
                <w:b/>
                <w:sz w:val="16"/>
              </w:rPr>
              <w:t>3,332,116</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b/>
                <w:sz w:val="16"/>
              </w:rPr>
            </w:pPr>
            <w:r>
              <w:rPr>
                <w:b/>
                <w:sz w:val="16"/>
              </w:rPr>
              <w:t>6.7%</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p>
        </w:tc>
        <w:tc>
          <w:tcPr>
            <w:tcW w:w="496" w:type="dxa"/>
            <w:tcBorders/>
            <w:vAlign w:val="center"/>
          </w:tcPr>
          <w:p>
            <w:pPr>
              <w:pStyle w:val="TableContents"/>
              <w:bidi w:val="0"/>
              <w:spacing w:before="0" w:after="283"/>
              <w:jc w:val="center"/>
              <w:rPr/>
            </w:pPr>
            <w:r>
              <w:rPr/>
              <w:t> </w:t>
            </w:r>
          </w:p>
        </w:tc>
        <w:tc>
          <w:tcPr>
            <w:tcW w:w="586" w:type="dxa"/>
            <w:tcBorders>
              <w:right w:val="single" w:sz="8" w:space="0" w:color="000000"/>
            </w:tcBorders>
            <w:tcMar>
              <w:right w:w="28" w:type="dxa"/>
            </w:tcM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283"/>
              <w:jc w:val="right"/>
              <w:rPr/>
            </w:pPr>
            <w:r>
              <w:rPr/>
              <w:t> </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sz w:val="16"/>
              </w:rPr>
            </w:pPr>
            <w:r>
              <w:rPr>
                <w:sz w:val="16"/>
              </w:rPr>
              <w:t>Income tax</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sz w:val="16"/>
              </w:rPr>
            </w:pPr>
            <w:r>
              <w:rPr>
                <w:sz w:val="16"/>
              </w:rPr>
              <w:t>(391,499)</w:t>
            </w:r>
          </w:p>
        </w:tc>
        <w:tc>
          <w:tcPr>
            <w:tcW w:w="905" w:type="dxa"/>
            <w:tcBorders/>
            <w:vAlign w:val="center"/>
          </w:tcPr>
          <w:p>
            <w:pPr>
              <w:pStyle w:val="TableContents"/>
              <w:bidi w:val="0"/>
              <w:spacing w:before="0" w:after="283"/>
              <w:jc w:val="right"/>
              <w:rPr>
                <w:sz w:val="16"/>
              </w:rPr>
            </w:pPr>
            <w:r>
              <w:rPr>
                <w:sz w:val="16"/>
              </w:rPr>
              <w:t>(420,795)</w:t>
            </w:r>
          </w:p>
        </w:tc>
        <w:tc>
          <w:tcPr>
            <w:tcW w:w="905" w:type="dxa"/>
            <w:tcBorders>
              <w:right w:val="single" w:sz="8" w:space="0" w:color="000000"/>
            </w:tcBorders>
            <w:tcMar>
              <w:right w:w="28" w:type="dxa"/>
            </w:tcMar>
            <w:vAlign w:val="center"/>
          </w:tcPr>
          <w:p>
            <w:pPr>
              <w:pStyle w:val="TableContents"/>
              <w:bidi w:val="0"/>
              <w:spacing w:before="0" w:after="283"/>
              <w:jc w:val="right"/>
              <w:rPr>
                <w:sz w:val="16"/>
              </w:rPr>
            </w:pPr>
            <w:r>
              <w:rPr>
                <w:sz w:val="16"/>
              </w:rPr>
              <w:t>(393,752)</w:t>
            </w:r>
          </w:p>
        </w:tc>
        <w:tc>
          <w:tcPr>
            <w:tcW w:w="496" w:type="dxa"/>
            <w:tcBorders/>
            <w:vAlign w:val="center"/>
          </w:tcPr>
          <w:p>
            <w:pPr>
              <w:pStyle w:val="TableContents"/>
              <w:bidi w:val="0"/>
              <w:spacing w:before="0" w:after="283"/>
              <w:jc w:val="center"/>
              <w:rPr>
                <w:sz w:val="16"/>
              </w:rPr>
            </w:pPr>
            <w:r>
              <w:rPr>
                <w:sz w:val="16"/>
              </w:rPr>
              <w:t>-6.4%</w:t>
            </w:r>
          </w:p>
        </w:tc>
        <w:tc>
          <w:tcPr>
            <w:tcW w:w="586" w:type="dxa"/>
            <w:tcBorders>
              <w:right w:val="single" w:sz="8" w:space="0" w:color="000000"/>
            </w:tcBorders>
            <w:tcMar>
              <w:right w:w="28" w:type="dxa"/>
            </w:tcMar>
            <w:vAlign w:val="center"/>
          </w:tcPr>
          <w:p>
            <w:pPr>
              <w:pStyle w:val="TableContents"/>
              <w:bidi w:val="0"/>
              <w:spacing w:before="0" w:after="283"/>
              <w:jc w:val="center"/>
              <w:rPr>
                <w:sz w:val="16"/>
              </w:rPr>
            </w:pPr>
            <w:r>
              <w:rPr>
                <w:sz w:val="16"/>
              </w:rPr>
              <w:t>0.6%</w:t>
            </w:r>
          </w:p>
        </w:tc>
        <w:tc>
          <w:tcPr>
            <w:tcW w:w="905" w:type="dxa"/>
            <w:tcBorders/>
            <w:shd w:fill="FFFFFF" w:val="clear"/>
            <w:vAlign w:val="center"/>
          </w:tcPr>
          <w:p>
            <w:pPr>
              <w:pStyle w:val="TableContents"/>
              <w:bidi w:val="0"/>
              <w:spacing w:before="0" w:after="283"/>
              <w:jc w:val="right"/>
              <w:rPr/>
            </w:pPr>
            <w:r>
              <w:rPr/>
              <w:t> </w:t>
            </w:r>
            <w:r>
              <w:rPr>
                <w:sz w:val="16"/>
              </w:rPr>
              <w:t>(811,619)</w:t>
            </w:r>
          </w:p>
        </w:tc>
        <w:tc>
          <w:tcPr>
            <w:tcW w:w="905" w:type="dxa"/>
            <w:tcBorders/>
            <w:shd w:fill="FFFFFF" w:val="clear"/>
            <w:vAlign w:val="center"/>
          </w:tcPr>
          <w:p>
            <w:pPr>
              <w:pStyle w:val="TableContents"/>
              <w:bidi w:val="0"/>
              <w:spacing w:before="0" w:after="283"/>
              <w:jc w:val="right"/>
              <w:rPr/>
            </w:pPr>
            <w:r>
              <w:rPr/>
              <w:t> </w:t>
            </w:r>
            <w:r>
              <w:rPr>
                <w:sz w:val="16"/>
              </w:rPr>
              <w:t>(814,547)</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sz w:val="16"/>
              </w:rPr>
            </w:pPr>
            <w:r>
              <w:rPr>
                <w:sz w:val="16"/>
              </w:rPr>
              <w:t>0.4%</w:t>
            </w:r>
          </w:p>
        </w:tc>
      </w:tr>
      <w:tr>
        <w:trPr/>
        <w:tc>
          <w:tcPr>
            <w:tcW w:w="72"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left w:val="single" w:sz="8" w:space="0" w:color="000000"/>
            </w:tcBorders>
            <w:tcMar>
              <w:left w:w="28" w:type="dxa"/>
            </w:tcMar>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283"/>
              <w:jc w:val="right"/>
              <w:rPr/>
            </w:pPr>
            <w:r>
              <w:rPr/>
              <w:t> </w:t>
            </w:r>
          </w:p>
        </w:tc>
        <w:tc>
          <w:tcPr>
            <w:tcW w:w="905" w:type="dxa"/>
            <w:tcBorders>
              <w:right w:val="single" w:sz="8" w:space="0" w:color="000000"/>
            </w:tcBorders>
            <w:tcMar>
              <w:right w:w="60" w:type="dxa"/>
            </w:tcMar>
            <w:vAlign w:val="center"/>
          </w:tcPr>
          <w:p>
            <w:pPr>
              <w:pStyle w:val="TableContents"/>
              <w:bidi w:val="0"/>
              <w:spacing w:before="0" w:after="283"/>
              <w:jc w:val="right"/>
              <w:rPr/>
            </w:pPr>
            <w:r>
              <w:rPr/>
              <w:t> </w:t>
            </w:r>
          </w:p>
        </w:tc>
        <w:tc>
          <w:tcPr>
            <w:tcW w:w="496" w:type="dxa"/>
            <w:tcBorders/>
            <w:vAlign w:val="center"/>
          </w:tcPr>
          <w:p>
            <w:pPr>
              <w:pStyle w:val="TableContents"/>
              <w:bidi w:val="0"/>
              <w:spacing w:before="0" w:after="283"/>
              <w:jc w:val="center"/>
              <w:rPr/>
            </w:pPr>
            <w:r>
              <w:rPr/>
              <w:t> </w:t>
            </w:r>
          </w:p>
        </w:tc>
        <w:tc>
          <w:tcPr>
            <w:tcW w:w="586" w:type="dxa"/>
            <w:tcBorders>
              <w:right w:val="single" w:sz="8" w:space="0" w:color="000000"/>
            </w:tcBorders>
            <w:tcMar>
              <w:right w:w="28" w:type="dxa"/>
            </w:tcM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283"/>
              <w:jc w:val="right"/>
              <w:rPr/>
            </w:pPr>
            <w:r>
              <w:rPr/>
              <w:t> </w:t>
            </w:r>
          </w:p>
        </w:tc>
        <w:tc>
          <w:tcPr>
            <w:tcW w:w="91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center"/>
              <w:rPr/>
            </w:pPr>
            <w:r>
              <w:rPr/>
              <w:t> </w:t>
            </w:r>
          </w:p>
        </w:tc>
      </w:tr>
      <w:tr>
        <w:trPr/>
        <w:tc>
          <w:tcPr>
            <w:tcW w:w="3623" w:type="dxa"/>
            <w:gridSpan w:val="2"/>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b/>
                <w:sz w:val="16"/>
              </w:rPr>
            </w:pPr>
            <w:r>
              <w:rPr>
                <w:b/>
                <w:sz w:val="16"/>
              </w:rPr>
              <w:t>Net profit attributable to BCP Stand-alone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right"/>
              <w:rPr/>
            </w:pPr>
            <w:r>
              <w:rPr/>
              <w:t> </w:t>
            </w:r>
            <w:r>
              <w:rPr>
                <w:b/>
                <w:sz w:val="16"/>
              </w:rPr>
              <w:t>1,156,078</w:t>
            </w:r>
          </w:p>
        </w:tc>
        <w:tc>
          <w:tcPr>
            <w:tcW w:w="905" w:type="dxa"/>
            <w:tcBorders>
              <w:bottom w:val="single" w:sz="8" w:space="0" w:color="000000"/>
            </w:tcBorders>
            <w:tcMar>
              <w:bottom w:w="28" w:type="dxa"/>
            </w:tcMar>
            <w:vAlign w:val="center"/>
          </w:tcPr>
          <w:p>
            <w:pPr>
              <w:pStyle w:val="TableContents"/>
              <w:bidi w:val="0"/>
              <w:spacing w:before="0" w:after="283"/>
              <w:jc w:val="right"/>
              <w:rPr/>
            </w:pPr>
            <w:r>
              <w:rPr/>
              <w:t> </w:t>
            </w:r>
            <w:r>
              <w:rPr>
                <w:b/>
                <w:sz w:val="16"/>
              </w:rPr>
              <w:t>1,263,602</w:t>
            </w:r>
          </w:p>
        </w:tc>
        <w:tc>
          <w:tcPr>
            <w:tcW w:w="905" w:type="dxa"/>
            <w:tcBorders>
              <w:bottom w:val="single" w:sz="8" w:space="0" w:color="000000"/>
              <w:right w:val="single" w:sz="8" w:space="0" w:color="000000"/>
            </w:tcBorders>
            <w:tcMar>
              <w:bottom w:w="28" w:type="dxa"/>
              <w:right w:w="60" w:type="dxa"/>
            </w:tcMar>
            <w:vAlign w:val="center"/>
          </w:tcPr>
          <w:p>
            <w:pPr>
              <w:pStyle w:val="TableContents"/>
              <w:bidi w:val="0"/>
              <w:spacing w:before="0" w:after="283"/>
              <w:jc w:val="right"/>
              <w:rPr/>
            </w:pPr>
            <w:r>
              <w:rPr/>
              <w:t> </w:t>
            </w:r>
            <w:r>
              <w:rPr>
                <w:b/>
                <w:sz w:val="16"/>
              </w:rPr>
              <w:t>1,253,967</w:t>
            </w:r>
          </w:p>
        </w:tc>
        <w:tc>
          <w:tcPr>
            <w:tcW w:w="496"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-0.8%</w:t>
            </w:r>
          </w:p>
        </w:tc>
        <w:tc>
          <w:tcPr>
            <w:tcW w:w="58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b/>
                <w:sz w:val="16"/>
              </w:rPr>
            </w:pPr>
            <w:r>
              <w:rPr>
                <w:b/>
                <w:sz w:val="16"/>
              </w:rPr>
              <w:t>8.5%</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2,312,503</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2,517,569</w:t>
            </w:r>
          </w:p>
        </w:tc>
        <w:tc>
          <w:tcPr>
            <w:tcW w:w="915"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center"/>
          </w:tcPr>
          <w:p>
            <w:pPr>
              <w:pStyle w:val="TableContents"/>
              <w:bidi w:val="0"/>
              <w:spacing w:before="0" w:after="283"/>
              <w:jc w:val="center"/>
              <w:rPr>
                <w:b/>
                <w:sz w:val="16"/>
              </w:rPr>
            </w:pPr>
            <w:r>
              <w:rPr>
                <w:b/>
                <w:sz w:val="16"/>
              </w:rPr>
              <w:t>8.9%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BANCO DE CREDITO DEL PERU</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SELECTED FINANCIAL INDICATORS</w:t>
      </w:r>
    </w:p>
    <w:p>
      <w:pPr>
        <w:pStyle w:val="TextBody"/>
        <w:bidi w:val="0"/>
        <w:spacing w:before="0" w:after="0"/>
        <w:jc w:val="center"/>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4055"/>
        <w:gridCol w:w="560"/>
        <w:gridCol w:w="560"/>
        <w:gridCol w:w="560"/>
        <w:gridCol w:w="560"/>
        <w:gridCol w:w="560"/>
      </w:tblGrid>
      <w:tr>
        <w:trPr/>
        <w:tc>
          <w:tcPr>
            <w:tcW w:w="4055" w:type="dxa"/>
            <w:tcBorders/>
            <w:shd w:fill="FFFFFF" w:val="clear"/>
            <w:vAlign w:val="center"/>
          </w:tcPr>
          <w:p>
            <w:pPr>
              <w:pStyle w:val="TableContents"/>
              <w:bidi w:val="0"/>
              <w:spacing w:before="0" w:after="283"/>
              <w:jc w:val="left"/>
              <w:rPr/>
            </w:pPr>
            <w:r>
              <w:rPr/>
              <w:t> </w:t>
            </w:r>
          </w:p>
        </w:tc>
        <w:tc>
          <w:tcPr>
            <w:tcW w:w="1680" w:type="dxa"/>
            <w:gridSpan w:val="3"/>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Quarter</w:t>
            </w:r>
          </w:p>
        </w:tc>
        <w:tc>
          <w:tcPr>
            <w:tcW w:w="1120" w:type="dxa"/>
            <w:gridSpan w:val="2"/>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As of</w:t>
            </w:r>
          </w:p>
        </w:tc>
      </w:tr>
      <w:tr>
        <w:trPr/>
        <w:tc>
          <w:tcPr>
            <w:tcW w:w="4055" w:type="dxa"/>
            <w:tcBorders/>
            <w:shd w:fill="FFFFFF" w:val="clear"/>
            <w:vAlign w:val="center"/>
          </w:tcPr>
          <w:p>
            <w:pPr>
              <w:pStyle w:val="TableContents"/>
              <w:bidi w:val="0"/>
              <w:spacing w:before="0" w:after="283"/>
              <w:jc w:val="left"/>
              <w:rPr/>
            </w:pPr>
            <w:r>
              <w:rPr/>
              <w:t> </w:t>
            </w:r>
          </w:p>
        </w:tc>
        <w:tc>
          <w:tcPr>
            <w:tcW w:w="560"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2Q22</w:t>
            </w:r>
          </w:p>
        </w:tc>
        <w:tc>
          <w:tcPr>
            <w:tcW w:w="560" w:type="dxa"/>
            <w:tcBorders/>
            <w:shd w:fill="2AD2C9" w:val="clear"/>
            <w:vAlign w:val="center"/>
          </w:tcPr>
          <w:p>
            <w:pPr>
              <w:pStyle w:val="TableContents"/>
              <w:bidi w:val="0"/>
              <w:spacing w:before="0" w:after="283"/>
              <w:jc w:val="center"/>
              <w:rPr>
                <w:b/>
                <w:color w:val="FFFFFF"/>
                <w:sz w:val="16"/>
              </w:rPr>
            </w:pPr>
            <w:r>
              <w:rPr>
                <w:b/>
                <w:color w:val="FFFFFF"/>
                <w:sz w:val="16"/>
              </w:rPr>
              <w:t>1Q23</w:t>
            </w:r>
          </w:p>
        </w:tc>
        <w:tc>
          <w:tcPr>
            <w:tcW w:w="560" w:type="dxa"/>
            <w:tcBorders>
              <w:right w:val="single" w:sz="8" w:space="0" w:color="000000"/>
            </w:tcBorders>
            <w:shd w:fill="2AD2C9" w:val="clear"/>
            <w:tcMar>
              <w:right w:w="28" w:type="dxa"/>
            </w:tcMar>
            <w:vAlign w:val="center"/>
          </w:tcPr>
          <w:p>
            <w:pPr>
              <w:pStyle w:val="TableContents"/>
              <w:bidi w:val="0"/>
              <w:spacing w:before="0" w:after="283"/>
              <w:jc w:val="center"/>
              <w:rPr>
                <w:b/>
                <w:color w:val="FFFFFF"/>
                <w:sz w:val="16"/>
              </w:rPr>
            </w:pPr>
            <w:r>
              <w:rPr>
                <w:b/>
                <w:color w:val="FFFFFF"/>
                <w:sz w:val="16"/>
              </w:rPr>
              <w:t>2Q23</w:t>
            </w:r>
          </w:p>
        </w:tc>
        <w:tc>
          <w:tcPr>
            <w:tcW w:w="560"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1H22</w:t>
            </w:r>
          </w:p>
        </w:tc>
        <w:tc>
          <w:tcPr>
            <w:tcW w:w="560"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1H23</w:t>
            </w:r>
          </w:p>
        </w:tc>
      </w:tr>
      <w:tr>
        <w:trPr/>
        <w:tc>
          <w:tcPr>
            <w:tcW w:w="4055" w:type="dxa"/>
            <w:tcBorders>
              <w:top w:val="single" w:sz="8" w:space="0" w:color="000000"/>
              <w:left w:val="single" w:sz="8" w:space="0" w:color="000000"/>
              <w:right w:val="single" w:sz="8" w:space="0" w:color="000000"/>
            </w:tcBorders>
            <w:shd w:fill="FFFFFF" w:val="clear"/>
            <w:tcMar>
              <w:top w:w="28" w:type="dxa"/>
              <w:left w:w="28" w:type="dxa"/>
              <w:right w:w="28" w:type="dxa"/>
            </w:tcMar>
            <w:vAlign w:val="center"/>
          </w:tcPr>
          <w:p>
            <w:pPr>
              <w:pStyle w:val="TableContents"/>
              <w:bidi w:val="0"/>
              <w:spacing w:before="0" w:after="283"/>
              <w:jc w:val="left"/>
              <w:rPr>
                <w:b/>
                <w:sz w:val="16"/>
              </w:rPr>
            </w:pPr>
            <w:r>
              <w:rPr>
                <w:b/>
                <w:sz w:val="16"/>
              </w:rPr>
              <w:t>Profitability</w:t>
            </w:r>
          </w:p>
        </w:tc>
        <w:tc>
          <w:tcPr>
            <w:tcW w:w="560" w:type="dxa"/>
            <w:tcBorders>
              <w:top w:val="single" w:sz="8" w:space="0" w:color="000000"/>
            </w:tcBorders>
            <w:shd w:fill="FFFFFF" w:val="clear"/>
            <w:tcMar>
              <w:top w:w="28" w:type="dxa"/>
            </w:tcMar>
            <w:vAlign w:val="center"/>
          </w:tcPr>
          <w:p>
            <w:pPr>
              <w:pStyle w:val="TableContents"/>
              <w:bidi w:val="0"/>
              <w:spacing w:before="0" w:after="283"/>
              <w:jc w:val="center"/>
              <w:rPr/>
            </w:pPr>
            <w:r>
              <w:rPr/>
              <w:t> </w:t>
            </w:r>
          </w:p>
        </w:tc>
        <w:tc>
          <w:tcPr>
            <w:tcW w:w="560" w:type="dxa"/>
            <w:tcBorders>
              <w:top w:val="single" w:sz="8" w:space="0" w:color="000000"/>
            </w:tcBorders>
            <w:shd w:fill="FFFFFF" w:val="clear"/>
            <w:tcMar>
              <w:top w:w="28" w:type="dxa"/>
            </w:tcMar>
            <w:vAlign w:val="center"/>
          </w:tcPr>
          <w:p>
            <w:pPr>
              <w:pStyle w:val="TableContents"/>
              <w:bidi w:val="0"/>
              <w:spacing w:before="0" w:after="283"/>
              <w:jc w:val="center"/>
              <w:rPr/>
            </w:pPr>
            <w:r>
              <w:rPr/>
              <w:t> </w:t>
            </w:r>
          </w:p>
        </w:tc>
        <w:tc>
          <w:tcPr>
            <w:tcW w:w="560"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ROAA </w:t>
            </w:r>
            <w:r>
              <w:rPr>
                <w:rFonts w:ascii="Arial;Helvetica;Sans-Serif" w:hAnsi="Arial;Helvetica;Sans-Serif"/>
                <w:b w:val="false"/>
                <w:i w:val="false"/>
                <w:caps w:val="false"/>
                <w:smallCaps w:val="false"/>
                <w:sz w:val="16"/>
              </w:rPr>
              <w:t>(1)(2)</w:t>
            </w:r>
          </w:p>
        </w:tc>
        <w:tc>
          <w:tcPr>
            <w:tcW w:w="560" w:type="dxa"/>
            <w:tcBorders/>
            <w:vAlign w:val="center"/>
          </w:tcPr>
          <w:p>
            <w:pPr>
              <w:pStyle w:val="TableContents"/>
              <w:bidi w:val="0"/>
              <w:spacing w:before="0" w:after="283"/>
              <w:jc w:val="center"/>
              <w:rPr>
                <w:sz w:val="16"/>
              </w:rPr>
            </w:pPr>
            <w:r>
              <w:rPr>
                <w:sz w:val="16"/>
              </w:rPr>
              <w:t>2.5%</w:t>
            </w:r>
          </w:p>
        </w:tc>
        <w:tc>
          <w:tcPr>
            <w:tcW w:w="560" w:type="dxa"/>
            <w:tcBorders/>
            <w:vAlign w:val="center"/>
          </w:tcPr>
          <w:p>
            <w:pPr>
              <w:pStyle w:val="TableContents"/>
              <w:bidi w:val="0"/>
              <w:spacing w:before="0" w:after="283"/>
              <w:jc w:val="center"/>
              <w:rPr>
                <w:sz w:val="16"/>
              </w:rPr>
            </w:pPr>
            <w:r>
              <w:rPr>
                <w:sz w:val="16"/>
              </w:rPr>
              <w:t>2.8%</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2.8%</w:t>
            </w:r>
          </w:p>
        </w:tc>
        <w:tc>
          <w:tcPr>
            <w:tcW w:w="560" w:type="dxa"/>
            <w:tcBorders/>
            <w:vAlign w:val="center"/>
          </w:tcPr>
          <w:p>
            <w:pPr>
              <w:pStyle w:val="TableContents"/>
              <w:bidi w:val="0"/>
              <w:spacing w:before="0" w:after="283"/>
              <w:jc w:val="center"/>
              <w:rPr>
                <w:sz w:val="16"/>
              </w:rPr>
            </w:pPr>
            <w:r>
              <w:rPr>
                <w:sz w:val="16"/>
              </w:rPr>
              <w:t>2.5%</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2.8%</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ROAE </w:t>
            </w:r>
            <w:r>
              <w:rPr>
                <w:rFonts w:ascii="Arial;Helvetica;Sans-Serif" w:hAnsi="Arial;Helvetica;Sans-Serif"/>
                <w:b w:val="false"/>
                <w:i w:val="false"/>
                <w:caps w:val="false"/>
                <w:smallCaps w:val="false"/>
                <w:sz w:val="16"/>
              </w:rPr>
              <w:t>(1)(2)</w:t>
            </w:r>
          </w:p>
        </w:tc>
        <w:tc>
          <w:tcPr>
            <w:tcW w:w="560" w:type="dxa"/>
            <w:tcBorders/>
            <w:vAlign w:val="center"/>
          </w:tcPr>
          <w:p>
            <w:pPr>
              <w:pStyle w:val="TableContents"/>
              <w:bidi w:val="0"/>
              <w:spacing w:before="0" w:after="283"/>
              <w:jc w:val="center"/>
              <w:rPr>
                <w:sz w:val="16"/>
              </w:rPr>
            </w:pPr>
            <w:r>
              <w:rPr>
                <w:sz w:val="16"/>
              </w:rPr>
              <w:t>22.5%</w:t>
            </w:r>
          </w:p>
        </w:tc>
        <w:tc>
          <w:tcPr>
            <w:tcW w:w="560" w:type="dxa"/>
            <w:tcBorders/>
            <w:vAlign w:val="center"/>
          </w:tcPr>
          <w:p>
            <w:pPr>
              <w:pStyle w:val="TableContents"/>
              <w:bidi w:val="0"/>
              <w:spacing w:before="0" w:after="283"/>
              <w:jc w:val="center"/>
              <w:rPr>
                <w:sz w:val="16"/>
              </w:rPr>
            </w:pPr>
            <w:r>
              <w:rPr>
                <w:sz w:val="16"/>
              </w:rPr>
              <w:t>22.5%</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22.3%</w:t>
            </w:r>
          </w:p>
        </w:tc>
        <w:tc>
          <w:tcPr>
            <w:tcW w:w="560" w:type="dxa"/>
            <w:tcBorders/>
            <w:vAlign w:val="center"/>
          </w:tcPr>
          <w:p>
            <w:pPr>
              <w:pStyle w:val="TableContents"/>
              <w:bidi w:val="0"/>
              <w:spacing w:before="0" w:after="283"/>
              <w:jc w:val="center"/>
              <w:rPr>
                <w:sz w:val="16"/>
              </w:rPr>
            </w:pPr>
            <w:r>
              <w:rPr>
                <w:sz w:val="16"/>
              </w:rPr>
              <w:t>22.5%</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22.4%</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Net interest margin </w:t>
            </w:r>
            <w:r>
              <w:rPr>
                <w:rFonts w:ascii="Arial;Helvetica;Sans-Serif" w:hAnsi="Arial;Helvetica;Sans-Serif"/>
                <w:b w:val="false"/>
                <w:i w:val="false"/>
                <w:caps w:val="false"/>
                <w:smallCaps w:val="false"/>
                <w:sz w:val="16"/>
              </w:rPr>
              <w:t>(1)(2)</w:t>
            </w:r>
          </w:p>
        </w:tc>
        <w:tc>
          <w:tcPr>
            <w:tcW w:w="560" w:type="dxa"/>
            <w:tcBorders/>
            <w:vAlign w:val="center"/>
          </w:tcPr>
          <w:p>
            <w:pPr>
              <w:pStyle w:val="TableContents"/>
              <w:bidi w:val="0"/>
              <w:spacing w:before="0" w:after="283"/>
              <w:jc w:val="center"/>
              <w:rPr>
                <w:sz w:val="16"/>
              </w:rPr>
            </w:pPr>
            <w:r>
              <w:rPr>
                <w:sz w:val="16"/>
              </w:rPr>
              <w:t>4.3%</w:t>
            </w:r>
          </w:p>
        </w:tc>
        <w:tc>
          <w:tcPr>
            <w:tcW w:w="560" w:type="dxa"/>
            <w:tcBorders/>
            <w:vAlign w:val="center"/>
          </w:tcPr>
          <w:p>
            <w:pPr>
              <w:pStyle w:val="TableContents"/>
              <w:bidi w:val="0"/>
              <w:spacing w:before="0" w:after="283"/>
              <w:jc w:val="center"/>
              <w:rPr>
                <w:sz w:val="16"/>
              </w:rPr>
            </w:pPr>
            <w:r>
              <w:rPr>
                <w:sz w:val="16"/>
              </w:rPr>
              <w:t>5.6%</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5.7%</w:t>
            </w:r>
          </w:p>
        </w:tc>
        <w:tc>
          <w:tcPr>
            <w:tcW w:w="560" w:type="dxa"/>
            <w:tcBorders/>
            <w:vAlign w:val="center"/>
          </w:tcPr>
          <w:p>
            <w:pPr>
              <w:pStyle w:val="TableContents"/>
              <w:bidi w:val="0"/>
              <w:spacing w:before="0" w:after="283"/>
              <w:jc w:val="center"/>
              <w:rPr>
                <w:sz w:val="16"/>
              </w:rPr>
            </w:pPr>
            <w:r>
              <w:rPr>
                <w:sz w:val="16"/>
              </w:rPr>
              <w:t>4.1%</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5.6%</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lineRule="auto" w:line="240" w:before="0" w:after="283"/>
              <w:jc w:val="left"/>
              <w:rPr>
                <w:sz w:val="16"/>
              </w:rPr>
            </w:pPr>
            <w:r>
              <w:rPr>
                <w:sz w:val="16"/>
              </w:rPr>
              <w:t xml:space="preserve">Risk adjusted NIM </w:t>
            </w:r>
            <w:r>
              <w:rPr>
                <w:rFonts w:ascii="Arial;Helvetica;Sans-Serif" w:hAnsi="Arial;Helvetica;Sans-Serif"/>
                <w:b w:val="false"/>
                <w:i w:val="false"/>
                <w:caps w:val="false"/>
                <w:smallCaps w:val="false"/>
                <w:sz w:val="16"/>
              </w:rPr>
              <w:t>(1)(2)</w:t>
            </w:r>
          </w:p>
        </w:tc>
        <w:tc>
          <w:tcPr>
            <w:tcW w:w="560" w:type="dxa"/>
            <w:tcBorders/>
            <w:vAlign w:val="center"/>
          </w:tcPr>
          <w:p>
            <w:pPr>
              <w:pStyle w:val="TableContents"/>
              <w:bidi w:val="0"/>
              <w:spacing w:before="0" w:after="283"/>
              <w:jc w:val="center"/>
              <w:rPr>
                <w:sz w:val="16"/>
              </w:rPr>
            </w:pPr>
            <w:r>
              <w:rPr>
                <w:sz w:val="16"/>
              </w:rPr>
              <w:t>3.8%</w:t>
            </w:r>
          </w:p>
        </w:tc>
        <w:tc>
          <w:tcPr>
            <w:tcW w:w="560" w:type="dxa"/>
            <w:tcBorders/>
            <w:vAlign w:val="center"/>
          </w:tcPr>
          <w:p>
            <w:pPr>
              <w:pStyle w:val="TableContents"/>
              <w:bidi w:val="0"/>
              <w:spacing w:before="0" w:after="283"/>
              <w:jc w:val="center"/>
              <w:rPr>
                <w:sz w:val="16"/>
              </w:rPr>
            </w:pPr>
            <w:r>
              <w:rPr>
                <w:sz w:val="16"/>
              </w:rPr>
              <w:t>4.4%</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4.3%</w:t>
            </w:r>
          </w:p>
        </w:tc>
        <w:tc>
          <w:tcPr>
            <w:tcW w:w="560" w:type="dxa"/>
            <w:tcBorders/>
            <w:vAlign w:val="center"/>
          </w:tcPr>
          <w:p>
            <w:pPr>
              <w:pStyle w:val="TableContents"/>
              <w:bidi w:val="0"/>
              <w:spacing w:before="0" w:after="283"/>
              <w:jc w:val="center"/>
              <w:rPr>
                <w:sz w:val="16"/>
              </w:rPr>
            </w:pPr>
            <w:r>
              <w:rPr>
                <w:sz w:val="16"/>
              </w:rPr>
              <w:t>3.6%</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4.4%</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lineRule="auto" w:line="240" w:before="0" w:after="283"/>
              <w:jc w:val="left"/>
              <w:rPr>
                <w:sz w:val="16"/>
              </w:rPr>
            </w:pPr>
            <w:r>
              <w:rPr>
                <w:sz w:val="16"/>
              </w:rPr>
              <w:t xml:space="preserve">Funding Cost </w:t>
            </w:r>
            <w:r>
              <w:rPr>
                <w:rFonts w:ascii="Arial;Helvetica;Sans-Serif" w:hAnsi="Arial;Helvetica;Sans-Serif"/>
                <w:b w:val="false"/>
                <w:i w:val="false"/>
                <w:caps w:val="false"/>
                <w:smallCaps w:val="false"/>
                <w:sz w:val="16"/>
              </w:rPr>
              <w:t>(1)(2)(3)</w:t>
            </w:r>
          </w:p>
        </w:tc>
        <w:tc>
          <w:tcPr>
            <w:tcW w:w="560" w:type="dxa"/>
            <w:tcBorders/>
            <w:vAlign w:val="center"/>
          </w:tcPr>
          <w:p>
            <w:pPr>
              <w:pStyle w:val="TableContents"/>
              <w:bidi w:val="0"/>
              <w:spacing w:before="0" w:after="283"/>
              <w:jc w:val="center"/>
              <w:rPr>
                <w:sz w:val="16"/>
              </w:rPr>
            </w:pPr>
            <w:r>
              <w:rPr>
                <w:sz w:val="16"/>
              </w:rPr>
              <w:t>1.2%</w:t>
            </w:r>
          </w:p>
        </w:tc>
        <w:tc>
          <w:tcPr>
            <w:tcW w:w="560" w:type="dxa"/>
            <w:tcBorders/>
            <w:vAlign w:val="center"/>
          </w:tcPr>
          <w:p>
            <w:pPr>
              <w:pStyle w:val="TableContents"/>
              <w:bidi w:val="0"/>
              <w:spacing w:before="0" w:after="283"/>
              <w:jc w:val="center"/>
              <w:rPr>
                <w:sz w:val="16"/>
              </w:rPr>
            </w:pPr>
            <w:r>
              <w:rPr>
                <w:sz w:val="16"/>
              </w:rPr>
              <w:t>2.2%</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2.4%</w:t>
            </w:r>
          </w:p>
        </w:tc>
        <w:tc>
          <w:tcPr>
            <w:tcW w:w="560" w:type="dxa"/>
            <w:tcBorders/>
            <w:vAlign w:val="center"/>
          </w:tcPr>
          <w:p>
            <w:pPr>
              <w:pStyle w:val="TableContents"/>
              <w:bidi w:val="0"/>
              <w:spacing w:before="0" w:after="283"/>
              <w:jc w:val="center"/>
              <w:rPr>
                <w:sz w:val="16"/>
              </w:rPr>
            </w:pPr>
            <w:r>
              <w:rPr>
                <w:sz w:val="16"/>
              </w:rPr>
              <w:t>1.2%</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2.3%</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Quality of loan portfolio</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IOL ratio</w:t>
            </w:r>
          </w:p>
        </w:tc>
        <w:tc>
          <w:tcPr>
            <w:tcW w:w="560" w:type="dxa"/>
            <w:tcBorders/>
            <w:vAlign w:val="center"/>
          </w:tcPr>
          <w:p>
            <w:pPr>
              <w:pStyle w:val="TableContents"/>
              <w:bidi w:val="0"/>
              <w:spacing w:before="0" w:after="283"/>
              <w:jc w:val="center"/>
              <w:rPr>
                <w:sz w:val="16"/>
              </w:rPr>
            </w:pPr>
            <w:r>
              <w:rPr>
                <w:sz w:val="16"/>
              </w:rPr>
              <w:t>3.9%</w:t>
            </w:r>
          </w:p>
        </w:tc>
        <w:tc>
          <w:tcPr>
            <w:tcW w:w="560" w:type="dxa"/>
            <w:tcBorders/>
            <w:vAlign w:val="center"/>
          </w:tcPr>
          <w:p>
            <w:pPr>
              <w:pStyle w:val="TableContents"/>
              <w:bidi w:val="0"/>
              <w:spacing w:before="0" w:after="283"/>
              <w:jc w:val="center"/>
              <w:rPr>
                <w:sz w:val="16"/>
              </w:rPr>
            </w:pPr>
            <w:r>
              <w:rPr>
                <w:sz w:val="16"/>
              </w:rPr>
              <w:t>4.0%</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4.1%</w:t>
            </w:r>
          </w:p>
        </w:tc>
        <w:tc>
          <w:tcPr>
            <w:tcW w:w="560" w:type="dxa"/>
            <w:tcBorders/>
            <w:vAlign w:val="center"/>
          </w:tcPr>
          <w:p>
            <w:pPr>
              <w:pStyle w:val="TableContents"/>
              <w:bidi w:val="0"/>
              <w:spacing w:before="0" w:after="283"/>
              <w:jc w:val="center"/>
              <w:rPr>
                <w:sz w:val="16"/>
              </w:rPr>
            </w:pPr>
            <w:r>
              <w:rPr>
                <w:sz w:val="16"/>
              </w:rPr>
              <w:t>3.9%</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4.1%</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NPL ratio</w:t>
            </w:r>
          </w:p>
        </w:tc>
        <w:tc>
          <w:tcPr>
            <w:tcW w:w="560" w:type="dxa"/>
            <w:tcBorders/>
            <w:vAlign w:val="center"/>
          </w:tcPr>
          <w:p>
            <w:pPr>
              <w:pStyle w:val="TableContents"/>
              <w:bidi w:val="0"/>
              <w:spacing w:before="0" w:after="283"/>
              <w:jc w:val="center"/>
              <w:rPr>
                <w:sz w:val="16"/>
              </w:rPr>
            </w:pPr>
            <w:r>
              <w:rPr>
                <w:sz w:val="16"/>
              </w:rPr>
              <w:t>5.1%</w:t>
            </w:r>
          </w:p>
        </w:tc>
        <w:tc>
          <w:tcPr>
            <w:tcW w:w="560" w:type="dxa"/>
            <w:tcBorders/>
            <w:vAlign w:val="center"/>
          </w:tcPr>
          <w:p>
            <w:pPr>
              <w:pStyle w:val="TableContents"/>
              <w:bidi w:val="0"/>
              <w:spacing w:before="0" w:after="283"/>
              <w:jc w:val="center"/>
              <w:rPr>
                <w:sz w:val="16"/>
              </w:rPr>
            </w:pPr>
            <w:r>
              <w:rPr>
                <w:sz w:val="16"/>
              </w:rPr>
              <w:t>5.6%</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5.7%</w:t>
            </w:r>
          </w:p>
        </w:tc>
        <w:tc>
          <w:tcPr>
            <w:tcW w:w="560" w:type="dxa"/>
            <w:tcBorders/>
            <w:vAlign w:val="center"/>
          </w:tcPr>
          <w:p>
            <w:pPr>
              <w:pStyle w:val="TableContents"/>
              <w:bidi w:val="0"/>
              <w:spacing w:before="0" w:after="283"/>
              <w:jc w:val="center"/>
              <w:rPr>
                <w:sz w:val="16"/>
              </w:rPr>
            </w:pPr>
            <w:r>
              <w:rPr>
                <w:sz w:val="16"/>
              </w:rPr>
              <w:t>5.1%</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5.7%</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Coverage of IOLs</w:t>
            </w:r>
          </w:p>
        </w:tc>
        <w:tc>
          <w:tcPr>
            <w:tcW w:w="560" w:type="dxa"/>
            <w:tcBorders/>
            <w:vAlign w:val="center"/>
          </w:tcPr>
          <w:p>
            <w:pPr>
              <w:pStyle w:val="TableContents"/>
              <w:bidi w:val="0"/>
              <w:spacing w:before="0" w:after="283"/>
              <w:jc w:val="center"/>
              <w:rPr>
                <w:sz w:val="16"/>
              </w:rPr>
            </w:pPr>
            <w:r>
              <w:rPr>
                <w:sz w:val="16"/>
              </w:rPr>
              <w:t>136.1%</w:t>
            </w:r>
          </w:p>
        </w:tc>
        <w:tc>
          <w:tcPr>
            <w:tcW w:w="560" w:type="dxa"/>
            <w:tcBorders/>
            <w:vAlign w:val="center"/>
          </w:tcPr>
          <w:p>
            <w:pPr>
              <w:pStyle w:val="TableContents"/>
              <w:bidi w:val="0"/>
              <w:spacing w:before="0" w:after="283"/>
              <w:jc w:val="center"/>
              <w:rPr>
                <w:sz w:val="16"/>
              </w:rPr>
            </w:pPr>
            <w:r>
              <w:rPr>
                <w:sz w:val="16"/>
              </w:rPr>
              <w:t>135.1%</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133.7%</w:t>
            </w:r>
          </w:p>
        </w:tc>
        <w:tc>
          <w:tcPr>
            <w:tcW w:w="560" w:type="dxa"/>
            <w:tcBorders/>
            <w:vAlign w:val="center"/>
          </w:tcPr>
          <w:p>
            <w:pPr>
              <w:pStyle w:val="TableContents"/>
              <w:bidi w:val="0"/>
              <w:spacing w:before="0" w:after="283"/>
              <w:jc w:val="center"/>
              <w:rPr>
                <w:sz w:val="16"/>
              </w:rPr>
            </w:pPr>
            <w:r>
              <w:rPr>
                <w:sz w:val="16"/>
              </w:rPr>
              <w:t>136.1%</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133.7%</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before="0" w:after="283"/>
              <w:jc w:val="left"/>
              <w:rPr>
                <w:sz w:val="16"/>
              </w:rPr>
            </w:pPr>
            <w:r>
              <w:rPr>
                <w:sz w:val="16"/>
              </w:rPr>
              <w:t>Coverage of NPLs</w:t>
            </w:r>
          </w:p>
        </w:tc>
        <w:tc>
          <w:tcPr>
            <w:tcW w:w="560" w:type="dxa"/>
            <w:tcBorders/>
            <w:vAlign w:val="center"/>
          </w:tcPr>
          <w:p>
            <w:pPr>
              <w:pStyle w:val="TableContents"/>
              <w:bidi w:val="0"/>
              <w:spacing w:before="0" w:after="283"/>
              <w:jc w:val="center"/>
              <w:rPr>
                <w:sz w:val="16"/>
              </w:rPr>
            </w:pPr>
            <w:r>
              <w:rPr>
                <w:sz w:val="16"/>
              </w:rPr>
              <w:t>103.0%</w:t>
            </w:r>
          </w:p>
        </w:tc>
        <w:tc>
          <w:tcPr>
            <w:tcW w:w="560" w:type="dxa"/>
            <w:tcBorders/>
            <w:vAlign w:val="center"/>
          </w:tcPr>
          <w:p>
            <w:pPr>
              <w:pStyle w:val="TableContents"/>
              <w:bidi w:val="0"/>
              <w:spacing w:before="0" w:after="283"/>
              <w:jc w:val="center"/>
              <w:rPr>
                <w:sz w:val="16"/>
              </w:rPr>
            </w:pPr>
            <w:r>
              <w:rPr>
                <w:sz w:val="16"/>
              </w:rPr>
              <w:t>95.3%</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95.1%</w:t>
            </w:r>
          </w:p>
        </w:tc>
        <w:tc>
          <w:tcPr>
            <w:tcW w:w="560" w:type="dxa"/>
            <w:tcBorders/>
            <w:vAlign w:val="center"/>
          </w:tcPr>
          <w:p>
            <w:pPr>
              <w:pStyle w:val="TableContents"/>
              <w:bidi w:val="0"/>
              <w:spacing w:before="0" w:after="283"/>
              <w:jc w:val="center"/>
              <w:rPr>
                <w:sz w:val="16"/>
              </w:rPr>
            </w:pPr>
            <w:r>
              <w:rPr>
                <w:sz w:val="16"/>
              </w:rPr>
              <w:t>103.0%</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95.1%</w:t>
            </w:r>
          </w:p>
        </w:tc>
      </w:tr>
      <w:tr>
        <w:trPr/>
        <w:tc>
          <w:tcPr>
            <w:tcW w:w="4055" w:type="dxa"/>
            <w:tcBorders>
              <w:left w:val="single" w:sz="8" w:space="0" w:color="000000"/>
              <w:right w:val="single" w:sz="8" w:space="0" w:color="000000"/>
            </w:tcBorders>
            <w:shd w:fill="FFFFFF" w:val="clear"/>
            <w:tcMar>
              <w:left w:w="28" w:type="dxa"/>
              <w:right w:w="28" w:type="dxa"/>
            </w:tcMar>
            <w:vAlign w:val="center"/>
          </w:tcPr>
          <w:p>
            <w:pPr>
              <w:pStyle w:val="TableContents"/>
              <w:bidi w:val="0"/>
              <w:spacing w:lineRule="auto" w:line="240" w:before="0" w:after="283"/>
              <w:jc w:val="left"/>
              <w:rPr>
                <w:sz w:val="16"/>
              </w:rPr>
            </w:pPr>
            <w:r>
              <w:rPr>
                <w:sz w:val="16"/>
              </w:rPr>
              <w:t xml:space="preserve">Cost of risk </w:t>
            </w:r>
            <w:r>
              <w:rPr>
                <w:rFonts w:ascii="Arial;Helvetica;Sans-Serif" w:hAnsi="Arial;Helvetica;Sans-Serif"/>
                <w:b w:val="false"/>
                <w:i w:val="false"/>
                <w:caps w:val="false"/>
                <w:smallCaps w:val="false"/>
                <w:sz w:val="16"/>
              </w:rPr>
              <w:t>(4)</w:t>
            </w:r>
          </w:p>
        </w:tc>
        <w:tc>
          <w:tcPr>
            <w:tcW w:w="560" w:type="dxa"/>
            <w:tcBorders/>
            <w:vAlign w:val="center"/>
          </w:tcPr>
          <w:p>
            <w:pPr>
              <w:pStyle w:val="TableContents"/>
              <w:bidi w:val="0"/>
              <w:spacing w:before="0" w:after="283"/>
              <w:jc w:val="center"/>
              <w:rPr>
                <w:sz w:val="16"/>
              </w:rPr>
            </w:pPr>
            <w:r>
              <w:rPr>
                <w:sz w:val="16"/>
              </w:rPr>
              <w:t>0.7%</w:t>
            </w:r>
          </w:p>
        </w:tc>
        <w:tc>
          <w:tcPr>
            <w:tcW w:w="560" w:type="dxa"/>
            <w:tcBorders/>
            <w:vAlign w:val="center"/>
          </w:tcPr>
          <w:p>
            <w:pPr>
              <w:pStyle w:val="TableContents"/>
              <w:bidi w:val="0"/>
              <w:spacing w:before="0" w:after="283"/>
              <w:jc w:val="center"/>
              <w:rPr>
                <w:sz w:val="16"/>
              </w:rPr>
            </w:pPr>
            <w:r>
              <w:rPr>
                <w:sz w:val="16"/>
              </w:rPr>
              <w:t>1.6%</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2.1%</w:t>
            </w:r>
          </w:p>
        </w:tc>
        <w:tc>
          <w:tcPr>
            <w:tcW w:w="560" w:type="dxa"/>
            <w:tcBorders/>
            <w:vAlign w:val="center"/>
          </w:tcPr>
          <w:p>
            <w:pPr>
              <w:pStyle w:val="TableContents"/>
              <w:bidi w:val="0"/>
              <w:spacing w:before="0" w:after="283"/>
              <w:jc w:val="center"/>
              <w:rPr>
                <w:sz w:val="16"/>
              </w:rPr>
            </w:pPr>
            <w:r>
              <w:rPr>
                <w:sz w:val="16"/>
              </w:rPr>
              <w:t>0.6%</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1.9%</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b/>
                <w:sz w:val="16"/>
              </w:rPr>
            </w:pPr>
            <w:r>
              <w:rPr>
                <w:b/>
                <w:sz w:val="16"/>
              </w:rPr>
              <w:t>Operating efficiency</w:t>
            </w:r>
          </w:p>
        </w:tc>
        <w:tc>
          <w:tcPr>
            <w:tcW w:w="56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center"/>
              <w:rPr/>
            </w:pPr>
            <w:r>
              <w:rPr/>
              <w:t> </w:t>
            </w:r>
          </w:p>
        </w:tc>
        <w:tc>
          <w:tcPr>
            <w:tcW w:w="560" w:type="dxa"/>
            <w:tcBorders>
              <w:right w:val="single" w:sz="8" w:space="0" w:color="000000"/>
            </w:tcBorders>
            <w:tcMar>
              <w:right w:w="28" w:type="dxa"/>
            </w:tcMar>
            <w:vAlign w:val="center"/>
          </w:tcPr>
          <w:p>
            <w:pPr>
              <w:pStyle w:val="TableContents"/>
              <w:bidi w:val="0"/>
              <w:spacing w:before="0" w:after="283"/>
              <w:jc w:val="center"/>
              <w:rPr/>
            </w:pPr>
            <w:r>
              <w:rPr/>
              <w:t> </w:t>
            </w:r>
          </w:p>
        </w:tc>
      </w:tr>
      <w:tr>
        <w:trPr/>
        <w:tc>
          <w:tcPr>
            <w:tcW w:w="4055" w:type="dxa"/>
            <w:tcBorders>
              <w:left w:val="single" w:sz="8" w:space="0" w:color="000000"/>
              <w:right w:val="single" w:sz="8" w:space="0" w:color="000000"/>
            </w:tcBorders>
            <w:tcMar>
              <w:left w:w="28" w:type="dxa"/>
              <w:right w:w="28" w:type="dxa"/>
            </w:tcMar>
            <w:vAlign w:val="center"/>
          </w:tcPr>
          <w:p>
            <w:pPr>
              <w:pStyle w:val="TableContents"/>
              <w:bidi w:val="0"/>
              <w:spacing w:lineRule="auto" w:line="240" w:before="0" w:after="283"/>
              <w:jc w:val="left"/>
              <w:rPr>
                <w:sz w:val="16"/>
              </w:rPr>
            </w:pPr>
            <w:r>
              <w:rPr>
                <w:sz w:val="16"/>
              </w:rPr>
              <w:t xml:space="preserve">Oper. expenses as a percent. of total income - reported </w:t>
            </w:r>
            <w:r>
              <w:rPr>
                <w:rFonts w:ascii="Arial;Helvetica;Sans-Serif" w:hAnsi="Arial;Helvetica;Sans-Serif"/>
                <w:b w:val="false"/>
                <w:i w:val="false"/>
                <w:caps w:val="false"/>
                <w:smallCaps w:val="false"/>
                <w:sz w:val="16"/>
              </w:rPr>
              <w:t>(5)</w:t>
            </w:r>
          </w:p>
        </w:tc>
        <w:tc>
          <w:tcPr>
            <w:tcW w:w="560" w:type="dxa"/>
            <w:tcBorders/>
            <w:vAlign w:val="center"/>
          </w:tcPr>
          <w:p>
            <w:pPr>
              <w:pStyle w:val="TableContents"/>
              <w:bidi w:val="0"/>
              <w:spacing w:before="0" w:after="283"/>
              <w:jc w:val="center"/>
              <w:rPr>
                <w:sz w:val="16"/>
              </w:rPr>
            </w:pPr>
            <w:r>
              <w:rPr>
                <w:sz w:val="16"/>
              </w:rPr>
              <w:t>41.6%</w:t>
            </w:r>
          </w:p>
        </w:tc>
        <w:tc>
          <w:tcPr>
            <w:tcW w:w="560" w:type="dxa"/>
            <w:tcBorders/>
            <w:vAlign w:val="center"/>
          </w:tcPr>
          <w:p>
            <w:pPr>
              <w:pStyle w:val="TableContents"/>
              <w:bidi w:val="0"/>
              <w:spacing w:before="0" w:after="283"/>
              <w:jc w:val="center"/>
              <w:rPr>
                <w:sz w:val="16"/>
              </w:rPr>
            </w:pPr>
            <w:r>
              <w:rPr>
                <w:sz w:val="16"/>
              </w:rPr>
              <w:t>36.8%</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37.0%</w:t>
            </w:r>
          </w:p>
        </w:tc>
        <w:tc>
          <w:tcPr>
            <w:tcW w:w="560" w:type="dxa"/>
            <w:tcBorders/>
            <w:vAlign w:val="center"/>
          </w:tcPr>
          <w:p>
            <w:pPr>
              <w:pStyle w:val="TableContents"/>
              <w:bidi w:val="0"/>
              <w:spacing w:before="0" w:after="283"/>
              <w:jc w:val="center"/>
              <w:rPr>
                <w:sz w:val="16"/>
              </w:rPr>
            </w:pPr>
            <w:r>
              <w:rPr>
                <w:sz w:val="16"/>
              </w:rPr>
              <w:t>41.1%</w:t>
            </w:r>
          </w:p>
        </w:tc>
        <w:tc>
          <w:tcPr>
            <w:tcW w:w="560" w:type="dxa"/>
            <w:tcBorders>
              <w:right w:val="single" w:sz="8" w:space="0" w:color="000000"/>
            </w:tcBorders>
            <w:tcMar>
              <w:right w:w="28" w:type="dxa"/>
            </w:tcMar>
            <w:vAlign w:val="center"/>
          </w:tcPr>
          <w:p>
            <w:pPr>
              <w:pStyle w:val="TableContents"/>
              <w:bidi w:val="0"/>
              <w:spacing w:before="0" w:after="283"/>
              <w:jc w:val="center"/>
              <w:rPr>
                <w:sz w:val="16"/>
              </w:rPr>
            </w:pPr>
            <w:r>
              <w:rPr>
                <w:sz w:val="16"/>
              </w:rPr>
              <w:t>37.1%</w:t>
            </w:r>
          </w:p>
        </w:tc>
      </w:tr>
      <w:tr>
        <w:trPr/>
        <w:tc>
          <w:tcPr>
            <w:tcW w:w="4055" w:type="dxa"/>
            <w:tcBorders>
              <w:left w:val="single" w:sz="8" w:space="0" w:color="000000"/>
              <w:bottom w:val="single" w:sz="8" w:space="0" w:color="000000"/>
              <w:right w:val="single" w:sz="8" w:space="0" w:color="000000"/>
            </w:tcBorders>
            <w:shd w:fill="FFFFFF" w:val="clear"/>
            <w:tcMar>
              <w:left w:w="28" w:type="dxa"/>
              <w:bottom w:w="28" w:type="dxa"/>
              <w:right w:w="28" w:type="dxa"/>
            </w:tcMar>
            <w:vAlign w:val="center"/>
          </w:tcPr>
          <w:p>
            <w:pPr>
              <w:pStyle w:val="TableContents"/>
              <w:bidi w:val="0"/>
              <w:spacing w:lineRule="auto" w:line="240" w:before="0" w:after="283"/>
              <w:jc w:val="left"/>
              <w:rPr>
                <w:sz w:val="16"/>
              </w:rPr>
            </w:pPr>
            <w:r>
              <w:rPr>
                <w:sz w:val="16"/>
              </w:rPr>
              <w:t xml:space="preserve">Oper. expenses as a percent. of av. tot. assets </w:t>
            </w:r>
            <w:r>
              <w:rPr>
                <w:rFonts w:ascii="Arial;Helvetica;Sans-Serif" w:hAnsi="Arial;Helvetica;Sans-Serif"/>
                <w:b w:val="false"/>
                <w:i w:val="false"/>
                <w:caps w:val="false"/>
                <w:smallCaps w:val="false"/>
                <w:sz w:val="16"/>
              </w:rPr>
              <w:t>(1)(2)(5)</w:t>
            </w:r>
          </w:p>
        </w:tc>
        <w:tc>
          <w:tcPr>
            <w:tcW w:w="56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2.6%</w:t>
            </w:r>
          </w:p>
        </w:tc>
        <w:tc>
          <w:tcPr>
            <w:tcW w:w="56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2.7%</w:t>
            </w:r>
          </w:p>
        </w:tc>
        <w:tc>
          <w:tcPr>
            <w:tcW w:w="5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16"/>
              </w:rPr>
            </w:pPr>
            <w:r>
              <w:rPr>
                <w:sz w:val="16"/>
              </w:rPr>
              <w:t>2.8%</w:t>
            </w:r>
          </w:p>
        </w:tc>
        <w:tc>
          <w:tcPr>
            <w:tcW w:w="560" w:type="dxa"/>
            <w:tcBorders>
              <w:bottom w:val="single" w:sz="8" w:space="0" w:color="000000"/>
            </w:tcBorders>
            <w:tcMar>
              <w:bottom w:w="28" w:type="dxa"/>
            </w:tcMar>
            <w:vAlign w:val="center"/>
          </w:tcPr>
          <w:p>
            <w:pPr>
              <w:pStyle w:val="TableContents"/>
              <w:bidi w:val="0"/>
              <w:spacing w:before="0" w:after="283"/>
              <w:jc w:val="center"/>
              <w:rPr>
                <w:sz w:val="16"/>
              </w:rPr>
            </w:pPr>
            <w:r>
              <w:rPr>
                <w:sz w:val="16"/>
              </w:rPr>
              <w:t>2.47%</w:t>
            </w:r>
          </w:p>
        </w:tc>
        <w:tc>
          <w:tcPr>
            <w:tcW w:w="5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16"/>
              </w:rPr>
            </w:pPr>
            <w:r>
              <w:rPr>
                <w:sz w:val="16"/>
              </w:rPr>
              <w:t>2.80%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68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Shares outstanding of 12,973 million is used for all periods since shares have been issued only for capitalization of profits.</w:t>
      </w:r>
    </w:p>
    <w:p>
      <w:pPr>
        <w:pStyle w:val="TextBody"/>
        <w:bidi w:val="0"/>
        <w:spacing w:before="0" w:after="0"/>
        <w:ind w:left="68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Ratios are annualized. </w:t>
      </w:r>
    </w:p>
    <w:p>
      <w:pPr>
        <w:pStyle w:val="TextBody"/>
        <w:bidi w:val="0"/>
        <w:spacing w:before="0" w:after="0"/>
        <w:ind w:left="68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Averages are determined as the average of period-beginning and period-ending balances. </w:t>
      </w:r>
    </w:p>
    <w:p>
      <w:pPr>
        <w:pStyle w:val="TextBody"/>
        <w:bidi w:val="0"/>
        <w:spacing w:before="0" w:after="0"/>
        <w:ind w:left="68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 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 </w:t>
      </w:r>
    </w:p>
    <w:p>
      <w:pPr>
        <w:pStyle w:val="TextBody"/>
        <w:bidi w:val="0"/>
        <w:spacing w:before="0" w:after="0"/>
        <w:ind w:left="680" w:right="0" w:hanging="0"/>
        <w:jc w:val="both"/>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 Cost of risk: Annualized provision for loan losses / Total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69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9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6" descr=""/>
                          <pic:cNvPicPr>
                            <a:picLocks noChangeAspect="1" noChangeArrowheads="1"/>
                          </pic:cNvPicPr>
                        </pic:nvPicPr>
                        <pic:blipFill>
                          <a:blip r:embed="rId155"/>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12.6.5. BCP Bolivia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BCP BOLIVIA</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 thousands, IFRS)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3"/>
        <w:gridCol w:w="1173"/>
        <w:gridCol w:w="1173"/>
        <w:gridCol w:w="1173"/>
        <w:gridCol w:w="537"/>
        <w:gridCol w:w="537"/>
        <w:gridCol w:w="1173"/>
        <w:gridCol w:w="1190"/>
        <w:gridCol w:w="1116"/>
      </w:tblGrid>
      <w:tr>
        <w:trPr/>
        <w:tc>
          <w:tcPr>
            <w:tcW w:w="2133" w:type="dxa"/>
            <w:tcBorders/>
            <w:shd w:fill="FFFFFF" w:val="clear"/>
            <w:vAlign w:val="center"/>
          </w:tcPr>
          <w:p>
            <w:pPr>
              <w:pStyle w:val="TableContents"/>
              <w:bidi w:val="0"/>
              <w:spacing w:before="0" w:after="283"/>
              <w:jc w:val="left"/>
              <w:rPr/>
            </w:pPr>
            <w:r>
              <w:rPr/>
              <w:t> </w:t>
            </w:r>
          </w:p>
        </w:tc>
        <w:tc>
          <w:tcPr>
            <w:tcW w:w="3519" w:type="dxa"/>
            <w:gridSpan w:val="3"/>
            <w:tcBorders>
              <w:top w:val="single" w:sz="8" w:space="0" w:color="000000"/>
              <w:left w:val="single" w:sz="8" w:space="0" w:color="000000"/>
            </w:tcBorders>
            <w:shd w:fill="2AD2C9" w:val="clear"/>
            <w:tcMar>
              <w:top w:w="28" w:type="dxa"/>
              <w:left w:w="28" w:type="dxa"/>
            </w:tcMar>
            <w:vAlign w:val="center"/>
          </w:tcPr>
          <w:p>
            <w:pPr>
              <w:pStyle w:val="TableContents"/>
              <w:bidi w:val="0"/>
              <w:spacing w:before="0" w:after="283"/>
              <w:jc w:val="center"/>
              <w:rPr>
                <w:b/>
                <w:color w:val="FFFFFF"/>
                <w:sz w:val="16"/>
              </w:rPr>
            </w:pPr>
            <w:r>
              <w:rPr>
                <w:b/>
                <w:color w:val="FFFFFF"/>
                <w:sz w:val="16"/>
              </w:rPr>
              <w:t>As of</w:t>
            </w:r>
          </w:p>
        </w:tc>
        <w:tc>
          <w:tcPr>
            <w:tcW w:w="1074" w:type="dxa"/>
            <w:gridSpan w:val="2"/>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pPr>
            <w:r>
              <w:rPr/>
              <w:t> </w:t>
            </w:r>
          </w:p>
        </w:tc>
        <w:tc>
          <w:tcPr>
            <w:tcW w:w="1173"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Jun 22</w:t>
            </w:r>
          </w:p>
        </w:tc>
        <w:tc>
          <w:tcPr>
            <w:tcW w:w="1173" w:type="dxa"/>
            <w:tcBorders/>
            <w:shd w:fill="2AD2C9" w:val="clear"/>
            <w:vAlign w:val="center"/>
          </w:tcPr>
          <w:p>
            <w:pPr>
              <w:pStyle w:val="TableContents"/>
              <w:bidi w:val="0"/>
              <w:spacing w:before="0" w:after="283"/>
              <w:jc w:val="center"/>
              <w:rPr>
                <w:b/>
                <w:color w:val="FFFFFF"/>
                <w:sz w:val="16"/>
              </w:rPr>
            </w:pPr>
            <w:r>
              <w:rPr>
                <w:b/>
                <w:color w:val="FFFFFF"/>
                <w:sz w:val="16"/>
              </w:rPr>
              <w:t>Mar 22</w:t>
            </w:r>
          </w:p>
        </w:tc>
        <w:tc>
          <w:tcPr>
            <w:tcW w:w="1173" w:type="dxa"/>
            <w:tcBorders/>
            <w:shd w:fill="2AD2C9" w:val="clear"/>
            <w:vAlign w:val="center"/>
          </w:tcPr>
          <w:p>
            <w:pPr>
              <w:pStyle w:val="TableContents"/>
              <w:bidi w:val="0"/>
              <w:spacing w:before="0" w:after="283"/>
              <w:jc w:val="center"/>
              <w:rPr>
                <w:b/>
                <w:color w:val="FFFFFF"/>
                <w:sz w:val="16"/>
              </w:rPr>
            </w:pPr>
            <w:r>
              <w:rPr>
                <w:b/>
                <w:color w:val="FFFFFF"/>
                <w:sz w:val="16"/>
              </w:rPr>
              <w:t>Jun 23</w:t>
            </w:r>
          </w:p>
        </w:tc>
        <w:tc>
          <w:tcPr>
            <w:tcW w:w="537"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QoQ</w:t>
            </w:r>
          </w:p>
        </w:tc>
        <w:tc>
          <w:tcPr>
            <w:tcW w:w="537" w:type="dxa"/>
            <w:tcBorders>
              <w:right w:val="single" w:sz="8" w:space="0" w:color="000000"/>
            </w:tcBorders>
            <w:shd w:fill="2AD2C9" w:val="clear"/>
            <w:tcMar>
              <w:right w:w="28" w:type="dxa"/>
            </w:tcMar>
            <w:vAlign w:val="center"/>
          </w:tcPr>
          <w:p>
            <w:pPr>
              <w:pStyle w:val="TableContents"/>
              <w:bidi w:val="0"/>
              <w:spacing w:before="0" w:after="283"/>
              <w:jc w:val="center"/>
              <w:rPr>
                <w:b/>
                <w:color w:val="FFFFFF"/>
                <w:sz w:val="16"/>
              </w:rPr>
            </w:pPr>
            <w:r>
              <w:rPr>
                <w:b/>
                <w:color w:val="FFFFFF"/>
                <w:sz w:val="16"/>
              </w:rPr>
              <w:t>YoY</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left"/>
              <w:rPr>
                <w:b/>
                <w:sz w:val="16"/>
              </w:rPr>
            </w:pPr>
            <w:r>
              <w:rPr>
                <w:b/>
                <w:sz w:val="16"/>
              </w:rPr>
              <w:t>ASSETS</w:t>
            </w:r>
          </w:p>
        </w:tc>
        <w:tc>
          <w:tcPr>
            <w:tcW w:w="1173" w:type="dxa"/>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left"/>
              <w:rPr/>
            </w:pPr>
            <w:r>
              <w:rPr/>
              <w:t> </w:t>
            </w:r>
          </w:p>
        </w:tc>
        <w:tc>
          <w:tcPr>
            <w:tcW w:w="1173" w:type="dxa"/>
            <w:tcBorders>
              <w:top w:val="single" w:sz="8" w:space="0" w:color="000000"/>
            </w:tcBorders>
            <w:shd w:fill="FFFFFF" w:val="clear"/>
            <w:tcMar>
              <w:top w:w="28" w:type="dxa"/>
            </w:tcMar>
            <w:vAlign w:val="center"/>
          </w:tcPr>
          <w:p>
            <w:pPr>
              <w:pStyle w:val="TableContents"/>
              <w:bidi w:val="0"/>
              <w:spacing w:before="0" w:after="283"/>
              <w:jc w:val="center"/>
              <w:rPr/>
            </w:pPr>
            <w:r>
              <w:rPr/>
              <w:t> </w:t>
            </w:r>
          </w:p>
        </w:tc>
        <w:tc>
          <w:tcPr>
            <w:tcW w:w="1173" w:type="dxa"/>
            <w:tcBorders>
              <w:top w:val="single" w:sz="8" w:space="0" w:color="000000"/>
              <w:right w:val="single" w:sz="8" w:space="0" w:color="000000"/>
            </w:tcBorders>
            <w:shd w:fill="FFFFFF" w:val="clear"/>
            <w:tcMar>
              <w:top w:w="28" w:type="dxa"/>
              <w:right w:w="60" w:type="dxa"/>
            </w:tcMar>
            <w:vAlign w:val="center"/>
          </w:tcPr>
          <w:p>
            <w:pPr>
              <w:pStyle w:val="TableContents"/>
              <w:bidi w:val="0"/>
              <w:spacing w:before="0" w:after="283"/>
              <w:jc w:val="center"/>
              <w:rPr/>
            </w:pPr>
            <w:r>
              <w:rPr/>
              <w:t> </w:t>
            </w:r>
          </w:p>
        </w:tc>
        <w:tc>
          <w:tcPr>
            <w:tcW w:w="537" w:type="dxa"/>
            <w:tcBorders>
              <w:top w:val="single" w:sz="8" w:space="0" w:color="000000"/>
            </w:tcBorders>
            <w:shd w:fill="FFFFFF" w:val="clear"/>
            <w:tcMar>
              <w:top w:w="28" w:type="dxa"/>
            </w:tcMar>
            <w:vAlign w:val="center"/>
          </w:tcPr>
          <w:p>
            <w:pPr>
              <w:pStyle w:val="TableContents"/>
              <w:bidi w:val="0"/>
              <w:spacing w:before="0" w:after="283"/>
              <w:jc w:val="center"/>
              <w:rPr/>
            </w:pPr>
            <w:r>
              <w:rPr/>
              <w:t> </w:t>
            </w:r>
          </w:p>
        </w:tc>
        <w:tc>
          <w:tcPr>
            <w:tcW w:w="537"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center"/>
              <w:rPr/>
            </w:pPr>
            <w:r>
              <w:rPr/>
              <w:t> </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Cash and due from banks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2,308,217</w:t>
            </w:r>
          </w:p>
        </w:tc>
        <w:tc>
          <w:tcPr>
            <w:tcW w:w="1173" w:type="dxa"/>
            <w:tcBorders/>
            <w:shd w:fill="FFFFFF" w:val="clear"/>
            <w:vAlign w:val="center"/>
          </w:tcPr>
          <w:p>
            <w:pPr>
              <w:pStyle w:val="TableContents"/>
              <w:bidi w:val="0"/>
              <w:spacing w:before="0" w:after="283"/>
              <w:jc w:val="right"/>
              <w:rPr/>
            </w:pPr>
            <w:r>
              <w:rPr/>
              <w:t>    </w:t>
            </w:r>
            <w:r>
              <w:rPr>
                <w:sz w:val="16"/>
              </w:rPr>
              <w:t>1,979,856</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2,220,058</w:t>
            </w:r>
          </w:p>
        </w:tc>
        <w:tc>
          <w:tcPr>
            <w:tcW w:w="537" w:type="dxa"/>
            <w:tcBorders/>
            <w:shd w:fill="FFFFFF" w:val="clear"/>
            <w:vAlign w:val="center"/>
          </w:tcPr>
          <w:p>
            <w:pPr>
              <w:pStyle w:val="TableContents"/>
              <w:bidi w:val="0"/>
              <w:spacing w:before="0" w:after="283"/>
              <w:jc w:val="center"/>
              <w:rPr>
                <w:sz w:val="16"/>
              </w:rPr>
            </w:pPr>
            <w:r>
              <w:rPr>
                <w:sz w:val="16"/>
              </w:rPr>
              <w:t>12.1%</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-3.8%</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Investments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1,562,065</w:t>
            </w:r>
          </w:p>
        </w:tc>
        <w:tc>
          <w:tcPr>
            <w:tcW w:w="1173" w:type="dxa"/>
            <w:tcBorders/>
            <w:shd w:fill="FFFFFF" w:val="clear"/>
            <w:vAlign w:val="center"/>
          </w:tcPr>
          <w:p>
            <w:pPr>
              <w:pStyle w:val="TableContents"/>
              <w:bidi w:val="0"/>
              <w:spacing w:before="0" w:after="283"/>
              <w:jc w:val="right"/>
              <w:rPr/>
            </w:pPr>
            <w:r>
              <w:rPr/>
              <w:t>    </w:t>
            </w:r>
            <w:r>
              <w:rPr>
                <w:sz w:val="16"/>
              </w:rPr>
              <w:t>1,668,326</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1,459,846</w:t>
            </w:r>
          </w:p>
        </w:tc>
        <w:tc>
          <w:tcPr>
            <w:tcW w:w="537" w:type="dxa"/>
            <w:tcBorders/>
            <w:shd w:fill="FFFFFF" w:val="clear"/>
            <w:vAlign w:val="center"/>
          </w:tcPr>
          <w:p>
            <w:pPr>
              <w:pStyle w:val="TableContents"/>
              <w:bidi w:val="0"/>
              <w:spacing w:before="0" w:after="283"/>
              <w:jc w:val="center"/>
              <w:rPr>
                <w:sz w:val="16"/>
              </w:rPr>
            </w:pPr>
            <w:r>
              <w:rPr>
                <w:sz w:val="16"/>
              </w:rPr>
              <w:t>-12.5%</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-6.5%</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Total loans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b/>
                <w:sz w:val="16"/>
              </w:rPr>
            </w:pPr>
            <w:r>
              <w:rPr>
                <w:b/>
                <w:sz w:val="16"/>
              </w:rPr>
              <w:t>9,208,057</w:t>
            </w:r>
          </w:p>
        </w:tc>
        <w:tc>
          <w:tcPr>
            <w:tcW w:w="1173" w:type="dxa"/>
            <w:tcBorders/>
            <w:shd w:fill="FFFFFF" w:val="clear"/>
            <w:vAlign w:val="center"/>
          </w:tcPr>
          <w:p>
            <w:pPr>
              <w:pStyle w:val="TableContents"/>
              <w:bidi w:val="0"/>
              <w:spacing w:before="0" w:after="283"/>
              <w:jc w:val="right"/>
              <w:rPr/>
            </w:pPr>
            <w:r>
              <w:rPr/>
              <w:t>    </w:t>
            </w:r>
            <w:r>
              <w:rPr>
                <w:b/>
                <w:sz w:val="16"/>
              </w:rPr>
              <w:t>9,362,120</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b/>
                <w:sz w:val="16"/>
              </w:rPr>
            </w:pPr>
            <w:r>
              <w:rPr>
                <w:b/>
                <w:sz w:val="16"/>
              </w:rPr>
              <w:t>9,087,400</w:t>
            </w:r>
          </w:p>
        </w:tc>
        <w:tc>
          <w:tcPr>
            <w:tcW w:w="537" w:type="dxa"/>
            <w:tcBorders/>
            <w:shd w:fill="FFFFFF" w:val="clear"/>
            <w:vAlign w:val="center"/>
          </w:tcPr>
          <w:p>
            <w:pPr>
              <w:pStyle w:val="TableContents"/>
              <w:bidi w:val="0"/>
              <w:spacing w:before="0" w:after="283"/>
              <w:jc w:val="center"/>
              <w:rPr>
                <w:b/>
                <w:sz w:val="16"/>
              </w:rPr>
            </w:pPr>
            <w:r>
              <w:rPr>
                <w:b/>
                <w:sz w:val="16"/>
              </w:rPr>
              <w:t>-2.9%</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-1.3%</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00" w:type="dxa"/>
            </w:tcMar>
            <w:vAlign w:val="center"/>
          </w:tcPr>
          <w:p>
            <w:pPr>
              <w:pStyle w:val="TableContents"/>
              <w:bidi w:val="0"/>
              <w:spacing w:before="0" w:after="283"/>
              <w:jc w:val="left"/>
              <w:rPr>
                <w:sz w:val="16"/>
              </w:rPr>
            </w:pPr>
            <w:r>
              <w:rPr>
                <w:sz w:val="16"/>
              </w:rPr>
              <w:t>Current</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8,987,381</w:t>
            </w:r>
          </w:p>
        </w:tc>
        <w:tc>
          <w:tcPr>
            <w:tcW w:w="1173" w:type="dxa"/>
            <w:tcBorders/>
            <w:shd w:fill="FFFFFF" w:val="clear"/>
            <w:vAlign w:val="center"/>
          </w:tcPr>
          <w:p>
            <w:pPr>
              <w:pStyle w:val="TableContents"/>
              <w:bidi w:val="0"/>
              <w:spacing w:before="0" w:after="283"/>
              <w:jc w:val="right"/>
              <w:rPr/>
            </w:pPr>
            <w:r>
              <w:rPr/>
              <w:t>    </w:t>
            </w:r>
            <w:r>
              <w:rPr>
                <w:sz w:val="16"/>
              </w:rPr>
              <w:t>9,108,055</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8,815,936</w:t>
            </w:r>
          </w:p>
        </w:tc>
        <w:tc>
          <w:tcPr>
            <w:tcW w:w="537" w:type="dxa"/>
            <w:tcBorders/>
            <w:shd w:fill="FFFFFF" w:val="clear"/>
            <w:vAlign w:val="center"/>
          </w:tcPr>
          <w:p>
            <w:pPr>
              <w:pStyle w:val="TableContents"/>
              <w:bidi w:val="0"/>
              <w:spacing w:before="0" w:after="283"/>
              <w:jc w:val="center"/>
              <w:rPr>
                <w:sz w:val="16"/>
              </w:rPr>
            </w:pPr>
            <w:r>
              <w:rPr>
                <w:sz w:val="16"/>
              </w:rPr>
              <w:t>-3.2%</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-1.9%</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00" w:type="dxa"/>
            </w:tcMar>
            <w:vAlign w:val="center"/>
          </w:tcPr>
          <w:p>
            <w:pPr>
              <w:pStyle w:val="TableContents"/>
              <w:bidi w:val="0"/>
              <w:spacing w:before="0" w:after="283"/>
              <w:jc w:val="left"/>
              <w:rPr>
                <w:sz w:val="16"/>
              </w:rPr>
            </w:pPr>
            <w:r>
              <w:rPr>
                <w:sz w:val="16"/>
              </w:rPr>
              <w:t>Internal overdue loans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191,007</w:t>
            </w:r>
          </w:p>
        </w:tc>
        <w:tc>
          <w:tcPr>
            <w:tcW w:w="1173" w:type="dxa"/>
            <w:tcBorders/>
            <w:shd w:fill="FFFFFF" w:val="clear"/>
            <w:vAlign w:val="center"/>
          </w:tcPr>
          <w:p>
            <w:pPr>
              <w:pStyle w:val="TableContents"/>
              <w:bidi w:val="0"/>
              <w:spacing w:before="0" w:after="283"/>
              <w:jc w:val="right"/>
              <w:rPr/>
            </w:pPr>
            <w:r>
              <w:rPr/>
              <w:t>       </w:t>
            </w:r>
            <w:r>
              <w:rPr>
                <w:sz w:val="16"/>
              </w:rPr>
              <w:t>228,195</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242,399</w:t>
            </w:r>
          </w:p>
        </w:tc>
        <w:tc>
          <w:tcPr>
            <w:tcW w:w="537" w:type="dxa"/>
            <w:tcBorders/>
            <w:shd w:fill="FFFFFF" w:val="clear"/>
            <w:vAlign w:val="center"/>
          </w:tcPr>
          <w:p>
            <w:pPr>
              <w:pStyle w:val="TableContents"/>
              <w:bidi w:val="0"/>
              <w:spacing w:before="0" w:after="283"/>
              <w:jc w:val="center"/>
              <w:rPr>
                <w:sz w:val="16"/>
              </w:rPr>
            </w:pPr>
            <w:r>
              <w:rPr>
                <w:sz w:val="16"/>
              </w:rPr>
              <w:t>6.2%</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26.9%</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00" w:type="dxa"/>
            </w:tcMar>
            <w:vAlign w:val="center"/>
          </w:tcPr>
          <w:p>
            <w:pPr>
              <w:pStyle w:val="TableContents"/>
              <w:bidi w:val="0"/>
              <w:spacing w:before="0" w:after="283"/>
              <w:jc w:val="left"/>
              <w:rPr>
                <w:sz w:val="16"/>
              </w:rPr>
            </w:pPr>
            <w:r>
              <w:rPr>
                <w:sz w:val="16"/>
              </w:rPr>
              <w:t>Refinanced</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29,669</w:t>
            </w:r>
          </w:p>
        </w:tc>
        <w:tc>
          <w:tcPr>
            <w:tcW w:w="1173" w:type="dxa"/>
            <w:tcBorders/>
            <w:shd w:fill="FFFFFF" w:val="clear"/>
            <w:vAlign w:val="center"/>
          </w:tcPr>
          <w:p>
            <w:pPr>
              <w:pStyle w:val="TableContents"/>
              <w:bidi w:val="0"/>
              <w:spacing w:before="0" w:after="283"/>
              <w:jc w:val="right"/>
              <w:rPr/>
            </w:pPr>
            <w:r>
              <w:rPr/>
              <w:t>         </w:t>
            </w:r>
            <w:r>
              <w:rPr>
                <w:sz w:val="16"/>
              </w:rPr>
              <w:t>25,869</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29,064</w:t>
            </w:r>
          </w:p>
        </w:tc>
        <w:tc>
          <w:tcPr>
            <w:tcW w:w="537" w:type="dxa"/>
            <w:tcBorders/>
            <w:shd w:fill="FFFFFF" w:val="clear"/>
            <w:vAlign w:val="center"/>
          </w:tcPr>
          <w:p>
            <w:pPr>
              <w:pStyle w:val="TableContents"/>
              <w:bidi w:val="0"/>
              <w:spacing w:before="0" w:after="283"/>
              <w:jc w:val="center"/>
              <w:rPr>
                <w:sz w:val="16"/>
              </w:rPr>
            </w:pPr>
            <w:r>
              <w:rPr>
                <w:sz w:val="16"/>
              </w:rPr>
              <w:t>12.4%</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-2.0%</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00" w:type="dxa"/>
            </w:tcMar>
            <w:vAlign w:val="center"/>
          </w:tcPr>
          <w:p>
            <w:pPr>
              <w:pStyle w:val="TableContents"/>
              <w:bidi w:val="0"/>
              <w:spacing w:before="0" w:after="283"/>
              <w:jc w:val="left"/>
              <w:rPr>
                <w:sz w:val="16"/>
              </w:rPr>
            </w:pPr>
            <w:r>
              <w:rPr>
                <w:sz w:val="16"/>
              </w:rPr>
              <w:t>Allowance for loan losses </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(413,446)</w:t>
            </w:r>
          </w:p>
        </w:tc>
        <w:tc>
          <w:tcPr>
            <w:tcW w:w="1173" w:type="dxa"/>
            <w:tcBorders/>
            <w:shd w:fill="FFFFFF" w:val="clear"/>
            <w:vAlign w:val="center"/>
          </w:tcPr>
          <w:p>
            <w:pPr>
              <w:pStyle w:val="TableContents"/>
              <w:bidi w:val="0"/>
              <w:spacing w:before="0" w:after="283"/>
              <w:jc w:val="right"/>
              <w:rPr/>
            </w:pPr>
            <w:r>
              <w:rPr/>
              <w:t>     </w:t>
            </w:r>
            <w:r>
              <w:rPr>
                <w:sz w:val="16"/>
              </w:rPr>
              <w:t>(392,762)</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(362,495)</w:t>
            </w:r>
          </w:p>
        </w:tc>
        <w:tc>
          <w:tcPr>
            <w:tcW w:w="537" w:type="dxa"/>
            <w:tcBorders/>
            <w:shd w:fill="FFFFFF" w:val="clear"/>
            <w:vAlign w:val="center"/>
          </w:tcPr>
          <w:p>
            <w:pPr>
              <w:pStyle w:val="TableContents"/>
              <w:bidi w:val="0"/>
              <w:spacing w:before="0" w:after="283"/>
              <w:jc w:val="center"/>
              <w:rPr>
                <w:sz w:val="16"/>
              </w:rPr>
            </w:pPr>
            <w:r>
              <w:rPr>
                <w:sz w:val="16"/>
              </w:rPr>
              <w:t>-7.7%</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-12.3%</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Net loans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b/>
                <w:sz w:val="16"/>
              </w:rPr>
            </w:pPr>
            <w:r>
              <w:rPr>
                <w:b/>
                <w:sz w:val="16"/>
              </w:rPr>
              <w:t>8,794,611</w:t>
            </w:r>
          </w:p>
        </w:tc>
        <w:tc>
          <w:tcPr>
            <w:tcW w:w="1173" w:type="dxa"/>
            <w:tcBorders/>
            <w:shd w:fill="FFFFFF" w:val="clear"/>
            <w:vAlign w:val="center"/>
          </w:tcPr>
          <w:p>
            <w:pPr>
              <w:pStyle w:val="TableContents"/>
              <w:bidi w:val="0"/>
              <w:spacing w:before="0" w:after="283"/>
              <w:jc w:val="right"/>
              <w:rPr/>
            </w:pPr>
            <w:r>
              <w:rPr/>
              <w:t>    </w:t>
            </w:r>
            <w:r>
              <w:rPr>
                <w:b/>
                <w:sz w:val="16"/>
              </w:rPr>
              <w:t>8,969,357</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b/>
                <w:sz w:val="16"/>
              </w:rPr>
            </w:pPr>
            <w:r>
              <w:rPr>
                <w:b/>
                <w:sz w:val="16"/>
              </w:rPr>
              <w:t>8,724,904</w:t>
            </w:r>
          </w:p>
        </w:tc>
        <w:tc>
          <w:tcPr>
            <w:tcW w:w="537" w:type="dxa"/>
            <w:tcBorders/>
            <w:shd w:fill="FFFFFF" w:val="clear"/>
            <w:vAlign w:val="center"/>
          </w:tcPr>
          <w:p>
            <w:pPr>
              <w:pStyle w:val="TableContents"/>
              <w:bidi w:val="0"/>
              <w:spacing w:before="0" w:after="283"/>
              <w:jc w:val="center"/>
              <w:rPr>
                <w:b/>
                <w:sz w:val="16"/>
              </w:rPr>
            </w:pPr>
            <w:r>
              <w:rPr>
                <w:b/>
                <w:sz w:val="16"/>
              </w:rPr>
              <w:t>-2.7%</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-0.8%</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Property, plant and equipment, net</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64,017</w:t>
            </w:r>
          </w:p>
        </w:tc>
        <w:tc>
          <w:tcPr>
            <w:tcW w:w="1173" w:type="dxa"/>
            <w:tcBorders/>
            <w:shd w:fill="FFFFFF" w:val="clear"/>
            <w:vAlign w:val="center"/>
          </w:tcPr>
          <w:p>
            <w:pPr>
              <w:pStyle w:val="TableContents"/>
              <w:bidi w:val="0"/>
              <w:spacing w:before="0" w:after="283"/>
              <w:jc w:val="right"/>
              <w:rPr/>
            </w:pPr>
            <w:r>
              <w:rPr/>
              <w:t>         </w:t>
            </w:r>
            <w:r>
              <w:rPr>
                <w:sz w:val="16"/>
              </w:rPr>
              <w:t>63,692</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60,510</w:t>
            </w:r>
          </w:p>
        </w:tc>
        <w:tc>
          <w:tcPr>
            <w:tcW w:w="537" w:type="dxa"/>
            <w:tcBorders/>
            <w:shd w:fill="FFFFFF" w:val="clear"/>
            <w:vAlign w:val="center"/>
          </w:tcPr>
          <w:p>
            <w:pPr>
              <w:pStyle w:val="TableContents"/>
              <w:bidi w:val="0"/>
              <w:spacing w:before="0" w:after="283"/>
              <w:jc w:val="center"/>
              <w:rPr>
                <w:sz w:val="16"/>
              </w:rPr>
            </w:pPr>
            <w:r>
              <w:rPr>
                <w:sz w:val="16"/>
              </w:rPr>
              <w:t>-5.0%</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-5.5%</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Other assets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350,795</w:t>
            </w:r>
          </w:p>
        </w:tc>
        <w:tc>
          <w:tcPr>
            <w:tcW w:w="1173" w:type="dxa"/>
            <w:tcBorders/>
            <w:shd w:fill="FFFFFF" w:val="clear"/>
            <w:vAlign w:val="center"/>
          </w:tcPr>
          <w:p>
            <w:pPr>
              <w:pStyle w:val="TableContents"/>
              <w:bidi w:val="0"/>
              <w:spacing w:before="0" w:after="283"/>
              <w:jc w:val="right"/>
              <w:rPr/>
            </w:pPr>
            <w:r>
              <w:rPr/>
              <w:t>       </w:t>
            </w:r>
            <w:r>
              <w:rPr>
                <w:sz w:val="16"/>
              </w:rPr>
              <w:t>290,842</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262,197</w:t>
            </w:r>
          </w:p>
        </w:tc>
        <w:tc>
          <w:tcPr>
            <w:tcW w:w="537" w:type="dxa"/>
            <w:tcBorders/>
            <w:shd w:fill="FFFFFF" w:val="clear"/>
            <w:vAlign w:val="center"/>
          </w:tcPr>
          <w:p>
            <w:pPr>
              <w:pStyle w:val="TableContents"/>
              <w:bidi w:val="0"/>
              <w:spacing w:before="0" w:after="283"/>
              <w:jc w:val="center"/>
              <w:rPr>
                <w:sz w:val="16"/>
              </w:rPr>
            </w:pPr>
            <w:r>
              <w:rPr>
                <w:sz w:val="16"/>
              </w:rPr>
              <w:t>-9.8%</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-25.3%</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assets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b/>
                <w:sz w:val="16"/>
              </w:rPr>
            </w:pPr>
            <w:r>
              <w:rPr>
                <w:b/>
                <w:sz w:val="16"/>
              </w:rPr>
              <w:t>13,079,705</w:t>
            </w:r>
          </w:p>
        </w:tc>
        <w:tc>
          <w:tcPr>
            <w:tcW w:w="1173" w:type="dxa"/>
            <w:tcBorders/>
            <w:shd w:fill="FFFFFF" w:val="clear"/>
            <w:vAlign w:val="center"/>
          </w:tcPr>
          <w:p>
            <w:pPr>
              <w:pStyle w:val="TableContents"/>
              <w:bidi w:val="0"/>
              <w:spacing w:before="0" w:after="283"/>
              <w:jc w:val="right"/>
              <w:rPr/>
            </w:pPr>
            <w:r>
              <w:rPr/>
              <w:t> </w:t>
            </w:r>
            <w:r>
              <w:rPr>
                <w:b/>
                <w:sz w:val="16"/>
              </w:rPr>
              <w:t>12,972,073</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b/>
                <w:sz w:val="16"/>
              </w:rPr>
            </w:pPr>
            <w:r>
              <w:rPr>
                <w:b/>
                <w:sz w:val="16"/>
              </w:rPr>
              <w:t>12,727,516</w:t>
            </w:r>
          </w:p>
        </w:tc>
        <w:tc>
          <w:tcPr>
            <w:tcW w:w="537" w:type="dxa"/>
            <w:tcBorders/>
            <w:shd w:fill="FFFFFF" w:val="clear"/>
            <w:vAlign w:val="center"/>
          </w:tcPr>
          <w:p>
            <w:pPr>
              <w:pStyle w:val="TableContents"/>
              <w:bidi w:val="0"/>
              <w:spacing w:before="0" w:after="283"/>
              <w:jc w:val="center"/>
              <w:rPr>
                <w:b/>
                <w:sz w:val="16"/>
              </w:rPr>
            </w:pPr>
            <w:r>
              <w:rPr>
                <w:b/>
                <w:sz w:val="16"/>
              </w:rPr>
              <w:t>-1.9%</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-2.7%</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center"/>
              <w:rPr/>
            </w:pPr>
            <w:r>
              <w:rPr/>
              <w:t> </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173" w:type="dxa"/>
            <w:tcBorders/>
            <w:shd w:fill="FFFFFF" w:val="clear"/>
            <w:vAlign w:val="center"/>
          </w:tcPr>
          <w:p>
            <w:pPr>
              <w:pStyle w:val="TableContents"/>
              <w:bidi w:val="0"/>
              <w:spacing w:before="0" w:after="283"/>
              <w:jc w:val="right"/>
              <w:rPr/>
            </w:pPr>
            <w:r>
              <w:rPr/>
              <w:t> </w:t>
            </w:r>
          </w:p>
        </w:tc>
        <w:tc>
          <w:tcPr>
            <w:tcW w:w="1173" w:type="dxa"/>
            <w:tcBorders>
              <w:right w:val="single" w:sz="8" w:space="0" w:color="000000"/>
            </w:tcBorders>
            <w:shd w:fill="FFFFFF" w:val="clear"/>
            <w:tcMar>
              <w:right w:w="60" w:type="dxa"/>
            </w:tcM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center"/>
              <w:rPr/>
            </w:pPr>
            <w:r>
              <w:rPr/>
              <w:t> </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LIABILITIES AND NET SHAREHOLDERS’ EQUITY</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173" w:type="dxa"/>
            <w:tcBorders/>
            <w:shd w:fill="FFFFFF" w:val="clear"/>
            <w:vAlign w:val="center"/>
          </w:tcPr>
          <w:p>
            <w:pPr>
              <w:pStyle w:val="TableContents"/>
              <w:bidi w:val="0"/>
              <w:spacing w:before="0" w:after="283"/>
              <w:jc w:val="right"/>
              <w:rPr/>
            </w:pPr>
            <w:r>
              <w:rPr/>
              <w:t> </w:t>
            </w:r>
          </w:p>
        </w:tc>
        <w:tc>
          <w:tcPr>
            <w:tcW w:w="1173" w:type="dxa"/>
            <w:tcBorders>
              <w:right w:val="single" w:sz="8" w:space="0" w:color="000000"/>
            </w:tcBorders>
            <w:shd w:fill="FFFFFF" w:val="clear"/>
            <w:tcMar>
              <w:right w:w="60" w:type="dxa"/>
            </w:tcM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center"/>
              <w:rPr/>
            </w:pPr>
            <w:r>
              <w:rPr/>
              <w:t> </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Deposits and obligations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10,955,468</w:t>
            </w:r>
          </w:p>
        </w:tc>
        <w:tc>
          <w:tcPr>
            <w:tcW w:w="1173" w:type="dxa"/>
            <w:tcBorders/>
            <w:shd w:fill="FFFFFF" w:val="clear"/>
            <w:vAlign w:val="center"/>
          </w:tcPr>
          <w:p>
            <w:pPr>
              <w:pStyle w:val="TableContents"/>
              <w:bidi w:val="0"/>
              <w:spacing w:before="0" w:after="283"/>
              <w:jc w:val="right"/>
              <w:rPr/>
            </w:pPr>
            <w:r>
              <w:rPr/>
              <w:t> </w:t>
            </w:r>
            <w:r>
              <w:rPr>
                <w:sz w:val="16"/>
              </w:rPr>
              <w:t>10,836,041</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10,637,386</w:t>
            </w:r>
          </w:p>
        </w:tc>
        <w:tc>
          <w:tcPr>
            <w:tcW w:w="537" w:type="dxa"/>
            <w:tcBorders/>
            <w:shd w:fill="FFFFFF" w:val="clear"/>
            <w:vAlign w:val="center"/>
          </w:tcPr>
          <w:p>
            <w:pPr>
              <w:pStyle w:val="TableContents"/>
              <w:bidi w:val="0"/>
              <w:spacing w:before="0" w:after="283"/>
              <w:jc w:val="center"/>
              <w:rPr>
                <w:sz w:val="16"/>
              </w:rPr>
            </w:pPr>
            <w:r>
              <w:rPr>
                <w:sz w:val="16"/>
              </w:rPr>
              <w:t>-1.8%</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-2.9%</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Due to banks and correspondents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86,639</w:t>
            </w:r>
          </w:p>
        </w:tc>
        <w:tc>
          <w:tcPr>
            <w:tcW w:w="1173" w:type="dxa"/>
            <w:tcBorders/>
            <w:shd w:fill="FFFFFF" w:val="clear"/>
            <w:vAlign w:val="center"/>
          </w:tcPr>
          <w:p>
            <w:pPr>
              <w:pStyle w:val="TableContents"/>
              <w:bidi w:val="0"/>
              <w:spacing w:before="0" w:after="283"/>
              <w:jc w:val="right"/>
              <w:rPr/>
            </w:pPr>
            <w:r>
              <w:rPr/>
              <w:t>         </w:t>
            </w:r>
            <w:r>
              <w:rPr>
                <w:sz w:val="16"/>
              </w:rPr>
              <w:t>81,653</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81,339</w:t>
            </w:r>
          </w:p>
        </w:tc>
        <w:tc>
          <w:tcPr>
            <w:tcW w:w="537" w:type="dxa"/>
            <w:tcBorders/>
            <w:shd w:fill="FFFFFF" w:val="clear"/>
            <w:vAlign w:val="center"/>
          </w:tcPr>
          <w:p>
            <w:pPr>
              <w:pStyle w:val="TableContents"/>
              <w:bidi w:val="0"/>
              <w:spacing w:before="0" w:after="283"/>
              <w:jc w:val="center"/>
              <w:rPr>
                <w:sz w:val="16"/>
              </w:rPr>
            </w:pPr>
            <w:r>
              <w:rPr>
                <w:sz w:val="16"/>
              </w:rPr>
              <w:t>-0.4%</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-6.1%</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Bonds and subordinated debt</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178,395</w:t>
            </w:r>
          </w:p>
        </w:tc>
        <w:tc>
          <w:tcPr>
            <w:tcW w:w="1173" w:type="dxa"/>
            <w:tcBorders/>
            <w:shd w:fill="FFFFFF" w:val="clear"/>
            <w:vAlign w:val="center"/>
          </w:tcPr>
          <w:p>
            <w:pPr>
              <w:pStyle w:val="TableContents"/>
              <w:bidi w:val="0"/>
              <w:spacing w:before="0" w:after="283"/>
              <w:jc w:val="right"/>
              <w:rPr/>
            </w:pPr>
            <w:r>
              <w:rPr/>
              <w:t>         </w:t>
            </w:r>
            <w:r>
              <w:rPr>
                <w:sz w:val="16"/>
              </w:rPr>
              <w:t>94,607</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154,264</w:t>
            </w:r>
          </w:p>
        </w:tc>
        <w:tc>
          <w:tcPr>
            <w:tcW w:w="537" w:type="dxa"/>
            <w:tcBorders/>
            <w:shd w:fill="FFFFFF" w:val="clear"/>
            <w:vAlign w:val="center"/>
          </w:tcPr>
          <w:p>
            <w:pPr>
              <w:pStyle w:val="TableContents"/>
              <w:bidi w:val="0"/>
              <w:spacing w:before="0" w:after="283"/>
              <w:jc w:val="center"/>
              <w:rPr>
                <w:sz w:val="16"/>
              </w:rPr>
            </w:pPr>
            <w:r>
              <w:rPr>
                <w:sz w:val="16"/>
              </w:rPr>
              <w:t>63.1%</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-13.5%</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Other liabilities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1,038,527</w:t>
            </w:r>
          </w:p>
        </w:tc>
        <w:tc>
          <w:tcPr>
            <w:tcW w:w="1173" w:type="dxa"/>
            <w:tcBorders/>
            <w:shd w:fill="FFFFFF" w:val="clear"/>
            <w:vAlign w:val="center"/>
          </w:tcPr>
          <w:p>
            <w:pPr>
              <w:pStyle w:val="TableContents"/>
              <w:bidi w:val="0"/>
              <w:spacing w:before="0" w:after="283"/>
              <w:jc w:val="right"/>
              <w:rPr/>
            </w:pPr>
            <w:r>
              <w:rPr/>
              <w:t>    </w:t>
            </w:r>
            <w:r>
              <w:rPr>
                <w:sz w:val="16"/>
              </w:rPr>
              <w:t>1,109,657</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999,370</w:t>
            </w:r>
          </w:p>
        </w:tc>
        <w:tc>
          <w:tcPr>
            <w:tcW w:w="537" w:type="dxa"/>
            <w:tcBorders/>
            <w:shd w:fill="FFFFFF" w:val="clear"/>
            <w:vAlign w:val="center"/>
          </w:tcPr>
          <w:p>
            <w:pPr>
              <w:pStyle w:val="TableContents"/>
              <w:bidi w:val="0"/>
              <w:spacing w:before="0" w:after="283"/>
              <w:jc w:val="center"/>
              <w:rPr>
                <w:sz w:val="16"/>
              </w:rPr>
            </w:pPr>
            <w:r>
              <w:rPr>
                <w:sz w:val="16"/>
              </w:rPr>
              <w:t>-9.9%</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-3.8%</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center"/>
              <w:rPr>
                <w:b/>
                <w:sz w:val="16"/>
              </w:rPr>
            </w:pPr>
            <w:r>
              <w:rPr>
                <w:b/>
                <w:sz w:val="16"/>
              </w:rPr>
              <w:t>Total liabilities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b/>
                <w:sz w:val="16"/>
              </w:rPr>
            </w:pPr>
            <w:r>
              <w:rPr>
                <w:b/>
                <w:sz w:val="16"/>
              </w:rPr>
              <w:t>12,259,029</w:t>
            </w:r>
          </w:p>
        </w:tc>
        <w:tc>
          <w:tcPr>
            <w:tcW w:w="1173" w:type="dxa"/>
            <w:tcBorders/>
            <w:shd w:fill="FFFFFF" w:val="clear"/>
            <w:vAlign w:val="center"/>
          </w:tcPr>
          <w:p>
            <w:pPr>
              <w:pStyle w:val="TableContents"/>
              <w:bidi w:val="0"/>
              <w:spacing w:before="0" w:after="283"/>
              <w:jc w:val="right"/>
              <w:rPr/>
            </w:pPr>
            <w:r>
              <w:rPr/>
              <w:t> </w:t>
            </w:r>
            <w:r>
              <w:rPr>
                <w:b/>
                <w:sz w:val="16"/>
              </w:rPr>
              <w:t>12,121,958</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b/>
                <w:sz w:val="16"/>
              </w:rPr>
            </w:pPr>
            <w:r>
              <w:rPr>
                <w:b/>
                <w:sz w:val="16"/>
              </w:rPr>
              <w:t>11,872,360</w:t>
            </w:r>
          </w:p>
        </w:tc>
        <w:tc>
          <w:tcPr>
            <w:tcW w:w="537" w:type="dxa"/>
            <w:tcBorders/>
            <w:shd w:fill="FFFFFF" w:val="clear"/>
            <w:vAlign w:val="center"/>
          </w:tcPr>
          <w:p>
            <w:pPr>
              <w:pStyle w:val="TableContents"/>
              <w:bidi w:val="0"/>
              <w:spacing w:before="0" w:after="283"/>
              <w:jc w:val="center"/>
              <w:rPr>
                <w:b/>
                <w:sz w:val="16"/>
              </w:rPr>
            </w:pPr>
            <w:r>
              <w:rPr>
                <w:b/>
                <w:sz w:val="16"/>
              </w:rPr>
              <w:t>-2.1%</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-3.2%</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173" w:type="dxa"/>
            <w:tcBorders/>
            <w:shd w:fill="FFFFFF" w:val="clear"/>
            <w:vAlign w:val="center"/>
          </w:tcPr>
          <w:p>
            <w:pPr>
              <w:pStyle w:val="TableContents"/>
              <w:bidi w:val="0"/>
              <w:spacing w:before="0" w:after="283"/>
              <w:jc w:val="right"/>
              <w:rPr/>
            </w:pPr>
            <w:r>
              <w:rPr/>
              <w:t> </w:t>
            </w:r>
          </w:p>
        </w:tc>
        <w:tc>
          <w:tcPr>
            <w:tcW w:w="1173" w:type="dxa"/>
            <w:tcBorders>
              <w:right w:val="single" w:sz="8" w:space="0" w:color="000000"/>
            </w:tcBorders>
            <w:shd w:fill="FFFFFF" w:val="clear"/>
            <w:tcMar>
              <w:right w:w="60" w:type="dxa"/>
            </w:tcM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center"/>
              <w:rPr/>
            </w:pPr>
            <w:r>
              <w:rPr/>
              <w:t> </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Net equity</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b/>
                <w:sz w:val="16"/>
              </w:rPr>
            </w:pPr>
            <w:r>
              <w:rPr>
                <w:b/>
                <w:sz w:val="16"/>
              </w:rPr>
              <w:t>820,677</w:t>
            </w:r>
          </w:p>
        </w:tc>
        <w:tc>
          <w:tcPr>
            <w:tcW w:w="1173" w:type="dxa"/>
            <w:tcBorders/>
            <w:shd w:fill="FFFFFF" w:val="clear"/>
            <w:vAlign w:val="center"/>
          </w:tcPr>
          <w:p>
            <w:pPr>
              <w:pStyle w:val="TableContents"/>
              <w:bidi w:val="0"/>
              <w:spacing w:before="0" w:after="283"/>
              <w:jc w:val="right"/>
              <w:rPr/>
            </w:pPr>
            <w:r>
              <w:rPr/>
              <w:t>       </w:t>
            </w:r>
            <w:r>
              <w:rPr>
                <w:b/>
                <w:sz w:val="16"/>
              </w:rPr>
              <w:t>850,115</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b/>
                <w:sz w:val="16"/>
              </w:rPr>
            </w:pPr>
            <w:r>
              <w:rPr>
                <w:b/>
                <w:sz w:val="16"/>
              </w:rPr>
              <w:t>855,157</w:t>
            </w:r>
          </w:p>
        </w:tc>
        <w:tc>
          <w:tcPr>
            <w:tcW w:w="537" w:type="dxa"/>
            <w:tcBorders/>
            <w:shd w:fill="FFFFFF" w:val="clear"/>
            <w:vAlign w:val="center"/>
          </w:tcPr>
          <w:p>
            <w:pPr>
              <w:pStyle w:val="TableContents"/>
              <w:bidi w:val="0"/>
              <w:spacing w:before="0" w:after="283"/>
              <w:jc w:val="center"/>
              <w:rPr>
                <w:b/>
                <w:sz w:val="16"/>
              </w:rPr>
            </w:pPr>
            <w:r>
              <w:rPr>
                <w:b/>
                <w:sz w:val="16"/>
              </w:rPr>
              <w:t>0.6%</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4.2%</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p>
        </w:tc>
        <w:tc>
          <w:tcPr>
            <w:tcW w:w="1173" w:type="dxa"/>
            <w:tcBorders/>
            <w:shd w:fill="FFFFFF" w:val="clear"/>
            <w:vAlign w:val="center"/>
          </w:tcPr>
          <w:p>
            <w:pPr>
              <w:pStyle w:val="TableContents"/>
              <w:bidi w:val="0"/>
              <w:spacing w:before="0" w:after="283"/>
              <w:jc w:val="right"/>
              <w:rPr/>
            </w:pPr>
            <w:r>
              <w:rPr/>
              <w:t> </w:t>
            </w:r>
          </w:p>
        </w:tc>
        <w:tc>
          <w:tcPr>
            <w:tcW w:w="1173" w:type="dxa"/>
            <w:tcBorders>
              <w:right w:val="single" w:sz="8" w:space="0" w:color="000000"/>
            </w:tcBorders>
            <w:shd w:fill="FFFFFF" w:val="clear"/>
            <w:tcMar>
              <w:right w:w="60" w:type="dxa"/>
            </w:tcM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center"/>
              <w:rPr/>
            </w:pPr>
            <w:r>
              <w:rPr/>
              <w:t> </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pPr>
            <w:r>
              <w:rPr/>
              <w:t> </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b/>
                <w:sz w:val="16"/>
              </w:rPr>
            </w:pPr>
            <w:r>
              <w:rPr>
                <w:b/>
                <w:sz w:val="16"/>
              </w:rPr>
              <w:t>TOTAL LIABILITIES AND NET SHAREHOLDERS’ EQUITY</w:t>
            </w:r>
          </w:p>
        </w:tc>
        <w:tc>
          <w:tcPr>
            <w:tcW w:w="117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right"/>
              <w:rPr>
                <w:b/>
                <w:sz w:val="16"/>
              </w:rPr>
            </w:pPr>
            <w:r>
              <w:rPr>
                <w:b/>
                <w:sz w:val="16"/>
              </w:rPr>
              <w:t>13,079,705</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12,972,073</w:t>
            </w:r>
          </w:p>
        </w:tc>
        <w:tc>
          <w:tcPr>
            <w:tcW w:w="1173" w:type="dxa"/>
            <w:tcBorders>
              <w:bottom w:val="single" w:sz="8" w:space="0" w:color="000000"/>
              <w:right w:val="single" w:sz="8" w:space="0" w:color="000000"/>
            </w:tcBorders>
            <w:shd w:fill="FFFFFF" w:val="clear"/>
            <w:tcMar>
              <w:bottom w:w="28" w:type="dxa"/>
              <w:right w:w="60" w:type="dxa"/>
            </w:tcMar>
            <w:vAlign w:val="center"/>
          </w:tcPr>
          <w:p>
            <w:pPr>
              <w:pStyle w:val="TableContents"/>
              <w:bidi w:val="0"/>
              <w:spacing w:before="0" w:after="283"/>
              <w:jc w:val="right"/>
              <w:rPr>
                <w:b/>
                <w:sz w:val="16"/>
              </w:rPr>
            </w:pPr>
            <w:r>
              <w:rPr>
                <w:b/>
                <w:sz w:val="16"/>
              </w:rPr>
              <w:t>12,727,516</w:t>
            </w:r>
          </w:p>
        </w:tc>
        <w:tc>
          <w:tcPr>
            <w:tcW w:w="537"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-1.9%</w:t>
            </w:r>
          </w:p>
        </w:tc>
        <w:tc>
          <w:tcPr>
            <w:tcW w:w="537"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b/>
                <w:sz w:val="16"/>
              </w:rPr>
            </w:pPr>
            <w:r>
              <w:rPr>
                <w:b/>
                <w:sz w:val="16"/>
              </w:rPr>
              <w:t>-2.7%</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center"/>
              <w:rPr/>
            </w:pPr>
            <w:r>
              <w:rPr/>
              <w:t> </w:t>
            </w:r>
          </w:p>
        </w:tc>
        <w:tc>
          <w:tcPr>
            <w:tcW w:w="537" w:type="dxa"/>
            <w:tcBorders/>
            <w:shd w:fill="FFFFFF" w:val="clear"/>
            <w:vAlign w:val="center"/>
          </w:tcPr>
          <w:p>
            <w:pPr>
              <w:pStyle w:val="TableContents"/>
              <w:bidi w:val="0"/>
              <w:spacing w:before="0" w:after="283"/>
              <w:jc w:val="center"/>
              <w:rPr/>
            </w:pPr>
            <w:r>
              <w:rPr/>
              <w:t> </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shd w:fill="FFFFFF" w:val="clear"/>
            <w:vAlign w:val="center"/>
          </w:tcPr>
          <w:p>
            <w:pPr>
              <w:pStyle w:val="TableContents"/>
              <w:bidi w:val="0"/>
              <w:spacing w:before="0" w:after="283"/>
              <w:jc w:val="center"/>
              <w:rPr/>
            </w:pPr>
            <w:r>
              <w:rPr/>
              <w:t> </w:t>
            </w:r>
          </w:p>
        </w:tc>
        <w:tc>
          <w:tcPr>
            <w:tcW w:w="3519" w:type="dxa"/>
            <w:gridSpan w:val="3"/>
            <w:tcBorders>
              <w:top w:val="single" w:sz="8" w:space="0" w:color="000000"/>
              <w:left w:val="single" w:sz="8" w:space="0" w:color="000000"/>
            </w:tcBorders>
            <w:shd w:fill="2AD2C9" w:val="clear"/>
            <w:tcMar>
              <w:top w:w="28" w:type="dxa"/>
              <w:left w:w="28" w:type="dxa"/>
            </w:tcMar>
            <w:vAlign w:val="center"/>
          </w:tcPr>
          <w:p>
            <w:pPr>
              <w:pStyle w:val="TableContents"/>
              <w:bidi w:val="0"/>
              <w:spacing w:before="0" w:after="283"/>
              <w:jc w:val="center"/>
              <w:rPr>
                <w:b/>
                <w:color w:val="FFFFFF"/>
                <w:sz w:val="16"/>
              </w:rPr>
            </w:pPr>
            <w:r>
              <w:rPr>
                <w:b/>
                <w:color w:val="FFFFFF"/>
                <w:sz w:val="16"/>
              </w:rPr>
              <w:t>Quarter</w:t>
            </w:r>
          </w:p>
        </w:tc>
        <w:tc>
          <w:tcPr>
            <w:tcW w:w="1074" w:type="dxa"/>
            <w:gridSpan w:val="2"/>
            <w:tcBorders>
              <w:top w:val="single" w:sz="8" w:space="0" w:color="000000"/>
              <w:left w:val="single" w:sz="8" w:space="0" w:color="000000"/>
              <w:right w:val="single" w:sz="8" w:space="0" w:color="000000"/>
            </w:tcBorders>
            <w:shd w:fill="2AD2C9" w:val="clear"/>
            <w:tcMar>
              <w:top w:w="28" w:type="dxa"/>
              <w:left w:w="28"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2363" w:type="dxa"/>
            <w:gridSpan w:val="2"/>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As of</w:t>
            </w:r>
          </w:p>
        </w:tc>
        <w:tc>
          <w:tcPr>
            <w:tcW w:w="1116" w:type="dxa"/>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2133" w:type="dxa"/>
            <w:tcBorders/>
            <w:shd w:fill="FFFFFF" w:val="clear"/>
            <w:vAlign w:val="center"/>
          </w:tcPr>
          <w:p>
            <w:pPr>
              <w:pStyle w:val="TableContents"/>
              <w:bidi w:val="0"/>
              <w:spacing w:before="0" w:after="283"/>
              <w:jc w:val="left"/>
              <w:rPr/>
            </w:pPr>
            <w:r>
              <w:rPr/>
              <w:t> </w:t>
            </w:r>
          </w:p>
        </w:tc>
        <w:tc>
          <w:tcPr>
            <w:tcW w:w="1173"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2Q22</w:t>
            </w:r>
          </w:p>
        </w:tc>
        <w:tc>
          <w:tcPr>
            <w:tcW w:w="1173" w:type="dxa"/>
            <w:tcBorders/>
            <w:shd w:fill="2AD2C9" w:val="clear"/>
            <w:vAlign w:val="center"/>
          </w:tcPr>
          <w:p>
            <w:pPr>
              <w:pStyle w:val="TableContents"/>
              <w:bidi w:val="0"/>
              <w:spacing w:before="0" w:after="283"/>
              <w:jc w:val="center"/>
              <w:rPr>
                <w:b/>
                <w:color w:val="FFFFFF"/>
                <w:sz w:val="16"/>
              </w:rPr>
            </w:pPr>
            <w:r>
              <w:rPr>
                <w:b/>
                <w:color w:val="FFFFFF"/>
                <w:sz w:val="16"/>
              </w:rPr>
              <w:t>1Q23</w:t>
            </w:r>
          </w:p>
        </w:tc>
        <w:tc>
          <w:tcPr>
            <w:tcW w:w="1173" w:type="dxa"/>
            <w:tcBorders/>
            <w:shd w:fill="2AD2C9" w:val="clear"/>
            <w:vAlign w:val="center"/>
          </w:tcPr>
          <w:p>
            <w:pPr>
              <w:pStyle w:val="TableContents"/>
              <w:bidi w:val="0"/>
              <w:spacing w:before="0" w:after="283"/>
              <w:jc w:val="center"/>
              <w:rPr>
                <w:b/>
                <w:color w:val="FFFFFF"/>
                <w:sz w:val="16"/>
              </w:rPr>
            </w:pPr>
            <w:r>
              <w:rPr>
                <w:b/>
                <w:color w:val="FFFFFF"/>
                <w:sz w:val="16"/>
              </w:rPr>
              <w:t>2Q23</w:t>
            </w:r>
          </w:p>
        </w:tc>
        <w:tc>
          <w:tcPr>
            <w:tcW w:w="537" w:type="dxa"/>
            <w:tcBorders>
              <w:left w:val="single" w:sz="8" w:space="0" w:color="000000"/>
            </w:tcBorders>
            <w:shd w:fill="2AD2C9" w:val="clear"/>
            <w:tcMar>
              <w:left w:w="28" w:type="dxa"/>
            </w:tcMar>
            <w:vAlign w:val="center"/>
          </w:tcPr>
          <w:p>
            <w:pPr>
              <w:pStyle w:val="TableContents"/>
              <w:bidi w:val="0"/>
              <w:spacing w:before="0" w:after="283"/>
              <w:jc w:val="center"/>
              <w:rPr>
                <w:b/>
                <w:color w:val="FFFFFF"/>
                <w:sz w:val="16"/>
              </w:rPr>
            </w:pPr>
            <w:r>
              <w:rPr>
                <w:b/>
                <w:color w:val="FFFFFF"/>
                <w:sz w:val="16"/>
              </w:rPr>
              <w:t>QoQ</w:t>
            </w:r>
          </w:p>
        </w:tc>
        <w:tc>
          <w:tcPr>
            <w:tcW w:w="537" w:type="dxa"/>
            <w:tcBorders>
              <w:right w:val="single" w:sz="8" w:space="0" w:color="000000"/>
            </w:tcBorders>
            <w:shd w:fill="2AD2C9" w:val="clear"/>
            <w:tcMar>
              <w:right w:w="28" w:type="dxa"/>
            </w:tcMar>
            <w:vAlign w:val="center"/>
          </w:tcPr>
          <w:p>
            <w:pPr>
              <w:pStyle w:val="TableContents"/>
              <w:bidi w:val="0"/>
              <w:spacing w:before="0" w:after="283"/>
              <w:jc w:val="center"/>
              <w:rPr>
                <w:b/>
                <w:color w:val="FFFFFF"/>
                <w:sz w:val="16"/>
              </w:rPr>
            </w:pPr>
            <w:r>
              <w:rPr>
                <w:b/>
                <w:color w:val="FFFFFF"/>
                <w:sz w:val="16"/>
              </w:rPr>
              <w:t>YoY</w:t>
            </w:r>
          </w:p>
        </w:tc>
        <w:tc>
          <w:tcPr>
            <w:tcW w:w="1173"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1H22</w:t>
            </w:r>
          </w:p>
        </w:tc>
        <w:tc>
          <w:tcPr>
            <w:tcW w:w="1190" w:type="dxa"/>
            <w:tcBorders>
              <w:bottom w:val="single" w:sz="8" w:space="0" w:color="000000"/>
              <w:right w:val="single" w:sz="8" w:space="0" w:color="000000"/>
            </w:tcBorders>
            <w:shd w:fill="2AD2C9" w:val="clear"/>
            <w:tcMar>
              <w:bottom w:w="28" w:type="dxa"/>
              <w:right w:w="60" w:type="dxa"/>
            </w:tcMar>
            <w:vAlign w:val="center"/>
          </w:tcPr>
          <w:p>
            <w:pPr>
              <w:pStyle w:val="TableContents"/>
              <w:bidi w:val="0"/>
              <w:spacing w:before="0" w:after="283"/>
              <w:jc w:val="center"/>
              <w:rPr>
                <w:b/>
                <w:color w:val="FFFFFF"/>
                <w:sz w:val="16"/>
              </w:rPr>
            </w:pPr>
            <w:r>
              <w:rPr>
                <w:b/>
                <w:color w:val="FFFFFF"/>
                <w:sz w:val="16"/>
              </w:rPr>
              <w:t>1H23</w:t>
            </w:r>
          </w:p>
        </w:tc>
        <w:tc>
          <w:tcPr>
            <w:tcW w:w="1116"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color w:val="FFFFFF"/>
              </w:rPr>
            </w:pPr>
            <w:r>
              <w:rPr>
                <w:color w:val="FFFFFF"/>
              </w:rPr>
              <w:t> </w:t>
            </w:r>
            <w:r>
              <w:rPr>
                <w:b/>
                <w:color w:val="FFFFFF"/>
                <w:sz w:val="16"/>
              </w:rPr>
              <w:t>1H 23 / 1H 22</w:t>
            </w:r>
          </w:p>
        </w:tc>
      </w:tr>
      <w:tr>
        <w:trPr/>
        <w:tc>
          <w:tcPr>
            <w:tcW w:w="2133" w:type="dxa"/>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left"/>
              <w:rPr>
                <w:sz w:val="16"/>
              </w:rPr>
            </w:pPr>
            <w:r>
              <w:rPr>
                <w:sz w:val="16"/>
              </w:rPr>
              <w:t>Net interest income</w:t>
            </w:r>
          </w:p>
        </w:tc>
        <w:tc>
          <w:tcPr>
            <w:tcW w:w="1173" w:type="dxa"/>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right"/>
              <w:rPr/>
            </w:pPr>
            <w:r>
              <w:rPr/>
              <w:t>         </w:t>
            </w:r>
            <w:r>
              <w:rPr>
                <w:sz w:val="16"/>
              </w:rPr>
              <w:t>82,086</w:t>
            </w:r>
          </w:p>
        </w:tc>
        <w:tc>
          <w:tcPr>
            <w:tcW w:w="1173" w:type="dxa"/>
            <w:tcBorders>
              <w:top w:val="single" w:sz="8" w:space="0" w:color="000000"/>
            </w:tcBorders>
            <w:shd w:fill="FFFFFF" w:val="clear"/>
            <w:tcMar>
              <w:top w:w="28" w:type="dxa"/>
            </w:tcMar>
            <w:vAlign w:val="center"/>
          </w:tcPr>
          <w:p>
            <w:pPr>
              <w:pStyle w:val="TableContents"/>
              <w:bidi w:val="0"/>
              <w:spacing w:before="0" w:after="283"/>
              <w:jc w:val="right"/>
              <w:rPr/>
            </w:pPr>
            <w:r>
              <w:rPr/>
              <w:t>         </w:t>
            </w:r>
            <w:r>
              <w:rPr>
                <w:sz w:val="16"/>
              </w:rPr>
              <w:t>82,670</w:t>
            </w:r>
          </w:p>
        </w:tc>
        <w:tc>
          <w:tcPr>
            <w:tcW w:w="1173" w:type="dxa"/>
            <w:tcBorders>
              <w:top w:val="single" w:sz="8" w:space="0" w:color="000000"/>
              <w:right w:val="single" w:sz="8" w:space="0" w:color="000000"/>
            </w:tcBorders>
            <w:shd w:fill="FFFFFF" w:val="clear"/>
            <w:tcMar>
              <w:top w:w="28" w:type="dxa"/>
              <w:right w:w="60" w:type="dxa"/>
            </w:tcMar>
            <w:vAlign w:val="center"/>
          </w:tcPr>
          <w:p>
            <w:pPr>
              <w:pStyle w:val="TableContents"/>
              <w:bidi w:val="0"/>
              <w:spacing w:before="0" w:after="283"/>
              <w:jc w:val="right"/>
              <w:rPr/>
            </w:pPr>
            <w:r>
              <w:rPr/>
              <w:t>         </w:t>
            </w:r>
            <w:r>
              <w:rPr>
                <w:sz w:val="16"/>
              </w:rPr>
              <w:t>82,279</w:t>
            </w:r>
          </w:p>
        </w:tc>
        <w:tc>
          <w:tcPr>
            <w:tcW w:w="537" w:type="dxa"/>
            <w:tcBorders>
              <w:top w:val="single" w:sz="8" w:space="0" w:color="000000"/>
            </w:tcBorders>
            <w:shd w:fill="FFFFFF" w:val="clear"/>
            <w:tcMar>
              <w:top w:w="28" w:type="dxa"/>
            </w:tcMar>
            <w:vAlign w:val="center"/>
          </w:tcPr>
          <w:p>
            <w:pPr>
              <w:pStyle w:val="TableContents"/>
              <w:bidi w:val="0"/>
              <w:spacing w:before="0" w:after="283"/>
              <w:jc w:val="center"/>
              <w:rPr>
                <w:sz w:val="16"/>
              </w:rPr>
            </w:pPr>
            <w:r>
              <w:rPr>
                <w:sz w:val="16"/>
              </w:rPr>
              <w:t>-0.5%</w:t>
            </w:r>
          </w:p>
        </w:tc>
        <w:tc>
          <w:tcPr>
            <w:tcW w:w="537"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center"/>
              <w:rPr>
                <w:sz w:val="16"/>
              </w:rPr>
            </w:pPr>
            <w:r>
              <w:rPr>
                <w:sz w:val="16"/>
              </w:rPr>
              <w:t>0.2%</w:t>
            </w:r>
          </w:p>
        </w:tc>
        <w:tc>
          <w:tcPr>
            <w:tcW w:w="1173" w:type="dxa"/>
            <w:tcBorders/>
            <w:shd w:fill="FFFFFF" w:val="clear"/>
            <w:vAlign w:val="center"/>
          </w:tcPr>
          <w:p>
            <w:pPr>
              <w:pStyle w:val="TableContents"/>
              <w:bidi w:val="0"/>
              <w:spacing w:before="0" w:after="283"/>
              <w:jc w:val="right"/>
              <w:rPr/>
            </w:pPr>
            <w:r>
              <w:rPr/>
              <w:t>       </w:t>
            </w:r>
            <w:r>
              <w:rPr>
                <w:sz w:val="16"/>
              </w:rPr>
              <w:t>163,243</w:t>
            </w:r>
          </w:p>
        </w:tc>
        <w:tc>
          <w:tcPr>
            <w:tcW w:w="1190"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164,950</w:t>
            </w:r>
          </w:p>
        </w:tc>
        <w:tc>
          <w:tcPr>
            <w:tcW w:w="1116"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1.0%</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Provision for loan losses, net of recoveries </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(31,509)</w:t>
            </w:r>
          </w:p>
        </w:tc>
        <w:tc>
          <w:tcPr>
            <w:tcW w:w="1173" w:type="dxa"/>
            <w:tcBorders/>
            <w:shd w:fill="FFFFFF" w:val="clear"/>
            <w:vAlign w:val="center"/>
          </w:tcPr>
          <w:p>
            <w:pPr>
              <w:pStyle w:val="TableContents"/>
              <w:bidi w:val="0"/>
              <w:spacing w:before="0" w:after="283"/>
              <w:jc w:val="right"/>
              <w:rPr/>
            </w:pPr>
            <w:r>
              <w:rPr/>
              <w:t>          </w:t>
            </w:r>
            <w:r>
              <w:rPr>
                <w:sz w:val="16"/>
              </w:rPr>
              <w:t>(3,349)</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4,337</w:t>
            </w:r>
          </w:p>
        </w:tc>
        <w:tc>
          <w:tcPr>
            <w:tcW w:w="537" w:type="dxa"/>
            <w:tcBorders/>
            <w:shd w:fill="FFFFFF" w:val="clear"/>
            <w:vAlign w:val="center"/>
          </w:tcPr>
          <w:p>
            <w:pPr>
              <w:pStyle w:val="TableContents"/>
              <w:bidi w:val="0"/>
              <w:spacing w:before="0" w:after="283"/>
              <w:jc w:val="center"/>
              <w:rPr>
                <w:sz w:val="16"/>
              </w:rPr>
            </w:pPr>
            <w:r>
              <w:rPr>
                <w:sz w:val="16"/>
              </w:rPr>
              <w:t>-229.5%</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-113.8%</w:t>
            </w:r>
          </w:p>
        </w:tc>
        <w:tc>
          <w:tcPr>
            <w:tcW w:w="1173" w:type="dxa"/>
            <w:tcBorders/>
            <w:shd w:fill="FFFFFF" w:val="clear"/>
            <w:vAlign w:val="center"/>
          </w:tcPr>
          <w:p>
            <w:pPr>
              <w:pStyle w:val="TableContents"/>
              <w:bidi w:val="0"/>
              <w:spacing w:before="0" w:after="283"/>
              <w:jc w:val="right"/>
              <w:rPr/>
            </w:pPr>
            <w:r>
              <w:rPr/>
              <w:t>        </w:t>
            </w:r>
            <w:r>
              <w:rPr>
                <w:sz w:val="16"/>
              </w:rPr>
              <w:t>(28,651)</w:t>
            </w:r>
          </w:p>
        </w:tc>
        <w:tc>
          <w:tcPr>
            <w:tcW w:w="1190"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987</w:t>
            </w:r>
          </w:p>
        </w:tc>
        <w:tc>
          <w:tcPr>
            <w:tcW w:w="1116"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-103.4%</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Net interest income after provisions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50,577</w:t>
            </w:r>
          </w:p>
        </w:tc>
        <w:tc>
          <w:tcPr>
            <w:tcW w:w="1173" w:type="dxa"/>
            <w:tcBorders/>
            <w:shd w:fill="FFFFFF" w:val="clear"/>
            <w:vAlign w:val="center"/>
          </w:tcPr>
          <w:p>
            <w:pPr>
              <w:pStyle w:val="TableContents"/>
              <w:bidi w:val="0"/>
              <w:spacing w:before="0" w:after="283"/>
              <w:jc w:val="right"/>
              <w:rPr/>
            </w:pPr>
            <w:r>
              <w:rPr/>
              <w:t>         </w:t>
            </w:r>
            <w:r>
              <w:rPr>
                <w:b/>
                <w:sz w:val="16"/>
              </w:rPr>
              <w:t>79,321</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86,616</w:t>
            </w:r>
          </w:p>
        </w:tc>
        <w:tc>
          <w:tcPr>
            <w:tcW w:w="537" w:type="dxa"/>
            <w:tcBorders/>
            <w:shd w:fill="FFFFFF" w:val="clear"/>
            <w:vAlign w:val="center"/>
          </w:tcPr>
          <w:p>
            <w:pPr>
              <w:pStyle w:val="TableContents"/>
              <w:bidi w:val="0"/>
              <w:spacing w:before="0" w:after="283"/>
              <w:jc w:val="center"/>
              <w:rPr>
                <w:b/>
                <w:sz w:val="16"/>
              </w:rPr>
            </w:pPr>
            <w:r>
              <w:rPr>
                <w:b/>
                <w:sz w:val="16"/>
              </w:rPr>
              <w:t>9.2%</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71.3%</w:t>
            </w:r>
          </w:p>
        </w:tc>
        <w:tc>
          <w:tcPr>
            <w:tcW w:w="1173" w:type="dxa"/>
            <w:tcBorders/>
            <w:shd w:fill="FFFFFF" w:val="clear"/>
            <w:vAlign w:val="center"/>
          </w:tcPr>
          <w:p>
            <w:pPr>
              <w:pStyle w:val="TableContents"/>
              <w:bidi w:val="0"/>
              <w:spacing w:before="0" w:after="283"/>
              <w:jc w:val="right"/>
              <w:rPr/>
            </w:pPr>
            <w:r>
              <w:rPr/>
              <w:t>       </w:t>
            </w:r>
            <w:r>
              <w:rPr>
                <w:b/>
                <w:sz w:val="16"/>
              </w:rPr>
              <w:t>134,592</w:t>
            </w:r>
          </w:p>
        </w:tc>
        <w:tc>
          <w:tcPr>
            <w:tcW w:w="1190"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165,937</w:t>
            </w:r>
          </w:p>
        </w:tc>
        <w:tc>
          <w:tcPr>
            <w:tcW w:w="1116"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23.3%</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Non-financial income</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43,982</w:t>
            </w:r>
          </w:p>
        </w:tc>
        <w:tc>
          <w:tcPr>
            <w:tcW w:w="1173" w:type="dxa"/>
            <w:tcBorders/>
            <w:shd w:fill="FFFFFF" w:val="clear"/>
            <w:vAlign w:val="center"/>
          </w:tcPr>
          <w:p>
            <w:pPr>
              <w:pStyle w:val="TableContents"/>
              <w:bidi w:val="0"/>
              <w:spacing w:before="0" w:after="283"/>
              <w:jc w:val="right"/>
              <w:rPr/>
            </w:pPr>
            <w:r>
              <w:rPr/>
              <w:t>         </w:t>
            </w:r>
            <w:r>
              <w:rPr>
                <w:sz w:val="16"/>
              </w:rPr>
              <w:t>45,306</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57,444</w:t>
            </w:r>
          </w:p>
        </w:tc>
        <w:tc>
          <w:tcPr>
            <w:tcW w:w="537" w:type="dxa"/>
            <w:tcBorders/>
            <w:shd w:fill="FFFFFF" w:val="clear"/>
            <w:vAlign w:val="center"/>
          </w:tcPr>
          <w:p>
            <w:pPr>
              <w:pStyle w:val="TableContents"/>
              <w:bidi w:val="0"/>
              <w:spacing w:before="0" w:after="283"/>
              <w:jc w:val="center"/>
              <w:rPr>
                <w:sz w:val="16"/>
              </w:rPr>
            </w:pPr>
            <w:r>
              <w:rPr>
                <w:sz w:val="16"/>
              </w:rPr>
              <w:t>26.8%</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30.6%</w:t>
            </w:r>
          </w:p>
        </w:tc>
        <w:tc>
          <w:tcPr>
            <w:tcW w:w="1173" w:type="dxa"/>
            <w:tcBorders/>
            <w:shd w:fill="FFFFFF" w:val="clear"/>
            <w:vAlign w:val="center"/>
          </w:tcPr>
          <w:p>
            <w:pPr>
              <w:pStyle w:val="TableContents"/>
              <w:bidi w:val="0"/>
              <w:spacing w:before="0" w:after="283"/>
              <w:jc w:val="right"/>
              <w:rPr/>
            </w:pPr>
            <w:r>
              <w:rPr/>
              <w:t>         </w:t>
            </w:r>
            <w:r>
              <w:rPr>
                <w:sz w:val="16"/>
              </w:rPr>
              <w:t>83,627</w:t>
            </w:r>
          </w:p>
        </w:tc>
        <w:tc>
          <w:tcPr>
            <w:tcW w:w="1190"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102,750</w:t>
            </w:r>
          </w:p>
        </w:tc>
        <w:tc>
          <w:tcPr>
            <w:tcW w:w="1116"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22.9%</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Total expenses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(44,296)</w:t>
            </w:r>
          </w:p>
        </w:tc>
        <w:tc>
          <w:tcPr>
            <w:tcW w:w="1173" w:type="dxa"/>
            <w:tcBorders/>
            <w:shd w:fill="FFFFFF" w:val="clear"/>
            <w:vAlign w:val="center"/>
          </w:tcPr>
          <w:p>
            <w:pPr>
              <w:pStyle w:val="TableContents"/>
              <w:bidi w:val="0"/>
              <w:spacing w:before="0" w:after="283"/>
              <w:jc w:val="right"/>
              <w:rPr/>
            </w:pPr>
            <w:r>
              <w:rPr/>
              <w:t>        </w:t>
            </w:r>
            <w:r>
              <w:rPr>
                <w:sz w:val="16"/>
              </w:rPr>
              <w:t>(92,549)</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(92,555)</w:t>
            </w:r>
          </w:p>
        </w:tc>
        <w:tc>
          <w:tcPr>
            <w:tcW w:w="537" w:type="dxa"/>
            <w:tcBorders/>
            <w:shd w:fill="FFFFFF" w:val="clear"/>
            <w:vAlign w:val="center"/>
          </w:tcPr>
          <w:p>
            <w:pPr>
              <w:pStyle w:val="TableContents"/>
              <w:bidi w:val="0"/>
              <w:spacing w:before="0" w:after="283"/>
              <w:jc w:val="center"/>
              <w:rPr>
                <w:sz w:val="16"/>
              </w:rPr>
            </w:pPr>
            <w:r>
              <w:rPr>
                <w:sz w:val="16"/>
              </w:rPr>
              <w:t>0.0%</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108.9%</w:t>
            </w:r>
          </w:p>
        </w:tc>
        <w:tc>
          <w:tcPr>
            <w:tcW w:w="1173" w:type="dxa"/>
            <w:tcBorders/>
            <w:shd w:fill="FFFFFF" w:val="clear"/>
            <w:vAlign w:val="center"/>
          </w:tcPr>
          <w:p>
            <w:pPr>
              <w:pStyle w:val="TableContents"/>
              <w:bidi w:val="0"/>
              <w:spacing w:before="0" w:after="283"/>
              <w:jc w:val="right"/>
              <w:rPr/>
            </w:pPr>
            <w:r>
              <w:rPr/>
              <w:t>     </w:t>
            </w:r>
            <w:r>
              <w:rPr>
                <w:sz w:val="16"/>
              </w:rPr>
              <w:t>(116,858)</w:t>
            </w:r>
          </w:p>
        </w:tc>
        <w:tc>
          <w:tcPr>
            <w:tcW w:w="1190"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(185,103)</w:t>
            </w:r>
          </w:p>
        </w:tc>
        <w:tc>
          <w:tcPr>
            <w:tcW w:w="1116"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58.4%</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Translation result</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(41)</w:t>
            </w:r>
          </w:p>
        </w:tc>
        <w:tc>
          <w:tcPr>
            <w:tcW w:w="1173" w:type="dxa"/>
            <w:tcBorders/>
            <w:shd w:fill="FFFFFF" w:val="clear"/>
            <w:vAlign w:val="center"/>
          </w:tcPr>
          <w:p>
            <w:pPr>
              <w:pStyle w:val="TableContents"/>
              <w:bidi w:val="0"/>
              <w:spacing w:before="0" w:after="283"/>
              <w:jc w:val="right"/>
              <w:rPr/>
            </w:pPr>
            <w:r>
              <w:rPr/>
              <w:t>               </w:t>
            </w:r>
            <w:r>
              <w:rPr>
                <w:sz w:val="16"/>
              </w:rPr>
              <w:t>(51)</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(59)</w:t>
            </w:r>
          </w:p>
        </w:tc>
        <w:tc>
          <w:tcPr>
            <w:tcW w:w="537" w:type="dxa"/>
            <w:tcBorders/>
            <w:shd w:fill="FFFFFF" w:val="clear"/>
            <w:vAlign w:val="center"/>
          </w:tcPr>
          <w:p>
            <w:pPr>
              <w:pStyle w:val="TableContents"/>
              <w:bidi w:val="0"/>
              <w:spacing w:before="0" w:after="283"/>
              <w:jc w:val="center"/>
              <w:rPr>
                <w:sz w:val="16"/>
              </w:rPr>
            </w:pPr>
            <w:r>
              <w:rPr>
                <w:sz w:val="16"/>
              </w:rPr>
              <w:t>15.2%</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42.0%</w:t>
            </w:r>
          </w:p>
        </w:tc>
        <w:tc>
          <w:tcPr>
            <w:tcW w:w="1173" w:type="dxa"/>
            <w:tcBorders/>
            <w:shd w:fill="FFFFFF" w:val="clear"/>
            <w:vAlign w:val="center"/>
          </w:tcPr>
          <w:p>
            <w:pPr>
              <w:pStyle w:val="TableContents"/>
              <w:bidi w:val="0"/>
              <w:spacing w:before="0" w:after="283"/>
              <w:jc w:val="right"/>
              <w:rPr/>
            </w:pPr>
            <w:r>
              <w:rPr/>
              <w:t>               </w:t>
            </w:r>
            <w:r>
              <w:rPr>
                <w:sz w:val="16"/>
              </w:rPr>
              <w:t>(24)</w:t>
            </w:r>
          </w:p>
        </w:tc>
        <w:tc>
          <w:tcPr>
            <w:tcW w:w="1190"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(110)</w:t>
            </w:r>
          </w:p>
        </w:tc>
        <w:tc>
          <w:tcPr>
            <w:tcW w:w="1116"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350.6%</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Income taxes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(33,364)</w:t>
            </w:r>
          </w:p>
        </w:tc>
        <w:tc>
          <w:tcPr>
            <w:tcW w:w="1173" w:type="dxa"/>
            <w:tcBorders/>
            <w:shd w:fill="FFFFFF" w:val="clear"/>
            <w:vAlign w:val="center"/>
          </w:tcPr>
          <w:p>
            <w:pPr>
              <w:pStyle w:val="TableContents"/>
              <w:bidi w:val="0"/>
              <w:spacing w:before="0" w:after="283"/>
              <w:jc w:val="right"/>
              <w:rPr/>
            </w:pPr>
            <w:r>
              <w:rPr/>
              <w:t>        </w:t>
            </w:r>
            <w:r>
              <w:rPr>
                <w:sz w:val="16"/>
              </w:rPr>
              <w:t>(11,290)</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(29,844)</w:t>
            </w:r>
          </w:p>
        </w:tc>
        <w:tc>
          <w:tcPr>
            <w:tcW w:w="537" w:type="dxa"/>
            <w:tcBorders/>
            <w:shd w:fill="FFFFFF" w:val="clear"/>
            <w:vAlign w:val="center"/>
          </w:tcPr>
          <w:p>
            <w:pPr>
              <w:pStyle w:val="TableContents"/>
              <w:bidi w:val="0"/>
              <w:spacing w:before="0" w:after="283"/>
              <w:jc w:val="center"/>
              <w:rPr>
                <w:sz w:val="16"/>
              </w:rPr>
            </w:pPr>
            <w:r>
              <w:rPr>
                <w:sz w:val="16"/>
              </w:rPr>
              <w:t>164.3%</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-10.5%</w:t>
            </w:r>
          </w:p>
        </w:tc>
        <w:tc>
          <w:tcPr>
            <w:tcW w:w="1173" w:type="dxa"/>
            <w:tcBorders/>
            <w:shd w:fill="FFFFFF" w:val="clear"/>
            <w:vAlign w:val="center"/>
          </w:tcPr>
          <w:p>
            <w:pPr>
              <w:pStyle w:val="TableContents"/>
              <w:bidi w:val="0"/>
              <w:spacing w:before="0" w:after="283"/>
              <w:jc w:val="right"/>
              <w:rPr/>
            </w:pPr>
            <w:r>
              <w:rPr/>
              <w:t>        </w:t>
            </w:r>
            <w:r>
              <w:rPr>
                <w:sz w:val="16"/>
              </w:rPr>
              <w:t>(64,003)</w:t>
            </w:r>
          </w:p>
        </w:tc>
        <w:tc>
          <w:tcPr>
            <w:tcW w:w="1190" w:type="dxa"/>
            <w:tcBorders>
              <w:right w:val="single" w:sz="8" w:space="0" w:color="000000"/>
            </w:tcBorders>
            <w:shd w:fill="FFFFFF" w:val="clear"/>
            <w:tcMar>
              <w:right w:w="28" w:type="dxa"/>
            </w:tcMar>
            <w:vAlign w:val="center"/>
          </w:tcPr>
          <w:p>
            <w:pPr>
              <w:pStyle w:val="TableContents"/>
              <w:bidi w:val="0"/>
              <w:spacing w:before="0" w:after="283"/>
              <w:jc w:val="right"/>
              <w:rPr/>
            </w:pPr>
            <w:r>
              <w:rPr/>
              <w:t>        </w:t>
            </w:r>
            <w:r>
              <w:rPr>
                <w:sz w:val="16"/>
              </w:rPr>
              <w:t>(41,134)</w:t>
            </w:r>
          </w:p>
        </w:tc>
        <w:tc>
          <w:tcPr>
            <w:tcW w:w="1116"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-35.7%</w:t>
            </w:r>
          </w:p>
        </w:tc>
      </w:tr>
      <w:tr>
        <w:trPr/>
        <w:tc>
          <w:tcPr>
            <w:tcW w:w="213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b/>
                <w:sz w:val="16"/>
              </w:rPr>
            </w:pPr>
            <w:r>
              <w:rPr>
                <w:b/>
                <w:sz w:val="16"/>
              </w:rPr>
              <w:t>Net income</w:t>
            </w:r>
          </w:p>
        </w:tc>
        <w:tc>
          <w:tcPr>
            <w:tcW w:w="117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right"/>
              <w:rPr/>
            </w:pPr>
            <w:r>
              <w:rPr/>
              <w:t>         </w:t>
            </w:r>
            <w:r>
              <w:rPr>
                <w:b/>
                <w:sz w:val="16"/>
              </w:rPr>
              <w:t>16,859</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20,738</w:t>
            </w:r>
          </w:p>
        </w:tc>
        <w:tc>
          <w:tcPr>
            <w:tcW w:w="1173" w:type="dxa"/>
            <w:tcBorders>
              <w:bottom w:val="single" w:sz="8" w:space="0" w:color="000000"/>
              <w:right w:val="single" w:sz="8" w:space="0" w:color="000000"/>
            </w:tcBorders>
            <w:shd w:fill="FFFFFF" w:val="clear"/>
            <w:tcMar>
              <w:bottom w:w="28" w:type="dxa"/>
              <w:right w:w="60" w:type="dxa"/>
            </w:tcMar>
            <w:vAlign w:val="center"/>
          </w:tcPr>
          <w:p>
            <w:pPr>
              <w:pStyle w:val="TableContents"/>
              <w:bidi w:val="0"/>
              <w:spacing w:before="0" w:after="283"/>
              <w:jc w:val="right"/>
              <w:rPr/>
            </w:pPr>
            <w:r>
              <w:rPr/>
              <w:t>         </w:t>
            </w:r>
            <w:r>
              <w:rPr>
                <w:b/>
                <w:sz w:val="16"/>
              </w:rPr>
              <w:t>21,603</w:t>
            </w:r>
          </w:p>
        </w:tc>
        <w:tc>
          <w:tcPr>
            <w:tcW w:w="537" w:type="dxa"/>
            <w:tcBorders>
              <w:bottom w:val="single" w:sz="8" w:space="0" w:color="000000"/>
            </w:tcBorders>
            <w:shd w:fill="FFFFFF" w:val="clear"/>
            <w:tcMar>
              <w:bottom w:w="28" w:type="dxa"/>
            </w:tcMar>
            <w:vAlign w:val="center"/>
          </w:tcPr>
          <w:p>
            <w:pPr>
              <w:pStyle w:val="TableContents"/>
              <w:bidi w:val="0"/>
              <w:spacing w:before="0" w:after="283"/>
              <w:jc w:val="center"/>
              <w:rPr>
                <w:b/>
                <w:sz w:val="16"/>
              </w:rPr>
            </w:pPr>
            <w:r>
              <w:rPr>
                <w:b/>
                <w:sz w:val="16"/>
              </w:rPr>
              <w:t>4.2%</w:t>
            </w:r>
          </w:p>
        </w:tc>
        <w:tc>
          <w:tcPr>
            <w:tcW w:w="537"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b/>
                <w:sz w:val="16"/>
              </w:rPr>
            </w:pPr>
            <w:r>
              <w:rPr>
                <w:b/>
                <w:sz w:val="16"/>
              </w:rPr>
              <w:t>28.1%</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b/>
                <w:sz w:val="16"/>
              </w:rPr>
              <w:t>37,333</w:t>
            </w:r>
          </w:p>
        </w:tc>
        <w:tc>
          <w:tcPr>
            <w:tcW w:w="1190" w:type="dxa"/>
            <w:tcBorders>
              <w:bottom w:val="single" w:sz="8" w:space="0" w:color="000000"/>
              <w:right w:val="single" w:sz="8" w:space="0" w:color="000000"/>
            </w:tcBorders>
            <w:shd w:fill="FFFFFF" w:val="clear"/>
            <w:tcMar>
              <w:bottom w:w="28" w:type="dxa"/>
              <w:right w:w="60" w:type="dxa"/>
            </w:tcMar>
            <w:vAlign w:val="center"/>
          </w:tcPr>
          <w:p>
            <w:pPr>
              <w:pStyle w:val="TableContents"/>
              <w:bidi w:val="0"/>
              <w:spacing w:before="0" w:after="283"/>
              <w:jc w:val="right"/>
              <w:rPr/>
            </w:pPr>
            <w:r>
              <w:rPr/>
              <w:t>         </w:t>
            </w:r>
            <w:r>
              <w:rPr>
                <w:b/>
                <w:sz w:val="16"/>
              </w:rPr>
              <w:t>42,340</w:t>
            </w:r>
          </w:p>
        </w:tc>
        <w:tc>
          <w:tcPr>
            <w:tcW w:w="1116"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b/>
                <w:sz w:val="16"/>
              </w:rPr>
            </w:pPr>
            <w:r>
              <w:rPr>
                <w:b/>
                <w:sz w:val="16"/>
              </w:rPr>
              <w:t>13.4%</w:t>
            </w:r>
          </w:p>
        </w:tc>
      </w:tr>
      <w:tr>
        <w:trPr/>
        <w:tc>
          <w:tcPr>
            <w:tcW w:w="2133"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center"/>
              <w:rPr/>
            </w:pPr>
            <w:r>
              <w:rPr/>
              <w:t> </w:t>
            </w:r>
          </w:p>
        </w:tc>
        <w:tc>
          <w:tcPr>
            <w:tcW w:w="537" w:type="dxa"/>
            <w:tcBorders/>
            <w:shd w:fill="FFFFFF" w:val="clear"/>
            <w:vAlign w:val="center"/>
          </w:tcPr>
          <w:p>
            <w:pPr>
              <w:pStyle w:val="TableContents"/>
              <w:bidi w:val="0"/>
              <w:spacing w:before="0" w:after="283"/>
              <w:jc w:val="center"/>
              <w:rPr/>
            </w:pPr>
            <w:r>
              <w:rPr/>
              <w:t> </w:t>
            </w:r>
          </w:p>
        </w:tc>
        <w:tc>
          <w:tcPr>
            <w:tcW w:w="1173"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left"/>
              <w:rPr>
                <w:sz w:val="16"/>
              </w:rPr>
            </w:pPr>
            <w:r>
              <w:rPr>
                <w:sz w:val="16"/>
              </w:rPr>
              <w:t>Efficiency ratio</w:t>
            </w:r>
          </w:p>
        </w:tc>
        <w:tc>
          <w:tcPr>
            <w:tcW w:w="1173" w:type="dxa"/>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right"/>
              <w:rPr>
                <w:sz w:val="16"/>
              </w:rPr>
            </w:pPr>
            <w:r>
              <w:rPr>
                <w:sz w:val="16"/>
              </w:rPr>
              <w:t>56.3%</w:t>
            </w:r>
          </w:p>
        </w:tc>
        <w:tc>
          <w:tcPr>
            <w:tcW w:w="1173" w:type="dxa"/>
            <w:tcBorders>
              <w:top w:val="single" w:sz="8" w:space="0" w:color="000000"/>
            </w:tcBorders>
            <w:shd w:fill="FFFFFF" w:val="clear"/>
            <w:tcMar>
              <w:top w:w="28" w:type="dxa"/>
            </w:tcMar>
            <w:vAlign w:val="center"/>
          </w:tcPr>
          <w:p>
            <w:pPr>
              <w:pStyle w:val="TableContents"/>
              <w:bidi w:val="0"/>
              <w:spacing w:before="0" w:after="283"/>
              <w:jc w:val="right"/>
              <w:rPr>
                <w:sz w:val="16"/>
              </w:rPr>
            </w:pPr>
            <w:r>
              <w:rPr>
                <w:sz w:val="16"/>
              </w:rPr>
              <w:t>59.3%</w:t>
            </w:r>
          </w:p>
        </w:tc>
        <w:tc>
          <w:tcPr>
            <w:tcW w:w="1173"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right"/>
              <w:rPr>
                <w:sz w:val="16"/>
              </w:rPr>
            </w:pPr>
            <w:r>
              <w:rPr>
                <w:sz w:val="16"/>
              </w:rPr>
              <w:t>60.6%</w:t>
            </w:r>
          </w:p>
        </w:tc>
        <w:tc>
          <w:tcPr>
            <w:tcW w:w="537" w:type="dxa"/>
            <w:tcBorders>
              <w:top w:val="single" w:sz="8" w:space="0" w:color="000000"/>
            </w:tcBorders>
            <w:shd w:fill="FFFFFF" w:val="clear"/>
            <w:tcMar>
              <w:top w:w="28" w:type="dxa"/>
            </w:tcMar>
            <w:vAlign w:val="center"/>
          </w:tcPr>
          <w:p>
            <w:pPr>
              <w:pStyle w:val="TableContents"/>
              <w:bidi w:val="0"/>
              <w:spacing w:before="0" w:after="283"/>
              <w:jc w:val="center"/>
              <w:rPr>
                <w:sz w:val="16"/>
              </w:rPr>
            </w:pPr>
            <w:r>
              <w:rPr>
                <w:sz w:val="16"/>
              </w:rPr>
              <w:t>129 pbs</w:t>
            </w:r>
          </w:p>
        </w:tc>
        <w:tc>
          <w:tcPr>
            <w:tcW w:w="537"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center"/>
              <w:rPr>
                <w:sz w:val="16"/>
              </w:rPr>
            </w:pPr>
            <w:r>
              <w:rPr>
                <w:sz w:val="16"/>
              </w:rPr>
              <w:t>431 pbs</w:t>
            </w:r>
          </w:p>
        </w:tc>
        <w:tc>
          <w:tcPr>
            <w:tcW w:w="1173" w:type="dxa"/>
            <w:tcBorders>
              <w:top w:val="single" w:sz="8" w:space="0" w:color="000000"/>
            </w:tcBorders>
            <w:shd w:fill="FFFFFF" w:val="clear"/>
            <w:tcMar>
              <w:top w:w="28" w:type="dxa"/>
            </w:tcMar>
            <w:vAlign w:val="center"/>
          </w:tcPr>
          <w:p>
            <w:pPr>
              <w:pStyle w:val="TableContents"/>
              <w:bidi w:val="0"/>
              <w:spacing w:before="0" w:after="283"/>
              <w:jc w:val="right"/>
              <w:rPr>
                <w:sz w:val="16"/>
              </w:rPr>
            </w:pPr>
            <w:r>
              <w:rPr>
                <w:sz w:val="16"/>
              </w:rPr>
              <w:t>57.7%</w:t>
            </w:r>
          </w:p>
        </w:tc>
        <w:tc>
          <w:tcPr>
            <w:tcW w:w="1190"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right"/>
              <w:rPr>
                <w:sz w:val="16"/>
              </w:rPr>
            </w:pPr>
            <w:r>
              <w:rPr>
                <w:sz w:val="16"/>
              </w:rPr>
              <w:t>60.0%</w:t>
            </w:r>
          </w:p>
        </w:tc>
        <w:tc>
          <w:tcPr>
            <w:tcW w:w="1116"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center"/>
              <w:rPr>
                <w:sz w:val="16"/>
              </w:rPr>
            </w:pPr>
            <w:r>
              <w:rPr>
                <w:sz w:val="16"/>
              </w:rPr>
              <w:t>232 pbs</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ROAE</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8.4%</w:t>
            </w:r>
          </w:p>
        </w:tc>
        <w:tc>
          <w:tcPr>
            <w:tcW w:w="1173" w:type="dxa"/>
            <w:tcBorders/>
            <w:shd w:fill="FFFFFF" w:val="clear"/>
            <w:vAlign w:val="center"/>
          </w:tcPr>
          <w:p>
            <w:pPr>
              <w:pStyle w:val="TableContents"/>
              <w:bidi w:val="0"/>
              <w:spacing w:before="0" w:after="283"/>
              <w:jc w:val="right"/>
              <w:rPr>
                <w:sz w:val="16"/>
              </w:rPr>
            </w:pPr>
            <w:r>
              <w:rPr>
                <w:sz w:val="16"/>
              </w:rPr>
              <w:t>9.7%</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sz w:val="16"/>
              </w:rPr>
            </w:pPr>
            <w:r>
              <w:rPr>
                <w:sz w:val="16"/>
              </w:rPr>
              <w:t>10.1%</w:t>
            </w:r>
          </w:p>
        </w:tc>
        <w:tc>
          <w:tcPr>
            <w:tcW w:w="537" w:type="dxa"/>
            <w:tcBorders/>
            <w:shd w:fill="FFFFFF" w:val="clear"/>
            <w:vAlign w:val="center"/>
          </w:tcPr>
          <w:p>
            <w:pPr>
              <w:pStyle w:val="TableContents"/>
              <w:bidi w:val="0"/>
              <w:spacing w:before="0" w:after="283"/>
              <w:jc w:val="center"/>
              <w:rPr>
                <w:sz w:val="16"/>
              </w:rPr>
            </w:pPr>
            <w:r>
              <w:rPr>
                <w:sz w:val="16"/>
              </w:rPr>
              <w:t>43 pbs</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175 pbs</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18.0%</w:t>
            </w:r>
          </w:p>
        </w:tc>
        <w:tc>
          <w:tcPr>
            <w:tcW w:w="119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right"/>
              <w:rPr>
                <w:sz w:val="16"/>
              </w:rPr>
            </w:pPr>
            <w:r>
              <w:rPr>
                <w:sz w:val="16"/>
              </w:rPr>
              <w:t>19.8%</w:t>
            </w:r>
          </w:p>
        </w:tc>
        <w:tc>
          <w:tcPr>
            <w:tcW w:w="1116"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sz w:val="16"/>
              </w:rPr>
            </w:pPr>
            <w:r>
              <w:rPr>
                <w:sz w:val="16"/>
              </w:rPr>
              <w:t>171 pbs</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L/D ratio</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84.0%</w:t>
            </w:r>
          </w:p>
        </w:tc>
        <w:tc>
          <w:tcPr>
            <w:tcW w:w="1173" w:type="dxa"/>
            <w:tcBorders/>
            <w:shd w:fill="FFFFFF" w:val="clear"/>
            <w:vAlign w:val="center"/>
          </w:tcPr>
          <w:p>
            <w:pPr>
              <w:pStyle w:val="TableContents"/>
              <w:bidi w:val="0"/>
              <w:spacing w:before="0" w:after="283"/>
              <w:jc w:val="right"/>
              <w:rPr>
                <w:sz w:val="16"/>
              </w:rPr>
            </w:pPr>
            <w:r>
              <w:rPr>
                <w:sz w:val="16"/>
              </w:rPr>
              <w:t>86.4%</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sz w:val="16"/>
              </w:rPr>
            </w:pPr>
            <w:r>
              <w:rPr>
                <w:sz w:val="16"/>
              </w:rPr>
              <w:t>85.4%</w:t>
            </w:r>
          </w:p>
        </w:tc>
        <w:tc>
          <w:tcPr>
            <w:tcW w:w="537" w:type="dxa"/>
            <w:tcBorders/>
            <w:shd w:fill="FFFFFF" w:val="clear"/>
            <w:vAlign w:val="center"/>
          </w:tcPr>
          <w:p>
            <w:pPr>
              <w:pStyle w:val="TableContents"/>
              <w:bidi w:val="0"/>
              <w:spacing w:before="0" w:after="283"/>
              <w:jc w:val="center"/>
              <w:rPr>
                <w:sz w:val="16"/>
              </w:rPr>
            </w:pPr>
            <w:r>
              <w:rPr>
                <w:sz w:val="16"/>
              </w:rPr>
              <w:t>-97 pbs</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138 pbs</w:t>
            </w:r>
          </w:p>
        </w:tc>
        <w:tc>
          <w:tcPr>
            <w:tcW w:w="1173"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left"/>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IOL ratio</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2.07%</w:t>
            </w:r>
          </w:p>
        </w:tc>
        <w:tc>
          <w:tcPr>
            <w:tcW w:w="1173" w:type="dxa"/>
            <w:tcBorders/>
            <w:shd w:fill="FFFFFF" w:val="clear"/>
            <w:vAlign w:val="center"/>
          </w:tcPr>
          <w:p>
            <w:pPr>
              <w:pStyle w:val="TableContents"/>
              <w:bidi w:val="0"/>
              <w:spacing w:before="0" w:after="283"/>
              <w:jc w:val="right"/>
              <w:rPr>
                <w:sz w:val="16"/>
              </w:rPr>
            </w:pPr>
            <w:r>
              <w:rPr>
                <w:sz w:val="16"/>
              </w:rPr>
              <w:t>2.44%</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sz w:val="16"/>
              </w:rPr>
            </w:pPr>
            <w:r>
              <w:rPr>
                <w:sz w:val="16"/>
              </w:rPr>
              <w:t>2.67%</w:t>
            </w:r>
          </w:p>
        </w:tc>
        <w:tc>
          <w:tcPr>
            <w:tcW w:w="537" w:type="dxa"/>
            <w:tcBorders/>
            <w:shd w:fill="FFFFFF" w:val="clear"/>
            <w:vAlign w:val="center"/>
          </w:tcPr>
          <w:p>
            <w:pPr>
              <w:pStyle w:val="TableContents"/>
              <w:bidi w:val="0"/>
              <w:spacing w:before="0" w:after="283"/>
              <w:jc w:val="center"/>
              <w:rPr>
                <w:sz w:val="16"/>
              </w:rPr>
            </w:pPr>
            <w:r>
              <w:rPr>
                <w:sz w:val="16"/>
              </w:rPr>
              <w:t>23 pbs</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60 pbs</w:t>
            </w:r>
          </w:p>
        </w:tc>
        <w:tc>
          <w:tcPr>
            <w:tcW w:w="1173"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c>
          <w:tcPr>
            <w:tcW w:w="1116" w:type="dxa"/>
            <w:tcBorders/>
            <w:shd w:fill="FFFFFF" w:val="clear"/>
            <w:vAlign w:val="center"/>
          </w:tcPr>
          <w:p>
            <w:pPr>
              <w:pStyle w:val="TableContents"/>
              <w:bidi w:val="0"/>
              <w:spacing w:before="0" w:after="283"/>
              <w:jc w:val="center"/>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NPL ratio</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2.40%</w:t>
            </w:r>
          </w:p>
        </w:tc>
        <w:tc>
          <w:tcPr>
            <w:tcW w:w="1173" w:type="dxa"/>
            <w:tcBorders/>
            <w:shd w:fill="FFFFFF" w:val="clear"/>
            <w:vAlign w:val="center"/>
          </w:tcPr>
          <w:p>
            <w:pPr>
              <w:pStyle w:val="TableContents"/>
              <w:bidi w:val="0"/>
              <w:spacing w:before="0" w:after="283"/>
              <w:jc w:val="right"/>
              <w:rPr>
                <w:sz w:val="16"/>
              </w:rPr>
            </w:pPr>
            <w:r>
              <w:rPr>
                <w:sz w:val="16"/>
              </w:rPr>
              <w:t>2.71%</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sz w:val="16"/>
              </w:rPr>
            </w:pPr>
            <w:r>
              <w:rPr>
                <w:sz w:val="16"/>
              </w:rPr>
              <w:t>2.99%</w:t>
            </w:r>
          </w:p>
        </w:tc>
        <w:tc>
          <w:tcPr>
            <w:tcW w:w="537" w:type="dxa"/>
            <w:tcBorders/>
            <w:shd w:fill="FFFFFF" w:val="clear"/>
            <w:vAlign w:val="center"/>
          </w:tcPr>
          <w:p>
            <w:pPr>
              <w:pStyle w:val="TableContents"/>
              <w:bidi w:val="0"/>
              <w:spacing w:before="0" w:after="283"/>
              <w:jc w:val="center"/>
              <w:rPr>
                <w:sz w:val="16"/>
              </w:rPr>
            </w:pPr>
            <w:r>
              <w:rPr>
                <w:sz w:val="16"/>
              </w:rPr>
              <w:t>28 pbs</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59 pbs</w:t>
            </w:r>
          </w:p>
        </w:tc>
        <w:tc>
          <w:tcPr>
            <w:tcW w:w="1173"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c>
          <w:tcPr>
            <w:tcW w:w="1116" w:type="dxa"/>
            <w:tcBorders/>
            <w:shd w:fill="FFFFFF" w:val="clear"/>
            <w:vAlign w:val="center"/>
          </w:tcPr>
          <w:p>
            <w:pPr>
              <w:pStyle w:val="TableContents"/>
              <w:bidi w:val="0"/>
              <w:spacing w:before="0" w:after="283"/>
              <w:jc w:val="center"/>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Coverage of IOLs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216.5%</w:t>
            </w:r>
          </w:p>
        </w:tc>
        <w:tc>
          <w:tcPr>
            <w:tcW w:w="1173" w:type="dxa"/>
            <w:tcBorders/>
            <w:shd w:fill="FFFFFF" w:val="clear"/>
            <w:vAlign w:val="center"/>
          </w:tcPr>
          <w:p>
            <w:pPr>
              <w:pStyle w:val="TableContents"/>
              <w:bidi w:val="0"/>
              <w:spacing w:before="0" w:after="283"/>
              <w:jc w:val="right"/>
              <w:rPr>
                <w:sz w:val="16"/>
              </w:rPr>
            </w:pPr>
            <w:r>
              <w:rPr>
                <w:sz w:val="16"/>
              </w:rPr>
              <w:t>172.1%</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sz w:val="16"/>
              </w:rPr>
            </w:pPr>
            <w:r>
              <w:rPr>
                <w:sz w:val="16"/>
              </w:rPr>
              <w:t>149.5%</w:t>
            </w:r>
          </w:p>
        </w:tc>
        <w:tc>
          <w:tcPr>
            <w:tcW w:w="537" w:type="dxa"/>
            <w:tcBorders/>
            <w:shd w:fill="FFFFFF" w:val="clear"/>
            <w:vAlign w:val="center"/>
          </w:tcPr>
          <w:p>
            <w:pPr>
              <w:pStyle w:val="TableContents"/>
              <w:bidi w:val="0"/>
              <w:spacing w:before="0" w:after="283"/>
              <w:jc w:val="center"/>
              <w:rPr>
                <w:sz w:val="16"/>
              </w:rPr>
            </w:pPr>
            <w:r>
              <w:rPr>
                <w:sz w:val="16"/>
              </w:rPr>
              <w:t>-2258 pbs</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-6692 pbs</w:t>
            </w:r>
          </w:p>
        </w:tc>
        <w:tc>
          <w:tcPr>
            <w:tcW w:w="1173"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c>
          <w:tcPr>
            <w:tcW w:w="1116" w:type="dxa"/>
            <w:tcBorders/>
            <w:shd w:fill="FFFFFF" w:val="clear"/>
            <w:vAlign w:val="center"/>
          </w:tcPr>
          <w:p>
            <w:pPr>
              <w:pStyle w:val="TableContents"/>
              <w:bidi w:val="0"/>
              <w:spacing w:before="0" w:after="283"/>
              <w:jc w:val="center"/>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Coverage of NPLs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187.4%</w:t>
            </w:r>
          </w:p>
        </w:tc>
        <w:tc>
          <w:tcPr>
            <w:tcW w:w="1173" w:type="dxa"/>
            <w:tcBorders/>
            <w:shd w:fill="FFFFFF" w:val="clear"/>
            <w:vAlign w:val="center"/>
          </w:tcPr>
          <w:p>
            <w:pPr>
              <w:pStyle w:val="TableContents"/>
              <w:bidi w:val="0"/>
              <w:spacing w:before="0" w:after="283"/>
              <w:jc w:val="right"/>
              <w:rPr>
                <w:sz w:val="16"/>
              </w:rPr>
            </w:pPr>
            <w:r>
              <w:rPr>
                <w:sz w:val="16"/>
              </w:rPr>
              <w:t>154.6%</w:t>
            </w:r>
          </w:p>
        </w:tc>
        <w:tc>
          <w:tcPr>
            <w:tcW w:w="1173" w:type="dxa"/>
            <w:tcBorders>
              <w:right w:val="single" w:sz="8" w:space="0" w:color="000000"/>
            </w:tcBorders>
            <w:shd w:fill="FFFFFF" w:val="clear"/>
            <w:tcMar>
              <w:right w:w="28" w:type="dxa"/>
            </w:tcMar>
            <w:vAlign w:val="center"/>
          </w:tcPr>
          <w:p>
            <w:pPr>
              <w:pStyle w:val="TableContents"/>
              <w:bidi w:val="0"/>
              <w:spacing w:before="0" w:after="283"/>
              <w:jc w:val="right"/>
              <w:rPr>
                <w:sz w:val="16"/>
              </w:rPr>
            </w:pPr>
            <w:r>
              <w:rPr>
                <w:sz w:val="16"/>
              </w:rPr>
              <w:t>133.5%</w:t>
            </w:r>
          </w:p>
        </w:tc>
        <w:tc>
          <w:tcPr>
            <w:tcW w:w="537" w:type="dxa"/>
            <w:tcBorders/>
            <w:shd w:fill="FFFFFF" w:val="clear"/>
            <w:vAlign w:val="center"/>
          </w:tcPr>
          <w:p>
            <w:pPr>
              <w:pStyle w:val="TableContents"/>
              <w:bidi w:val="0"/>
              <w:spacing w:before="0" w:after="283"/>
              <w:jc w:val="center"/>
              <w:rPr>
                <w:sz w:val="16"/>
              </w:rPr>
            </w:pPr>
            <w:r>
              <w:rPr>
                <w:sz w:val="16"/>
              </w:rPr>
              <w:t>-2106 pbs</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-5382 pbs</w:t>
            </w:r>
          </w:p>
        </w:tc>
        <w:tc>
          <w:tcPr>
            <w:tcW w:w="1173"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c>
          <w:tcPr>
            <w:tcW w:w="1116" w:type="dxa"/>
            <w:tcBorders/>
            <w:shd w:fill="FFFFFF" w:val="clear"/>
            <w:vAlign w:val="center"/>
          </w:tcPr>
          <w:p>
            <w:pPr>
              <w:pStyle w:val="TableContents"/>
              <w:bidi w:val="0"/>
              <w:spacing w:before="0" w:after="283"/>
              <w:jc w:val="center"/>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Branches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45</w:t>
            </w:r>
          </w:p>
        </w:tc>
        <w:tc>
          <w:tcPr>
            <w:tcW w:w="1173" w:type="dxa"/>
            <w:tcBorders/>
            <w:shd w:fill="FFFFFF" w:val="clear"/>
            <w:vAlign w:val="center"/>
          </w:tcPr>
          <w:p>
            <w:pPr>
              <w:pStyle w:val="TableContents"/>
              <w:bidi w:val="0"/>
              <w:spacing w:before="0" w:after="283"/>
              <w:jc w:val="right"/>
              <w:rPr>
                <w:sz w:val="16"/>
              </w:rPr>
            </w:pPr>
            <w:r>
              <w:rPr>
                <w:sz w:val="16"/>
              </w:rPr>
              <w:t>46</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46</w:t>
            </w:r>
          </w:p>
        </w:tc>
        <w:tc>
          <w:tcPr>
            <w:tcW w:w="537" w:type="dxa"/>
            <w:tcBorders/>
            <w:shd w:fill="FFFFFF" w:val="clear"/>
            <w:vAlign w:val="center"/>
          </w:tcPr>
          <w:p>
            <w:pPr>
              <w:pStyle w:val="TableContents"/>
              <w:bidi w:val="0"/>
              <w:spacing w:before="0" w:after="283"/>
              <w:jc w:val="center"/>
              <w:rPr>
                <w:sz w:val="16"/>
              </w:rPr>
            </w:pPr>
            <w:r>
              <w:rPr>
                <w:sz w:val="16"/>
              </w:rPr>
              <w:t>0</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w:t>
            </w:r>
          </w:p>
        </w:tc>
        <w:tc>
          <w:tcPr>
            <w:tcW w:w="1173"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c>
          <w:tcPr>
            <w:tcW w:w="1116" w:type="dxa"/>
            <w:tcBorders/>
            <w:shd w:fill="FFFFFF" w:val="clear"/>
            <w:vAlign w:val="center"/>
          </w:tcPr>
          <w:p>
            <w:pPr>
              <w:pStyle w:val="TableContents"/>
              <w:bidi w:val="0"/>
              <w:spacing w:before="0" w:after="283"/>
              <w:jc w:val="center"/>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Agentes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1090</w:t>
            </w:r>
          </w:p>
        </w:tc>
        <w:tc>
          <w:tcPr>
            <w:tcW w:w="1173" w:type="dxa"/>
            <w:tcBorders/>
            <w:shd w:fill="FFFFFF" w:val="clear"/>
            <w:vAlign w:val="center"/>
          </w:tcPr>
          <w:p>
            <w:pPr>
              <w:pStyle w:val="TableContents"/>
              <w:bidi w:val="0"/>
              <w:spacing w:before="0" w:after="283"/>
              <w:jc w:val="right"/>
              <w:rPr>
                <w:sz w:val="16"/>
              </w:rPr>
            </w:pPr>
            <w:r>
              <w:rPr>
                <w:sz w:val="16"/>
              </w:rPr>
              <w:t>1355</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1355</w:t>
            </w:r>
          </w:p>
        </w:tc>
        <w:tc>
          <w:tcPr>
            <w:tcW w:w="537" w:type="dxa"/>
            <w:tcBorders/>
            <w:shd w:fill="FFFFFF" w:val="clear"/>
            <w:vAlign w:val="center"/>
          </w:tcPr>
          <w:p>
            <w:pPr>
              <w:pStyle w:val="TableContents"/>
              <w:bidi w:val="0"/>
              <w:spacing w:before="0" w:after="283"/>
              <w:jc w:val="center"/>
              <w:rPr>
                <w:sz w:val="16"/>
              </w:rPr>
            </w:pPr>
            <w:r>
              <w:rPr>
                <w:sz w:val="16"/>
              </w:rPr>
              <w:t>0</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265</w:t>
            </w:r>
          </w:p>
        </w:tc>
        <w:tc>
          <w:tcPr>
            <w:tcW w:w="1173"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c>
          <w:tcPr>
            <w:tcW w:w="1116" w:type="dxa"/>
            <w:tcBorders/>
            <w:shd w:fill="FFFFFF" w:val="clear"/>
            <w:vAlign w:val="center"/>
          </w:tcPr>
          <w:p>
            <w:pPr>
              <w:pStyle w:val="TableContents"/>
              <w:bidi w:val="0"/>
              <w:spacing w:before="0" w:after="283"/>
              <w:jc w:val="center"/>
              <w:rPr/>
            </w:pPr>
            <w:r>
              <w:rPr/>
              <w:t> </w:t>
            </w:r>
          </w:p>
        </w:tc>
      </w:tr>
      <w:tr>
        <w:trPr/>
        <w:tc>
          <w:tcPr>
            <w:tcW w:w="2133"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ATMs</w:t>
            </w:r>
          </w:p>
        </w:tc>
        <w:tc>
          <w:tcPr>
            <w:tcW w:w="1173"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312</w:t>
            </w:r>
          </w:p>
        </w:tc>
        <w:tc>
          <w:tcPr>
            <w:tcW w:w="1173" w:type="dxa"/>
            <w:tcBorders/>
            <w:shd w:fill="FFFFFF" w:val="clear"/>
            <w:vAlign w:val="center"/>
          </w:tcPr>
          <w:p>
            <w:pPr>
              <w:pStyle w:val="TableContents"/>
              <w:bidi w:val="0"/>
              <w:spacing w:before="0" w:after="283"/>
              <w:jc w:val="right"/>
              <w:rPr>
                <w:sz w:val="16"/>
              </w:rPr>
            </w:pPr>
            <w:r>
              <w:rPr>
                <w:sz w:val="16"/>
              </w:rPr>
              <w:t>313</w:t>
            </w:r>
          </w:p>
        </w:tc>
        <w:tc>
          <w:tcPr>
            <w:tcW w:w="1173"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314</w:t>
            </w:r>
          </w:p>
        </w:tc>
        <w:tc>
          <w:tcPr>
            <w:tcW w:w="537" w:type="dxa"/>
            <w:tcBorders/>
            <w:shd w:fill="FFFFFF" w:val="clear"/>
            <w:vAlign w:val="center"/>
          </w:tcPr>
          <w:p>
            <w:pPr>
              <w:pStyle w:val="TableContents"/>
              <w:bidi w:val="0"/>
              <w:spacing w:before="0" w:after="283"/>
              <w:jc w:val="center"/>
              <w:rPr>
                <w:sz w:val="16"/>
              </w:rPr>
            </w:pPr>
            <w:r>
              <w:rPr>
                <w:sz w:val="16"/>
              </w:rPr>
              <w:t>1</w:t>
            </w:r>
          </w:p>
        </w:tc>
        <w:tc>
          <w:tcPr>
            <w:tcW w:w="537"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w:t>
            </w:r>
          </w:p>
        </w:tc>
        <w:tc>
          <w:tcPr>
            <w:tcW w:w="1173"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c>
          <w:tcPr>
            <w:tcW w:w="1116" w:type="dxa"/>
            <w:tcBorders/>
            <w:shd w:fill="FFFFFF" w:val="clear"/>
            <w:vAlign w:val="center"/>
          </w:tcPr>
          <w:p>
            <w:pPr>
              <w:pStyle w:val="TableContents"/>
              <w:bidi w:val="0"/>
              <w:spacing w:before="0" w:after="283"/>
              <w:jc w:val="center"/>
              <w:rPr/>
            </w:pPr>
            <w:r>
              <w:rPr/>
              <w:t> </w:t>
            </w:r>
          </w:p>
        </w:tc>
      </w:tr>
      <w:tr>
        <w:trPr/>
        <w:tc>
          <w:tcPr>
            <w:tcW w:w="213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sz w:val="16"/>
              </w:rPr>
            </w:pPr>
            <w:r>
              <w:rPr>
                <w:sz w:val="16"/>
              </w:rPr>
              <w:t>Employees</w:t>
            </w:r>
          </w:p>
        </w:tc>
        <w:tc>
          <w:tcPr>
            <w:tcW w:w="1173"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right"/>
              <w:rPr>
                <w:sz w:val="16"/>
              </w:rPr>
            </w:pPr>
            <w:r>
              <w:rPr>
                <w:sz w:val="16"/>
              </w:rPr>
              <w:t>1,604</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1,690</w:t>
            </w:r>
          </w:p>
        </w:tc>
        <w:tc>
          <w:tcPr>
            <w:tcW w:w="1173" w:type="dxa"/>
            <w:tcBorders>
              <w:bottom w:val="single" w:sz="8" w:space="0" w:color="000000"/>
              <w:right w:val="single" w:sz="8" w:space="0" w:color="000000"/>
            </w:tcBorders>
            <w:shd w:fill="FFFFFF" w:val="clear"/>
            <w:tcMar>
              <w:bottom w:w="28" w:type="dxa"/>
              <w:right w:w="60" w:type="dxa"/>
            </w:tcMar>
            <w:vAlign w:val="center"/>
          </w:tcPr>
          <w:p>
            <w:pPr>
              <w:pStyle w:val="TableContents"/>
              <w:bidi w:val="0"/>
              <w:spacing w:before="0" w:after="283"/>
              <w:jc w:val="right"/>
              <w:rPr>
                <w:sz w:val="16"/>
              </w:rPr>
            </w:pPr>
            <w:r>
              <w:rPr>
                <w:sz w:val="16"/>
              </w:rPr>
              <w:t>1,729</w:t>
            </w:r>
          </w:p>
        </w:tc>
        <w:tc>
          <w:tcPr>
            <w:tcW w:w="537" w:type="dxa"/>
            <w:tcBorders>
              <w:bottom w:val="single" w:sz="8" w:space="0" w:color="000000"/>
            </w:tcBorders>
            <w:shd w:fill="FFFFFF" w:val="clear"/>
            <w:tcMar>
              <w:bottom w:w="28" w:type="dxa"/>
            </w:tcMar>
            <w:vAlign w:val="center"/>
          </w:tcPr>
          <w:p>
            <w:pPr>
              <w:pStyle w:val="TableContents"/>
              <w:bidi w:val="0"/>
              <w:spacing w:before="0" w:after="283"/>
              <w:jc w:val="center"/>
              <w:rPr>
                <w:sz w:val="16"/>
              </w:rPr>
            </w:pPr>
            <w:r>
              <w:rPr>
                <w:sz w:val="16"/>
              </w:rPr>
              <w:t>39</w:t>
            </w:r>
          </w:p>
        </w:tc>
        <w:tc>
          <w:tcPr>
            <w:tcW w:w="537"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sz w:val="16"/>
              </w:rPr>
            </w:pPr>
            <w:r>
              <w:rPr>
                <w:sz w:val="16"/>
              </w:rPr>
              <w:t>125</w:t>
            </w:r>
          </w:p>
        </w:tc>
        <w:tc>
          <w:tcPr>
            <w:tcW w:w="1173" w:type="dxa"/>
            <w:tcBorders/>
            <w:shd w:fill="FFFFFF" w:val="clear"/>
            <w:vAlign w:val="center"/>
          </w:tcPr>
          <w:p>
            <w:pPr>
              <w:pStyle w:val="TableContents"/>
              <w:bidi w:val="0"/>
              <w:spacing w:before="0" w:after="283"/>
              <w:jc w:val="center"/>
              <w:rPr/>
            </w:pPr>
            <w:r>
              <w:rPr/>
              <w:t> </w:t>
            </w:r>
          </w:p>
        </w:tc>
        <w:tc>
          <w:tcPr>
            <w:tcW w:w="1190" w:type="dxa"/>
            <w:tcBorders/>
            <w:shd w:fill="FFFFFF" w:val="clear"/>
            <w:vAlign w:val="center"/>
          </w:tcPr>
          <w:p>
            <w:pPr>
              <w:pStyle w:val="TableContents"/>
              <w:bidi w:val="0"/>
              <w:spacing w:before="0" w:after="283"/>
              <w:jc w:val="center"/>
              <w:rPr/>
            </w:pPr>
            <w:r>
              <w:rPr/>
              <w:t> </w:t>
            </w:r>
          </w:p>
        </w:tc>
        <w:tc>
          <w:tcPr>
            <w:tcW w:w="1116"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70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9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37" descr=""/>
                          <pic:cNvPicPr>
                            <a:picLocks noChangeAspect="1" noChangeArrowheads="1"/>
                          </pic:cNvPicPr>
                        </pic:nvPicPr>
                        <pic:blipFill>
                          <a:blip r:embed="rId156"/>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12.6.6. Mibanco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Mibanco</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 thousands, IFRS)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28" w:type="dxa"/>
        </w:tblCellMar>
      </w:tblPr>
      <w:tblGrid>
        <w:gridCol w:w="3480"/>
        <w:gridCol w:w="909"/>
        <w:gridCol w:w="909"/>
        <w:gridCol w:w="909"/>
        <w:gridCol w:w="625"/>
        <w:gridCol w:w="625"/>
        <w:gridCol w:w="800"/>
        <w:gridCol w:w="800"/>
        <w:gridCol w:w="1148"/>
      </w:tblGrid>
      <w:tr>
        <w:trPr/>
        <w:tc>
          <w:tcPr>
            <w:tcW w:w="3480"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color w:val="FFFFFF"/>
              </w:rPr>
            </w:pPr>
            <w:r>
              <w:rPr>
                <w:color w:val="FFFFFF"/>
              </w:rPr>
              <w:t> </w:t>
            </w:r>
          </w:p>
        </w:tc>
        <w:tc>
          <w:tcPr>
            <w:tcW w:w="2727" w:type="dxa"/>
            <w:gridSpan w:val="3"/>
            <w:tcBorders>
              <w:top w:val="single" w:sz="8" w:space="0" w:color="000000"/>
            </w:tcBorders>
            <w:shd w:fill="2AD2C9" w:val="clear"/>
            <w:tcMar>
              <w:left w:w="0" w:type="dxa"/>
              <w:right w:w="0" w:type="dxa"/>
            </w:tcMar>
            <w:vAlign w:val="center"/>
          </w:tcPr>
          <w:p>
            <w:pPr>
              <w:pStyle w:val="TableContents"/>
              <w:bidi w:val="0"/>
              <w:spacing w:before="0" w:after="283"/>
              <w:jc w:val="center"/>
              <w:rPr>
                <w:b/>
                <w:color w:val="FFFFFF"/>
                <w:sz w:val="16"/>
              </w:rPr>
            </w:pPr>
            <w:r>
              <w:rPr>
                <w:b/>
                <w:color w:val="FFFFFF"/>
                <w:sz w:val="16"/>
              </w:rPr>
              <w:t>As of</w:t>
            </w:r>
          </w:p>
        </w:tc>
        <w:tc>
          <w:tcPr>
            <w:tcW w:w="1250" w:type="dxa"/>
            <w:gridSpan w:val="2"/>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center"/>
              <w:rPr>
                <w:b/>
                <w:color w:val="FFFFFF"/>
                <w:sz w:val="16"/>
              </w:rPr>
            </w:pPr>
            <w:r>
              <w:rPr>
                <w:b/>
                <w:color w:val="FFFFFF"/>
                <w:sz w:val="16"/>
              </w:rPr>
              <w:t>% change</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color w:val="FFFFFF"/>
              </w:rPr>
            </w:pPr>
            <w:r>
              <w:rPr>
                <w:color w:val="FFFFFF"/>
              </w:rPr>
              <w:t> </w:t>
            </w:r>
          </w:p>
        </w:tc>
        <w:tc>
          <w:tcPr>
            <w:tcW w:w="909"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Jun 22</w:t>
            </w:r>
          </w:p>
        </w:tc>
        <w:tc>
          <w:tcPr>
            <w:tcW w:w="909"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Mar 23</w:t>
            </w:r>
          </w:p>
        </w:tc>
        <w:tc>
          <w:tcPr>
            <w:tcW w:w="909"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Jun 23</w:t>
            </w:r>
          </w:p>
        </w:tc>
        <w:tc>
          <w:tcPr>
            <w:tcW w:w="625"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center"/>
              <w:rPr>
                <w:b/>
                <w:color w:val="FFFFFF"/>
                <w:sz w:val="16"/>
              </w:rPr>
            </w:pPr>
            <w:r>
              <w:rPr>
                <w:b/>
                <w:color w:val="FFFFFF"/>
                <w:sz w:val="16"/>
              </w:rPr>
              <w:t>QoQ</w:t>
            </w:r>
          </w:p>
        </w:tc>
        <w:tc>
          <w:tcPr>
            <w:tcW w:w="62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YoY</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ASSETS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p>
        </w:tc>
        <w:tc>
          <w:tcPr>
            <w:tcW w:w="909" w:type="dxa"/>
            <w:tcBorders/>
            <w:tcMar>
              <w:top w:w="0" w:type="dxa"/>
              <w:left w:w="0" w:type="dxa"/>
              <w:right w:w="0" w:type="dxa"/>
            </w:tcMar>
            <w:vAlign w:val="center"/>
          </w:tcPr>
          <w:p>
            <w:pPr>
              <w:pStyle w:val="TableContents"/>
              <w:bidi w:val="0"/>
              <w:spacing w:before="0" w:after="283"/>
              <w:jc w:val="right"/>
              <w:rPr/>
            </w:pPr>
            <w:r>
              <w:rPr/>
              <w:t> </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62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Cash and due from banks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1,242,267</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1,733,556</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1,605,462</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-6.3%</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23.8%</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Investments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1,597,228</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1,412,863</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1,574,763</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-3.2%</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-19.1%</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Total loans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b/>
                <w:sz w:val="16"/>
              </w:rPr>
              <w:t>14,434,898</w:t>
            </w:r>
          </w:p>
        </w:tc>
        <w:tc>
          <w:tcPr>
            <w:tcW w:w="909" w:type="dxa"/>
            <w:tcBorders/>
            <w:tcMar>
              <w:top w:w="0" w:type="dxa"/>
              <w:left w:w="0" w:type="dxa"/>
              <w:right w:w="0" w:type="dxa"/>
            </w:tcMar>
            <w:vAlign w:val="center"/>
          </w:tcPr>
          <w:p>
            <w:pPr>
              <w:pStyle w:val="TableContents"/>
              <w:bidi w:val="0"/>
              <w:spacing w:before="0" w:after="283"/>
              <w:jc w:val="right"/>
              <w:rPr/>
            </w:pPr>
            <w:r>
              <w:rPr/>
              <w:t> </w:t>
            </w:r>
            <w:r>
              <w:rPr>
                <w:b/>
                <w:sz w:val="16"/>
              </w:rPr>
              <w:t>14,006,154</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b/>
                <w:sz w:val="16"/>
              </w:rPr>
              <w:t>14,198,690</w:t>
            </w:r>
          </w:p>
        </w:tc>
        <w:tc>
          <w:tcPr>
            <w:tcW w:w="62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-0.6%</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0.2%</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left w:w="200" w:type="dxa"/>
              <w:right w:w="0" w:type="dxa"/>
            </w:tcMar>
            <w:vAlign w:val="center"/>
          </w:tcPr>
          <w:p>
            <w:pPr>
              <w:pStyle w:val="TableContents"/>
              <w:bidi w:val="0"/>
              <w:spacing w:before="0" w:after="283"/>
              <w:jc w:val="left"/>
              <w:rPr>
                <w:sz w:val="16"/>
              </w:rPr>
            </w:pPr>
            <w:r>
              <w:rPr>
                <w:sz w:val="16"/>
              </w:rPr>
              <w:t>Current</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13,379,071</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13,204,563</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13,220,657</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-0.2%</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1.8%</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left w:w="200" w:type="dxa"/>
              <w:right w:w="0" w:type="dxa"/>
            </w:tcMar>
            <w:vAlign w:val="center"/>
          </w:tcPr>
          <w:p>
            <w:pPr>
              <w:pStyle w:val="TableContents"/>
              <w:bidi w:val="0"/>
              <w:spacing w:before="0" w:after="283"/>
              <w:jc w:val="left"/>
              <w:rPr>
                <w:sz w:val="16"/>
              </w:rPr>
            </w:pPr>
            <w:r>
              <w:rPr>
                <w:sz w:val="16"/>
              </w:rPr>
              <w:t>Internal overdue loans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979,685</w:t>
            </w:r>
          </w:p>
        </w:tc>
        <w:tc>
          <w:tcPr>
            <w:tcW w:w="909" w:type="dxa"/>
            <w:tcBorders/>
            <w:tcMar>
              <w:top w:w="0" w:type="dxa"/>
              <w:left w:w="0" w:type="dxa"/>
              <w:right w:w="0" w:type="dxa"/>
            </w:tcMar>
            <w:vAlign w:val="center"/>
          </w:tcPr>
          <w:p>
            <w:pPr>
              <w:pStyle w:val="TableContents"/>
              <w:bidi w:val="0"/>
              <w:spacing w:before="0" w:after="283"/>
              <w:jc w:val="right"/>
              <w:rPr/>
            </w:pPr>
            <w:r>
              <w:rPr/>
              <w:t> </w:t>
            </w:r>
            <w:r>
              <w:rPr>
                <w:sz w:val="16"/>
              </w:rPr>
              <w:t>696,787</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887,987</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-10.2%</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-26.7%</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left w:w="200" w:type="dxa"/>
              <w:right w:w="0" w:type="dxa"/>
            </w:tcMar>
            <w:vAlign w:val="center"/>
          </w:tcPr>
          <w:p>
            <w:pPr>
              <w:pStyle w:val="TableContents"/>
              <w:bidi w:val="0"/>
              <w:spacing w:before="0" w:after="283"/>
              <w:jc w:val="left"/>
              <w:rPr>
                <w:sz w:val="16"/>
              </w:rPr>
            </w:pPr>
            <w:r>
              <w:rPr>
                <w:sz w:val="16"/>
              </w:rPr>
              <w:t>Refinanced</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76,142</w:t>
            </w:r>
          </w:p>
        </w:tc>
        <w:tc>
          <w:tcPr>
            <w:tcW w:w="909" w:type="dxa"/>
            <w:tcBorders/>
            <w:tcMar>
              <w:top w:w="0" w:type="dxa"/>
              <w:left w:w="0" w:type="dxa"/>
              <w:right w:w="0" w:type="dxa"/>
            </w:tcMar>
            <w:vAlign w:val="center"/>
          </w:tcPr>
          <w:p>
            <w:pPr>
              <w:pStyle w:val="TableContents"/>
              <w:bidi w:val="0"/>
              <w:spacing w:before="0" w:after="283"/>
              <w:jc w:val="right"/>
              <w:rPr/>
            </w:pPr>
            <w:r>
              <w:rPr/>
              <w:t> </w:t>
            </w:r>
            <w:r>
              <w:rPr>
                <w:sz w:val="16"/>
              </w:rPr>
              <w:t>104,805</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90,046</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24.0%</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56.3%</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left w:w="200" w:type="dxa"/>
              <w:right w:w="0" w:type="dxa"/>
            </w:tcMar>
            <w:vAlign w:val="center"/>
          </w:tcPr>
          <w:p>
            <w:pPr>
              <w:pStyle w:val="TableContents"/>
              <w:bidi w:val="0"/>
              <w:spacing w:before="0" w:after="283"/>
              <w:jc w:val="left"/>
              <w:rPr>
                <w:sz w:val="16"/>
              </w:rPr>
            </w:pPr>
            <w:r>
              <w:rPr>
                <w:sz w:val="16"/>
              </w:rPr>
              <w:t>Allowance for loan losses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(1,168,604)</w:t>
            </w:r>
          </w:p>
        </w:tc>
        <w:tc>
          <w:tcPr>
            <w:tcW w:w="909" w:type="dxa"/>
            <w:tcBorders/>
            <w:tcMar>
              <w:top w:w="0" w:type="dxa"/>
              <w:left w:w="0" w:type="dxa"/>
              <w:right w:w="0" w:type="dxa"/>
            </w:tcMar>
            <w:vAlign w:val="center"/>
          </w:tcPr>
          <w:p>
            <w:pPr>
              <w:pStyle w:val="TableContents"/>
              <w:bidi w:val="0"/>
              <w:spacing w:before="0" w:after="283"/>
              <w:jc w:val="right"/>
              <w:rPr/>
            </w:pPr>
            <w:r>
              <w:rPr/>
              <w:t> </w:t>
            </w:r>
            <w:r>
              <w:rPr>
                <w:sz w:val="16"/>
              </w:rPr>
              <w:t>(1,040,487)</w:t>
            </w:r>
          </w:p>
        </w:tc>
        <w:tc>
          <w:tcPr>
            <w:tcW w:w="909"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6"/>
              </w:rPr>
              <w:t>(1,090,404)</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4.2%</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-9.2%</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Net loans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b/>
                <w:sz w:val="16"/>
              </w:rPr>
              <w:t>13,266,294</w:t>
            </w:r>
          </w:p>
        </w:tc>
        <w:tc>
          <w:tcPr>
            <w:tcW w:w="909" w:type="dxa"/>
            <w:tcBorders/>
            <w:tcMar>
              <w:top w:w="0" w:type="dxa"/>
              <w:left w:w="0" w:type="dxa"/>
              <w:right w:w="0" w:type="dxa"/>
            </w:tcMar>
            <w:vAlign w:val="center"/>
          </w:tcPr>
          <w:p>
            <w:pPr>
              <w:pStyle w:val="TableContents"/>
              <w:bidi w:val="0"/>
              <w:spacing w:before="0" w:after="283"/>
              <w:jc w:val="right"/>
              <w:rPr/>
            </w:pPr>
            <w:r>
              <w:rPr/>
              <w:t> </w:t>
            </w:r>
            <w:r>
              <w:rPr>
                <w:b/>
                <w:sz w:val="16"/>
              </w:rPr>
              <w:t>12,965,667</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b/>
                <w:sz w:val="16"/>
              </w:rPr>
              <w:t>13,108,286</w:t>
            </w:r>
          </w:p>
        </w:tc>
        <w:tc>
          <w:tcPr>
            <w:tcW w:w="62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-1.0%</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1.0%</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Property, plant and equipment, net</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136,399</w:t>
            </w:r>
          </w:p>
        </w:tc>
        <w:tc>
          <w:tcPr>
            <w:tcW w:w="909" w:type="dxa"/>
            <w:tcBorders/>
            <w:tcMar>
              <w:top w:w="0" w:type="dxa"/>
              <w:left w:w="0" w:type="dxa"/>
              <w:right w:w="0" w:type="dxa"/>
            </w:tcMar>
            <w:vAlign w:val="center"/>
          </w:tcPr>
          <w:p>
            <w:pPr>
              <w:pStyle w:val="TableContents"/>
              <w:bidi w:val="0"/>
              <w:spacing w:before="0" w:after="283"/>
              <w:jc w:val="right"/>
              <w:rPr/>
            </w:pPr>
            <w:r>
              <w:rPr/>
              <w:t> </w:t>
            </w:r>
            <w:r>
              <w:rPr>
                <w:sz w:val="16"/>
              </w:rPr>
              <w:t>131,164</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130,977</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-1.9%</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-6.2%</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Other assets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823,401</w:t>
            </w:r>
          </w:p>
        </w:tc>
        <w:tc>
          <w:tcPr>
            <w:tcW w:w="909" w:type="dxa"/>
            <w:tcBorders/>
            <w:tcMar>
              <w:top w:w="0" w:type="dxa"/>
              <w:left w:w="0" w:type="dxa"/>
              <w:right w:w="0" w:type="dxa"/>
            </w:tcMar>
            <w:vAlign w:val="center"/>
          </w:tcPr>
          <w:p>
            <w:pPr>
              <w:pStyle w:val="TableContents"/>
              <w:bidi w:val="0"/>
              <w:spacing w:before="0" w:after="283"/>
              <w:jc w:val="right"/>
              <w:rPr/>
            </w:pPr>
            <w:r>
              <w:rPr/>
              <w:t> </w:t>
            </w:r>
            <w:r>
              <w:rPr>
                <w:sz w:val="16"/>
              </w:rPr>
              <w:t>753,989</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724,569</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9.1%</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-11.8%</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center"/>
              <w:rPr>
                <w:b/>
                <w:sz w:val="16"/>
              </w:rPr>
            </w:pPr>
            <w:r>
              <w:rPr>
                <w:b/>
                <w:sz w:val="16"/>
              </w:rPr>
              <w:t>Total assets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b/>
                <w:sz w:val="16"/>
              </w:rPr>
              <w:t>17,065,588</w:t>
            </w:r>
          </w:p>
        </w:tc>
        <w:tc>
          <w:tcPr>
            <w:tcW w:w="909" w:type="dxa"/>
            <w:tcBorders/>
            <w:tcMar>
              <w:top w:w="0" w:type="dxa"/>
              <w:left w:w="0" w:type="dxa"/>
              <w:right w:w="0" w:type="dxa"/>
            </w:tcMar>
            <w:vAlign w:val="center"/>
          </w:tcPr>
          <w:p>
            <w:pPr>
              <w:pStyle w:val="TableContents"/>
              <w:bidi w:val="0"/>
              <w:spacing w:before="0" w:after="283"/>
              <w:jc w:val="right"/>
              <w:rPr/>
            </w:pPr>
            <w:r>
              <w:rPr/>
              <w:t> </w:t>
            </w:r>
            <w:r>
              <w:rPr>
                <w:b/>
                <w:sz w:val="16"/>
              </w:rPr>
              <w:t>16,997,238</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b/>
                <w:sz w:val="16"/>
              </w:rPr>
              <w:t>17,144,058</w:t>
            </w:r>
          </w:p>
        </w:tc>
        <w:tc>
          <w:tcPr>
            <w:tcW w:w="62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-1.3%</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0.1%</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center"/>
              <w:rPr/>
            </w:pPr>
            <w:r>
              <w:rPr/>
              <w:t> </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p>
        </w:tc>
        <w:tc>
          <w:tcPr>
            <w:tcW w:w="909" w:type="dxa"/>
            <w:tcBorders/>
            <w:tcMar>
              <w:top w:w="0" w:type="dxa"/>
              <w:left w:w="0" w:type="dxa"/>
              <w:right w:w="0" w:type="dxa"/>
            </w:tcMar>
            <w:vAlign w:val="center"/>
          </w:tcPr>
          <w:p>
            <w:pPr>
              <w:pStyle w:val="TableContents"/>
              <w:bidi w:val="0"/>
              <w:spacing w:before="0" w:after="283"/>
              <w:jc w:val="right"/>
              <w:rPr/>
            </w:pPr>
            <w:r>
              <w:rPr/>
              <w:t> </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62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LIABILITIES AND NET SHAREHOLDERS’ EQUITY</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p>
        </w:tc>
        <w:tc>
          <w:tcPr>
            <w:tcW w:w="909" w:type="dxa"/>
            <w:tcBorders/>
            <w:tcMar>
              <w:top w:w="0" w:type="dxa"/>
              <w:left w:w="0" w:type="dxa"/>
              <w:right w:w="0" w:type="dxa"/>
            </w:tcMar>
            <w:vAlign w:val="center"/>
          </w:tcPr>
          <w:p>
            <w:pPr>
              <w:pStyle w:val="TableContents"/>
              <w:bidi w:val="0"/>
              <w:spacing w:before="0" w:after="283"/>
              <w:jc w:val="right"/>
              <w:rPr/>
            </w:pPr>
            <w:r>
              <w:rPr/>
              <w:t> </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62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Deposits and obligations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8,956,909</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9,577,206</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9,858,344</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2.8%</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9.0%</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Due to banks and correspondents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3,014,403</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2,759,826</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2,696,599</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-10.2%</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-6.5%</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Bonds and subordinated debt</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259,436</w:t>
            </w:r>
          </w:p>
        </w:tc>
        <w:tc>
          <w:tcPr>
            <w:tcW w:w="909" w:type="dxa"/>
            <w:tcBorders/>
            <w:tcMar>
              <w:top w:w="0" w:type="dxa"/>
              <w:left w:w="0" w:type="dxa"/>
              <w:right w:w="0" w:type="dxa"/>
            </w:tcMar>
            <w:vAlign w:val="center"/>
          </w:tcPr>
          <w:p>
            <w:pPr>
              <w:pStyle w:val="TableContents"/>
              <w:bidi w:val="0"/>
              <w:spacing w:before="0" w:after="283"/>
              <w:jc w:val="right"/>
              <w:rPr/>
            </w:pPr>
            <w:r>
              <w:rPr/>
              <w:t> </w:t>
            </w:r>
            <w:r>
              <w:rPr>
                <w:sz w:val="16"/>
              </w:rPr>
              <w:t>576,360</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651,641</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4.3%</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124.5%</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Other liabilities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2,247,632</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1,282,571</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1,059,119</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-14.6%</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-49.2%</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center"/>
              <w:rPr>
                <w:b/>
                <w:sz w:val="16"/>
              </w:rPr>
            </w:pPr>
            <w:r>
              <w:rPr>
                <w:b/>
                <w:sz w:val="16"/>
              </w:rPr>
              <w:t>Total liabilities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b/>
                <w:sz w:val="16"/>
              </w:rPr>
              <w:t>14,478,379</w:t>
            </w:r>
          </w:p>
        </w:tc>
        <w:tc>
          <w:tcPr>
            <w:tcW w:w="909" w:type="dxa"/>
            <w:tcBorders/>
            <w:tcMar>
              <w:top w:w="0" w:type="dxa"/>
              <w:left w:w="0" w:type="dxa"/>
              <w:right w:w="0" w:type="dxa"/>
            </w:tcMar>
            <w:vAlign w:val="center"/>
          </w:tcPr>
          <w:p>
            <w:pPr>
              <w:pStyle w:val="TableContents"/>
              <w:bidi w:val="0"/>
              <w:spacing w:before="0" w:after="283"/>
              <w:jc w:val="right"/>
              <w:rPr/>
            </w:pPr>
            <w:r>
              <w:rPr/>
              <w:t> </w:t>
            </w:r>
            <w:r>
              <w:rPr>
                <w:b/>
                <w:sz w:val="16"/>
              </w:rPr>
              <w:t>14,195,963</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b/>
                <w:sz w:val="16"/>
              </w:rPr>
              <w:t>14,265,703</w:t>
            </w:r>
          </w:p>
        </w:tc>
        <w:tc>
          <w:tcPr>
            <w:tcW w:w="62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-1.7%</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-2.2%</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pPr>
            <w:r>
              <w:rPr/>
              <w:t> </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p>
        </w:tc>
        <w:tc>
          <w:tcPr>
            <w:tcW w:w="909" w:type="dxa"/>
            <w:tcBorders/>
            <w:tcMar>
              <w:top w:w="0" w:type="dxa"/>
              <w:left w:w="0" w:type="dxa"/>
              <w:right w:w="0" w:type="dxa"/>
            </w:tcMar>
            <w:vAlign w:val="center"/>
          </w:tcPr>
          <w:p>
            <w:pPr>
              <w:pStyle w:val="TableContents"/>
              <w:bidi w:val="0"/>
              <w:spacing w:before="0" w:after="283"/>
              <w:jc w:val="right"/>
              <w:rPr/>
            </w:pPr>
            <w:r>
              <w:rPr/>
              <w:t> </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62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Net equity</w:t>
            </w:r>
          </w:p>
        </w:tc>
        <w:tc>
          <w:tcPr>
            <w:tcW w:w="909" w:type="dxa"/>
            <w:tcBorders>
              <w:left w:val="single" w:sz="8" w:space="0" w:color="000000"/>
            </w:tcBorders>
            <w:tcMar>
              <w:top w:w="0" w:type="dxa"/>
              <w:right w:w="0" w:type="dxa"/>
            </w:tcMar>
            <w:vAlign w:val="center"/>
          </w:tcPr>
          <w:p>
            <w:pPr>
              <w:pStyle w:val="TableContents"/>
              <w:bidi w:val="0"/>
              <w:spacing w:before="0" w:after="283"/>
              <w:jc w:val="right"/>
              <w:rPr>
                <w:b/>
                <w:sz w:val="16"/>
              </w:rPr>
            </w:pPr>
            <w:r>
              <w:rPr>
                <w:b/>
                <w:sz w:val="16"/>
              </w:rPr>
              <w:t>2,587,209</w:t>
            </w:r>
          </w:p>
        </w:tc>
        <w:tc>
          <w:tcPr>
            <w:tcW w:w="909" w:type="dxa"/>
            <w:tcBorders/>
            <w:tcMar>
              <w:top w:w="0" w:type="dxa"/>
              <w:left w:w="0" w:type="dxa"/>
              <w:right w:w="0" w:type="dxa"/>
            </w:tcMar>
            <w:vAlign w:val="center"/>
          </w:tcPr>
          <w:p>
            <w:pPr>
              <w:pStyle w:val="TableContents"/>
              <w:bidi w:val="0"/>
              <w:spacing w:before="0" w:after="283"/>
              <w:jc w:val="right"/>
              <w:rPr>
                <w:b/>
                <w:sz w:val="16"/>
              </w:rPr>
            </w:pPr>
            <w:r>
              <w:rPr>
                <w:b/>
                <w:sz w:val="16"/>
              </w:rPr>
              <w:t>2,801,275</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b/>
                <w:sz w:val="16"/>
              </w:rPr>
            </w:pPr>
            <w:r>
              <w:rPr>
                <w:b/>
                <w:sz w:val="16"/>
              </w:rPr>
              <w:t>2,878,354</w:t>
            </w:r>
          </w:p>
        </w:tc>
        <w:tc>
          <w:tcPr>
            <w:tcW w:w="62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0.7%</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13.7%</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pPr>
            <w:r>
              <w:rPr/>
              <w:t> </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p>
        </w:tc>
        <w:tc>
          <w:tcPr>
            <w:tcW w:w="909" w:type="dxa"/>
            <w:tcBorders/>
            <w:tcMar>
              <w:top w:w="0" w:type="dxa"/>
              <w:left w:w="0" w:type="dxa"/>
              <w:right w:w="0" w:type="dxa"/>
            </w:tcMar>
            <w:vAlign w:val="center"/>
          </w:tcPr>
          <w:p>
            <w:pPr>
              <w:pStyle w:val="TableContents"/>
              <w:bidi w:val="0"/>
              <w:spacing w:before="0" w:after="283"/>
              <w:jc w:val="right"/>
              <w:rPr/>
            </w:pPr>
            <w:r>
              <w:rPr/>
              <w:t> </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p>
        </w:tc>
        <w:tc>
          <w:tcPr>
            <w:tcW w:w="62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left"/>
              <w:rPr>
                <w:b/>
                <w:sz w:val="16"/>
              </w:rPr>
            </w:pPr>
            <w:r>
              <w:rPr>
                <w:b/>
                <w:sz w:val="16"/>
              </w:rPr>
              <w:t>TOTAL LIABILITIES AND NET SHAREHOLDERS’ EQUITY</w:t>
            </w:r>
          </w:p>
        </w:tc>
        <w:tc>
          <w:tcPr>
            <w:tcW w:w="909"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pPr>
            <w:r>
              <w:rPr/>
              <w:t> </w:t>
            </w:r>
            <w:r>
              <w:rPr>
                <w:b/>
                <w:sz w:val="16"/>
              </w:rPr>
              <w:t>17,065,588</w:t>
            </w:r>
          </w:p>
        </w:tc>
        <w:tc>
          <w:tcPr>
            <w:tcW w:w="909"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6"/>
              </w:rPr>
              <w:t>16,997,238</w:t>
            </w:r>
          </w:p>
        </w:tc>
        <w:tc>
          <w:tcPr>
            <w:tcW w:w="909"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b/>
                <w:sz w:val="16"/>
              </w:rPr>
              <w:t>17,144,058</w:t>
            </w:r>
          </w:p>
        </w:tc>
        <w:tc>
          <w:tcPr>
            <w:tcW w:w="625"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b/>
                <w:sz w:val="16"/>
              </w:rPr>
            </w:pPr>
            <w:r>
              <w:rPr>
                <w:b/>
                <w:sz w:val="16"/>
              </w:rPr>
              <w:t>-1.3%</w:t>
            </w:r>
          </w:p>
        </w:tc>
        <w:tc>
          <w:tcPr>
            <w:tcW w:w="62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16"/>
              </w:rPr>
            </w:pPr>
            <w:r>
              <w:rPr>
                <w:b/>
                <w:sz w:val="16"/>
              </w:rPr>
              <w:t>0.1%</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tcMar>
              <w:top w:w="0" w:type="dxa"/>
              <w:left w:w="0" w:type="dxa"/>
              <w:right w:w="0" w:type="dxa"/>
            </w:tcMar>
            <w:vAlign w:val="center"/>
          </w:tcPr>
          <w:p>
            <w:pPr>
              <w:pStyle w:val="TableContents"/>
              <w:bidi w:val="0"/>
              <w:spacing w:before="0" w:after="283"/>
              <w:jc w:val="center"/>
              <w:rPr/>
            </w:pPr>
            <w:r>
              <w:rPr/>
              <w:t> </w:t>
            </w:r>
          </w:p>
        </w:tc>
        <w:tc>
          <w:tcPr>
            <w:tcW w:w="909" w:type="dxa"/>
            <w:tcBorders/>
            <w:tcMar>
              <w:top w:w="0" w:type="dxa"/>
              <w:left w:w="0" w:type="dxa"/>
              <w:right w:w="0" w:type="dxa"/>
            </w:tcMar>
            <w:vAlign w:val="center"/>
          </w:tcPr>
          <w:p>
            <w:pPr>
              <w:pStyle w:val="TableContents"/>
              <w:bidi w:val="0"/>
              <w:spacing w:before="0" w:after="283"/>
              <w:jc w:val="right"/>
              <w:rPr/>
            </w:pPr>
            <w:r>
              <w:rPr/>
              <w:t> </w:t>
            </w:r>
          </w:p>
        </w:tc>
        <w:tc>
          <w:tcPr>
            <w:tcW w:w="909" w:type="dxa"/>
            <w:tcBorders/>
            <w:tcMar>
              <w:top w:w="0" w:type="dxa"/>
              <w:left w:w="0" w:type="dxa"/>
              <w:right w:w="0" w:type="dxa"/>
            </w:tcMar>
            <w:vAlign w:val="center"/>
          </w:tcPr>
          <w:p>
            <w:pPr>
              <w:pStyle w:val="TableContents"/>
              <w:bidi w:val="0"/>
              <w:spacing w:before="0" w:after="283"/>
              <w:jc w:val="right"/>
              <w:rPr/>
            </w:pPr>
            <w:r>
              <w:rPr/>
              <w:t> </w:t>
            </w:r>
          </w:p>
        </w:tc>
        <w:tc>
          <w:tcPr>
            <w:tcW w:w="909" w:type="dxa"/>
            <w:tcBorders/>
            <w:tcMar>
              <w:top w:w="0" w:type="dxa"/>
              <w:left w:w="0" w:type="dxa"/>
              <w:right w:w="0" w:type="dxa"/>
            </w:tcMar>
            <w:vAlign w:val="center"/>
          </w:tcPr>
          <w:p>
            <w:pPr>
              <w:pStyle w:val="TableContents"/>
              <w:bidi w:val="0"/>
              <w:spacing w:before="0" w:after="283"/>
              <w:jc w:val="right"/>
              <w:rPr/>
            </w:pPr>
            <w:r>
              <w:rPr/>
              <w:t> </w:t>
            </w:r>
          </w:p>
        </w:tc>
        <w:tc>
          <w:tcPr>
            <w:tcW w:w="625" w:type="dxa"/>
            <w:tcBorders/>
            <w:tcMar>
              <w:top w:w="0" w:type="dxa"/>
              <w:left w:w="0" w:type="dxa"/>
              <w:right w:w="0" w:type="dxa"/>
            </w:tcMar>
            <w:vAlign w:val="center"/>
          </w:tcPr>
          <w:p>
            <w:pPr>
              <w:pStyle w:val="TableContents"/>
              <w:bidi w:val="0"/>
              <w:spacing w:before="0" w:after="283"/>
              <w:jc w:val="center"/>
              <w:rPr/>
            </w:pPr>
            <w:r>
              <w:rPr/>
              <w:t> </w:t>
            </w:r>
          </w:p>
        </w:tc>
        <w:tc>
          <w:tcPr>
            <w:tcW w:w="625" w:type="dxa"/>
            <w:tcBorders/>
            <w:tcMar>
              <w:top w:w="0" w:type="dxa"/>
              <w:left w:w="0" w:type="dxa"/>
              <w:right w:w="0" w:type="dxa"/>
            </w:tcMar>
            <w:vAlign w:val="center"/>
          </w:tcPr>
          <w:p>
            <w:pPr>
              <w:pStyle w:val="TableContents"/>
              <w:bidi w:val="0"/>
              <w:spacing w:before="0" w:after="283"/>
              <w:jc w:val="center"/>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2727" w:type="dxa"/>
            <w:gridSpan w:val="3"/>
            <w:tcBorders>
              <w:top w:val="single" w:sz="8" w:space="0" w:color="000000"/>
              <w:left w:val="single" w:sz="8" w:space="0" w:color="000000"/>
              <w:right w:val="single" w:sz="8" w:space="0" w:color="000000"/>
            </w:tcBorders>
            <w:shd w:fill="2AD2C9" w:val="clear"/>
            <w:tcMar>
              <w:right w:w="60" w:type="dxa"/>
            </w:tcMar>
            <w:vAlign w:val="center"/>
          </w:tcPr>
          <w:p>
            <w:pPr>
              <w:pStyle w:val="TableContents"/>
              <w:bidi w:val="0"/>
              <w:spacing w:before="0" w:after="283"/>
              <w:jc w:val="center"/>
              <w:rPr>
                <w:b/>
                <w:color w:val="FFFFFF"/>
                <w:sz w:val="16"/>
              </w:rPr>
            </w:pPr>
            <w:r>
              <w:rPr>
                <w:b/>
                <w:color w:val="FFFFFF"/>
                <w:sz w:val="16"/>
              </w:rPr>
              <w:t>Quarter</w:t>
            </w:r>
          </w:p>
        </w:tc>
        <w:tc>
          <w:tcPr>
            <w:tcW w:w="125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 change</w:t>
            </w:r>
          </w:p>
        </w:tc>
        <w:tc>
          <w:tcPr>
            <w:tcW w:w="1600" w:type="dxa"/>
            <w:gridSpan w:val="2"/>
            <w:tcBorders>
              <w:top w:val="single" w:sz="8" w:space="0" w:color="000000"/>
            </w:tcBorders>
            <w:shd w:fill="2AD2C9" w:val="clear"/>
            <w:tcMar>
              <w:left w:w="0" w:type="dxa"/>
              <w:right w:w="0" w:type="dxa"/>
            </w:tcMar>
            <w:vAlign w:val="center"/>
          </w:tcPr>
          <w:p>
            <w:pPr>
              <w:pStyle w:val="TableContents"/>
              <w:bidi w:val="0"/>
              <w:spacing w:before="0" w:after="283"/>
              <w:jc w:val="center"/>
              <w:rPr>
                <w:b/>
                <w:color w:val="FFFFFF"/>
                <w:sz w:val="16"/>
              </w:rPr>
            </w:pPr>
            <w:r>
              <w:rPr>
                <w:b/>
                <w:color w:val="FFFFFF"/>
                <w:sz w:val="16"/>
              </w:rPr>
              <w:t>As of</w:t>
            </w:r>
          </w:p>
        </w:tc>
        <w:tc>
          <w:tcPr>
            <w:tcW w:w="1148"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center"/>
              <w:rPr>
                <w:b/>
                <w:color w:val="FFFFFF"/>
                <w:sz w:val="16"/>
              </w:rPr>
            </w:pPr>
            <w:r>
              <w:rPr>
                <w:b/>
                <w:color w:val="FFFFFF"/>
                <w:sz w:val="16"/>
              </w:rPr>
              <w:t>% change</w:t>
            </w:r>
          </w:p>
        </w:tc>
      </w:tr>
      <w:tr>
        <w:trPr/>
        <w:tc>
          <w:tcPr>
            <w:tcW w:w="3480" w:type="dxa"/>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left w:val="single" w:sz="8" w:space="0" w:color="000000"/>
              <w:bottom w:val="single" w:sz="8" w:space="0" w:color="000000"/>
            </w:tcBorders>
            <w:shd w:fill="2AD2C9" w:val="clear"/>
            <w:tcMar>
              <w:top w:w="0" w:type="dxa"/>
              <w:bottom w:w="28" w:type="dxa"/>
              <w:right w:w="0" w:type="dxa"/>
            </w:tcMar>
            <w:vAlign w:val="center"/>
          </w:tcPr>
          <w:p>
            <w:pPr>
              <w:pStyle w:val="TableContents"/>
              <w:bidi w:val="0"/>
              <w:spacing w:before="0" w:after="283"/>
              <w:jc w:val="center"/>
              <w:rPr>
                <w:b/>
                <w:color w:val="FFFFFF"/>
                <w:sz w:val="16"/>
              </w:rPr>
            </w:pPr>
            <w:r>
              <w:rPr>
                <w:b/>
                <w:color w:val="FFFFFF"/>
                <w:sz w:val="16"/>
              </w:rPr>
              <w:t>2Q22</w:t>
            </w:r>
          </w:p>
        </w:tc>
        <w:tc>
          <w:tcPr>
            <w:tcW w:w="909"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1Q23</w:t>
            </w:r>
          </w:p>
        </w:tc>
        <w:tc>
          <w:tcPr>
            <w:tcW w:w="909"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b/>
                <w:color w:val="FFFFFF"/>
                <w:sz w:val="16"/>
              </w:rPr>
            </w:pPr>
            <w:r>
              <w:rPr>
                <w:b/>
                <w:color w:val="FFFFFF"/>
                <w:sz w:val="16"/>
              </w:rPr>
              <w:t>2Q23</w:t>
            </w:r>
          </w:p>
        </w:tc>
        <w:tc>
          <w:tcPr>
            <w:tcW w:w="625" w:type="dxa"/>
            <w:tcBorders/>
            <w:shd w:fill="2AD2C9" w:val="clear"/>
            <w:tcMar>
              <w:top w:w="0" w:type="dxa"/>
              <w:left w:w="0" w:type="dxa"/>
              <w:right w:w="0" w:type="dxa"/>
            </w:tcMar>
            <w:vAlign w:val="center"/>
          </w:tcPr>
          <w:p>
            <w:pPr>
              <w:pStyle w:val="TableContents"/>
              <w:bidi w:val="0"/>
              <w:spacing w:before="0" w:after="283"/>
              <w:jc w:val="center"/>
              <w:rPr>
                <w:b/>
                <w:color w:val="FFFFFF"/>
                <w:sz w:val="16"/>
              </w:rPr>
            </w:pPr>
            <w:r>
              <w:rPr>
                <w:b/>
                <w:color w:val="FFFFFF"/>
                <w:sz w:val="16"/>
              </w:rPr>
              <w:t>QoQ</w:t>
            </w:r>
          </w:p>
        </w:tc>
        <w:tc>
          <w:tcPr>
            <w:tcW w:w="625" w:type="dxa"/>
            <w:tcBorders>
              <w:right w:val="single" w:sz="8" w:space="0" w:color="000000"/>
            </w:tcBorders>
            <w:shd w:fill="2AD2C9" w:val="clear"/>
            <w:tcMar>
              <w:top w:w="0" w:type="dxa"/>
              <w:left w:w="0" w:type="dxa"/>
            </w:tcMar>
            <w:vAlign w:val="center"/>
          </w:tcPr>
          <w:p>
            <w:pPr>
              <w:pStyle w:val="TableContents"/>
              <w:bidi w:val="0"/>
              <w:spacing w:before="0" w:after="283"/>
              <w:jc w:val="center"/>
              <w:rPr>
                <w:b/>
                <w:color w:val="FFFFFF"/>
                <w:sz w:val="16"/>
              </w:rPr>
            </w:pPr>
            <w:r>
              <w:rPr>
                <w:b/>
                <w:color w:val="FFFFFF"/>
                <w:sz w:val="16"/>
              </w:rPr>
              <w:t>YoY</w:t>
            </w:r>
          </w:p>
        </w:tc>
        <w:tc>
          <w:tcPr>
            <w:tcW w:w="800" w:type="dxa"/>
            <w:tcBorders/>
            <w:shd w:fill="2AD2C9" w:val="clear"/>
            <w:tcMar>
              <w:top w:w="0" w:type="dxa"/>
              <w:left w:w="0" w:type="dxa"/>
              <w:right w:w="0" w:type="dxa"/>
            </w:tcMar>
            <w:vAlign w:val="center"/>
          </w:tcPr>
          <w:p>
            <w:pPr>
              <w:pStyle w:val="TableContents"/>
              <w:bidi w:val="0"/>
              <w:spacing w:before="0" w:after="283"/>
              <w:jc w:val="center"/>
              <w:rPr>
                <w:b/>
                <w:color w:val="FFFFFF"/>
                <w:sz w:val="16"/>
              </w:rPr>
            </w:pPr>
            <w:r>
              <w:rPr>
                <w:b/>
                <w:color w:val="FFFFFF"/>
                <w:sz w:val="16"/>
              </w:rPr>
              <w:t>Jun 22</w:t>
            </w:r>
          </w:p>
        </w:tc>
        <w:tc>
          <w:tcPr>
            <w:tcW w:w="800" w:type="dxa"/>
            <w:tcBorders/>
            <w:shd w:fill="2AD2C9" w:val="clear"/>
            <w:tcMar>
              <w:top w:w="0" w:type="dxa"/>
              <w:left w:w="0" w:type="dxa"/>
              <w:right w:w="0" w:type="dxa"/>
            </w:tcMar>
            <w:vAlign w:val="center"/>
          </w:tcPr>
          <w:p>
            <w:pPr>
              <w:pStyle w:val="TableContents"/>
              <w:bidi w:val="0"/>
              <w:spacing w:before="0" w:after="283"/>
              <w:jc w:val="center"/>
              <w:rPr>
                <w:b/>
                <w:color w:val="FFFFFF"/>
                <w:sz w:val="16"/>
              </w:rPr>
            </w:pPr>
            <w:r>
              <w:rPr>
                <w:b/>
                <w:color w:val="FFFFFF"/>
                <w:sz w:val="16"/>
              </w:rPr>
              <w:t>Jun 23</w:t>
            </w:r>
          </w:p>
        </w:tc>
        <w:tc>
          <w:tcPr>
            <w:tcW w:w="1148"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center"/>
              <w:rPr>
                <w:b/>
                <w:color w:val="FFFFFF"/>
                <w:sz w:val="16"/>
              </w:rPr>
            </w:pPr>
            <w:r>
              <w:rPr>
                <w:b/>
                <w:color w:val="FFFFFF"/>
                <w:sz w:val="16"/>
              </w:rPr>
              <w:t>Jun 23 / Jun 22</w:t>
            </w:r>
          </w:p>
        </w:tc>
      </w:tr>
      <w:tr>
        <w:trPr/>
        <w:tc>
          <w:tcPr>
            <w:tcW w:w="3480" w:type="dxa"/>
            <w:tcBorders>
              <w:top w:val="single" w:sz="8" w:space="0" w:color="000000"/>
              <w:left w:val="single" w:sz="8" w:space="0" w:color="000000"/>
            </w:tcBorders>
            <w:shd w:fill="FFFFFF" w:val="clear"/>
            <w:tcMar>
              <w:right w:w="0" w:type="dxa"/>
            </w:tcMar>
            <w:vAlign w:val="center"/>
          </w:tcPr>
          <w:p>
            <w:pPr>
              <w:pStyle w:val="TableContents"/>
              <w:bidi w:val="0"/>
              <w:spacing w:before="0" w:after="283"/>
              <w:jc w:val="left"/>
              <w:rPr>
                <w:sz w:val="16"/>
              </w:rPr>
            </w:pPr>
            <w:r>
              <w:rPr>
                <w:sz w:val="16"/>
              </w:rPr>
              <w:t>Net interest income</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537,262</w:t>
            </w:r>
          </w:p>
        </w:tc>
        <w:tc>
          <w:tcPr>
            <w:tcW w:w="909" w:type="dxa"/>
            <w:tcBorders/>
            <w:tcMar>
              <w:top w:w="0" w:type="dxa"/>
              <w:left w:w="0" w:type="dxa"/>
              <w:right w:w="0" w:type="dxa"/>
            </w:tcMar>
            <w:vAlign w:val="center"/>
          </w:tcPr>
          <w:p>
            <w:pPr>
              <w:pStyle w:val="TableContents"/>
              <w:bidi w:val="0"/>
              <w:spacing w:before="0" w:after="283"/>
              <w:jc w:val="right"/>
              <w:rPr/>
            </w:pPr>
            <w:r>
              <w:rPr/>
              <w:t> </w:t>
            </w:r>
            <w:r>
              <w:rPr>
                <w:sz w:val="16"/>
              </w:rPr>
              <w:t>518,763</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542,880</w:t>
            </w:r>
          </w:p>
        </w:tc>
        <w:tc>
          <w:tcPr>
            <w:tcW w:w="625" w:type="dxa"/>
            <w:tcBorders>
              <w:top w:val="single" w:sz="8" w:space="0" w:color="000000"/>
            </w:tcBorders>
            <w:shd w:fill="FFFFFF" w:val="clear"/>
            <w:tcMar>
              <w:left w:w="0" w:type="dxa"/>
              <w:right w:w="0" w:type="dxa"/>
            </w:tcMar>
            <w:vAlign w:val="center"/>
          </w:tcPr>
          <w:p>
            <w:pPr>
              <w:pStyle w:val="TableContents"/>
              <w:bidi w:val="0"/>
              <w:spacing w:before="0" w:after="283"/>
              <w:jc w:val="center"/>
              <w:rPr>
                <w:sz w:val="16"/>
              </w:rPr>
            </w:pPr>
            <w:r>
              <w:rPr>
                <w:sz w:val="16"/>
              </w:rPr>
              <w:t>-3.8%</w:t>
            </w:r>
          </w:p>
        </w:tc>
        <w:tc>
          <w:tcPr>
            <w:tcW w:w="625" w:type="dxa"/>
            <w:tcBorders>
              <w:top w:val="single" w:sz="8" w:space="0" w:color="000000"/>
              <w:right w:val="single" w:sz="8" w:space="0" w:color="000000"/>
            </w:tcBorders>
            <w:shd w:fill="FFFFFF" w:val="clear"/>
            <w:tcMar>
              <w:left w:w="0" w:type="dxa"/>
            </w:tcMar>
            <w:vAlign w:val="center"/>
          </w:tcPr>
          <w:p>
            <w:pPr>
              <w:pStyle w:val="TableContents"/>
              <w:bidi w:val="0"/>
              <w:spacing w:before="0" w:after="283"/>
              <w:jc w:val="center"/>
              <w:rPr>
                <w:sz w:val="16"/>
              </w:rPr>
            </w:pPr>
            <w:r>
              <w:rPr>
                <w:sz w:val="16"/>
              </w:rPr>
              <w:t>1.3%</w:t>
            </w:r>
          </w:p>
        </w:tc>
        <w:tc>
          <w:tcPr>
            <w:tcW w:w="800" w:type="dxa"/>
            <w:tcBorders>
              <w:top w:val="single" w:sz="8" w:space="0" w:color="000000"/>
            </w:tcBorders>
            <w:tcMar>
              <w:left w:w="0" w:type="dxa"/>
              <w:right w:w="0" w:type="dxa"/>
            </w:tcMar>
            <w:vAlign w:val="center"/>
          </w:tcPr>
          <w:p>
            <w:pPr>
              <w:pStyle w:val="TableContents"/>
              <w:bidi w:val="0"/>
              <w:spacing w:before="0" w:after="283"/>
              <w:jc w:val="right"/>
              <w:rPr/>
            </w:pPr>
            <w:r>
              <w:rPr/>
              <w:t> </w:t>
            </w:r>
            <w:r>
              <w:rPr>
                <w:sz w:val="16"/>
              </w:rPr>
              <w:t>1,049,484</w:t>
            </w:r>
          </w:p>
        </w:tc>
        <w:tc>
          <w:tcPr>
            <w:tcW w:w="800" w:type="dxa"/>
            <w:tcBorders>
              <w:top w:val="single" w:sz="8" w:space="0" w:color="000000"/>
            </w:tcBorders>
            <w:tcMar>
              <w:left w:w="0" w:type="dxa"/>
              <w:right w:w="0" w:type="dxa"/>
            </w:tcMar>
            <w:vAlign w:val="center"/>
          </w:tcPr>
          <w:p>
            <w:pPr>
              <w:pStyle w:val="TableContents"/>
              <w:bidi w:val="0"/>
              <w:spacing w:before="0" w:after="283"/>
              <w:jc w:val="right"/>
              <w:rPr/>
            </w:pPr>
            <w:r>
              <w:rPr/>
              <w:t> </w:t>
            </w:r>
            <w:r>
              <w:rPr>
                <w:sz w:val="16"/>
              </w:rPr>
              <w:t>1,061,643</w:t>
            </w:r>
          </w:p>
        </w:tc>
        <w:tc>
          <w:tcPr>
            <w:tcW w:w="1148"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sz w:val="16"/>
              </w:rPr>
            </w:pPr>
            <w:r>
              <w:rPr>
                <w:sz w:val="16"/>
              </w:rPr>
              <w:t>1.2%</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Provision for loan losses, net of recoveries </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(105,522)</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(227,369)</w:t>
            </w:r>
          </w:p>
        </w:tc>
        <w:tc>
          <w:tcPr>
            <w:tcW w:w="909"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(184,516)</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17.1%</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115.8%</w:t>
            </w:r>
          </w:p>
        </w:tc>
        <w:tc>
          <w:tcPr>
            <w:tcW w:w="800" w:type="dxa"/>
            <w:tcBorders/>
            <w:tcMar>
              <w:top w:w="0" w:type="dxa"/>
              <w:left w:w="0" w:type="dxa"/>
              <w:right w:w="0" w:type="dxa"/>
            </w:tcMar>
            <w:vAlign w:val="center"/>
          </w:tcPr>
          <w:p>
            <w:pPr>
              <w:pStyle w:val="TableContents"/>
              <w:bidi w:val="0"/>
              <w:spacing w:before="0" w:after="283"/>
              <w:jc w:val="right"/>
              <w:rPr/>
            </w:pPr>
            <w:r>
              <w:rPr/>
              <w:t> </w:t>
            </w:r>
            <w:r>
              <w:rPr>
                <w:sz w:val="16"/>
              </w:rPr>
              <w:t>(210,859)</w:t>
            </w:r>
          </w:p>
        </w:tc>
        <w:tc>
          <w:tcPr>
            <w:tcW w:w="800" w:type="dxa"/>
            <w:tcBorders/>
            <w:tcMar>
              <w:top w:w="0" w:type="dxa"/>
              <w:left w:w="0" w:type="dxa"/>
              <w:right w:w="0" w:type="dxa"/>
            </w:tcMar>
            <w:vAlign w:val="center"/>
          </w:tcPr>
          <w:p>
            <w:pPr>
              <w:pStyle w:val="TableContents"/>
              <w:bidi w:val="0"/>
              <w:spacing w:before="0" w:after="283"/>
              <w:jc w:val="right"/>
              <w:rPr/>
            </w:pPr>
            <w:r>
              <w:rPr/>
              <w:t> </w:t>
            </w:r>
            <w:r>
              <w:rPr>
                <w:sz w:val="16"/>
              </w:rPr>
              <w:t>(411,884)</w:t>
            </w:r>
          </w:p>
        </w:tc>
        <w:tc>
          <w:tcPr>
            <w:tcW w:w="1148"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sz w:val="16"/>
              </w:rPr>
            </w:pPr>
            <w:r>
              <w:rPr>
                <w:sz w:val="16"/>
              </w:rPr>
              <w:t>95.3%</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Net interest income after provisions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pPr>
            <w:r>
              <w:rPr/>
              <w:t> </w:t>
            </w:r>
            <w:r>
              <w:rPr>
                <w:b/>
                <w:sz w:val="16"/>
              </w:rPr>
              <w:t>431,740</w:t>
            </w:r>
          </w:p>
        </w:tc>
        <w:tc>
          <w:tcPr>
            <w:tcW w:w="909" w:type="dxa"/>
            <w:tcBorders/>
            <w:tcMar>
              <w:top w:w="0" w:type="dxa"/>
              <w:left w:w="0" w:type="dxa"/>
              <w:right w:w="0" w:type="dxa"/>
            </w:tcMar>
            <w:vAlign w:val="center"/>
          </w:tcPr>
          <w:p>
            <w:pPr>
              <w:pStyle w:val="TableContents"/>
              <w:bidi w:val="0"/>
              <w:spacing w:before="0" w:after="283"/>
              <w:jc w:val="right"/>
              <w:rPr/>
            </w:pPr>
            <w:r>
              <w:rPr/>
              <w:t> </w:t>
            </w:r>
            <w:r>
              <w:rPr>
                <w:b/>
                <w:sz w:val="16"/>
              </w:rPr>
              <w:t>291,394</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b/>
                <w:sz w:val="16"/>
              </w:rPr>
              <w:t>358,365</w:t>
            </w:r>
          </w:p>
        </w:tc>
        <w:tc>
          <w:tcPr>
            <w:tcW w:w="625"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-15.6%</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-28.4%</w:t>
            </w:r>
          </w:p>
        </w:tc>
        <w:tc>
          <w:tcPr>
            <w:tcW w:w="800" w:type="dxa"/>
            <w:tcBorders/>
            <w:tcMar>
              <w:top w:w="0" w:type="dxa"/>
              <w:left w:w="0" w:type="dxa"/>
              <w:right w:w="0" w:type="dxa"/>
            </w:tcMar>
            <w:vAlign w:val="center"/>
          </w:tcPr>
          <w:p>
            <w:pPr>
              <w:pStyle w:val="TableContents"/>
              <w:bidi w:val="0"/>
              <w:spacing w:before="0" w:after="283"/>
              <w:jc w:val="right"/>
              <w:rPr>
                <w:b/>
                <w:sz w:val="16"/>
              </w:rPr>
            </w:pPr>
            <w:r>
              <w:rPr>
                <w:b/>
                <w:sz w:val="16"/>
              </w:rPr>
              <w:t>838,625</w:t>
            </w:r>
          </w:p>
        </w:tc>
        <w:tc>
          <w:tcPr>
            <w:tcW w:w="800" w:type="dxa"/>
            <w:tcBorders/>
            <w:tcMar>
              <w:top w:w="0" w:type="dxa"/>
              <w:left w:w="0" w:type="dxa"/>
              <w:right w:w="0" w:type="dxa"/>
            </w:tcMar>
            <w:vAlign w:val="center"/>
          </w:tcPr>
          <w:p>
            <w:pPr>
              <w:pStyle w:val="TableContents"/>
              <w:bidi w:val="0"/>
              <w:spacing w:before="0" w:after="283"/>
              <w:jc w:val="right"/>
              <w:rPr>
                <w:b/>
                <w:sz w:val="16"/>
              </w:rPr>
            </w:pPr>
            <w:r>
              <w:rPr>
                <w:b/>
                <w:sz w:val="16"/>
              </w:rPr>
              <w:t>649,759</w:t>
            </w:r>
          </w:p>
        </w:tc>
        <w:tc>
          <w:tcPr>
            <w:tcW w:w="1148"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b/>
                <w:sz w:val="16"/>
              </w:rPr>
            </w:pPr>
            <w:r>
              <w:rPr>
                <w:b/>
                <w:sz w:val="16"/>
              </w:rPr>
              <w:t>-22.5%</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Non-financial income</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29,708</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36,337</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37,606</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1.6%</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18.7%</w:t>
            </w:r>
          </w:p>
        </w:tc>
        <w:tc>
          <w:tcPr>
            <w:tcW w:w="800" w:type="dxa"/>
            <w:tcBorders/>
            <w:tcMar>
              <w:top w:w="0" w:type="dxa"/>
              <w:left w:w="0" w:type="dxa"/>
              <w:right w:w="0" w:type="dxa"/>
            </w:tcMar>
            <w:vAlign w:val="center"/>
          </w:tcPr>
          <w:p>
            <w:pPr>
              <w:pStyle w:val="TableContents"/>
              <w:bidi w:val="0"/>
              <w:spacing w:before="0" w:after="283"/>
              <w:jc w:val="right"/>
              <w:rPr>
                <w:sz w:val="16"/>
              </w:rPr>
            </w:pPr>
            <w:r>
              <w:rPr>
                <w:sz w:val="16"/>
              </w:rPr>
              <w:t>60,328</w:t>
            </w:r>
          </w:p>
        </w:tc>
        <w:tc>
          <w:tcPr>
            <w:tcW w:w="800" w:type="dxa"/>
            <w:tcBorders/>
            <w:tcMar>
              <w:top w:w="0" w:type="dxa"/>
              <w:left w:w="0" w:type="dxa"/>
              <w:right w:w="0" w:type="dxa"/>
            </w:tcMar>
            <w:vAlign w:val="center"/>
          </w:tcPr>
          <w:p>
            <w:pPr>
              <w:pStyle w:val="TableContents"/>
              <w:bidi w:val="0"/>
              <w:spacing w:before="0" w:after="283"/>
              <w:jc w:val="right"/>
              <w:rPr>
                <w:sz w:val="16"/>
              </w:rPr>
            </w:pPr>
            <w:r>
              <w:rPr>
                <w:sz w:val="16"/>
              </w:rPr>
              <w:t>73,943</w:t>
            </w:r>
          </w:p>
        </w:tc>
        <w:tc>
          <w:tcPr>
            <w:tcW w:w="1148"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sz w:val="16"/>
              </w:rPr>
            </w:pPr>
            <w:r>
              <w:rPr>
                <w:sz w:val="16"/>
              </w:rPr>
              <w:t>22.6%</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Total expenses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(290,293)</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(302,982)</w:t>
            </w:r>
          </w:p>
        </w:tc>
        <w:tc>
          <w:tcPr>
            <w:tcW w:w="909"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(306,677)</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-4.2%</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5.2%</w:t>
            </w:r>
          </w:p>
        </w:tc>
        <w:tc>
          <w:tcPr>
            <w:tcW w:w="800" w:type="dxa"/>
            <w:tcBorders/>
            <w:tcMar>
              <w:top w:w="0" w:type="dxa"/>
              <w:left w:w="0" w:type="dxa"/>
              <w:right w:w="0" w:type="dxa"/>
            </w:tcMar>
            <w:vAlign w:val="center"/>
          </w:tcPr>
          <w:p>
            <w:pPr>
              <w:pStyle w:val="TableContents"/>
              <w:bidi w:val="0"/>
              <w:spacing w:before="0" w:after="283"/>
              <w:jc w:val="right"/>
              <w:rPr/>
            </w:pPr>
            <w:r>
              <w:rPr/>
              <w:t> </w:t>
            </w:r>
            <w:r>
              <w:rPr>
                <w:sz w:val="16"/>
              </w:rPr>
              <w:t>(578,322)</w:t>
            </w:r>
          </w:p>
        </w:tc>
        <w:tc>
          <w:tcPr>
            <w:tcW w:w="800" w:type="dxa"/>
            <w:tcBorders/>
            <w:tcMar>
              <w:top w:w="0" w:type="dxa"/>
              <w:left w:w="0" w:type="dxa"/>
              <w:right w:w="0" w:type="dxa"/>
            </w:tcMar>
            <w:vAlign w:val="center"/>
          </w:tcPr>
          <w:p>
            <w:pPr>
              <w:pStyle w:val="TableContents"/>
              <w:bidi w:val="0"/>
              <w:spacing w:before="0" w:after="283"/>
              <w:jc w:val="right"/>
              <w:rPr/>
            </w:pPr>
            <w:r>
              <w:rPr/>
              <w:t> </w:t>
            </w:r>
            <w:r>
              <w:rPr>
                <w:sz w:val="16"/>
              </w:rPr>
              <w:t>(609,658)</w:t>
            </w:r>
          </w:p>
        </w:tc>
        <w:tc>
          <w:tcPr>
            <w:tcW w:w="1148"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sz w:val="16"/>
              </w:rPr>
            </w:pPr>
            <w:r>
              <w:rPr>
                <w:sz w:val="16"/>
              </w:rPr>
              <w:t>5.4%</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Translation result</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w:t>
            </w:r>
          </w:p>
        </w:tc>
        <w:tc>
          <w:tcPr>
            <w:tcW w:w="909"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0.0%</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0.0%</w:t>
            </w:r>
          </w:p>
        </w:tc>
        <w:tc>
          <w:tcPr>
            <w:tcW w:w="800" w:type="dxa"/>
            <w:tcBorders/>
            <w:tcMar>
              <w:top w:w="0" w:type="dxa"/>
              <w:left w:w="0" w:type="dxa"/>
              <w:right w:w="0" w:type="dxa"/>
            </w:tcMar>
            <w:vAlign w:val="center"/>
          </w:tcPr>
          <w:p>
            <w:pPr>
              <w:pStyle w:val="TableContents"/>
              <w:bidi w:val="0"/>
              <w:spacing w:before="0" w:after="283"/>
              <w:jc w:val="right"/>
              <w:rPr/>
            </w:pPr>
            <w:r>
              <w:rPr/>
              <w:t> </w:t>
            </w:r>
            <w:r>
              <w:rPr>
                <w:sz w:val="16"/>
              </w:rPr>
              <w:t>-</w:t>
            </w:r>
          </w:p>
        </w:tc>
        <w:tc>
          <w:tcPr>
            <w:tcW w:w="800" w:type="dxa"/>
            <w:tcBorders/>
            <w:tcMar>
              <w:top w:w="0" w:type="dxa"/>
              <w:left w:w="0" w:type="dxa"/>
              <w:right w:w="0" w:type="dxa"/>
            </w:tcMar>
            <w:vAlign w:val="center"/>
          </w:tcPr>
          <w:p>
            <w:pPr>
              <w:pStyle w:val="TableContents"/>
              <w:bidi w:val="0"/>
              <w:spacing w:before="0" w:after="283"/>
              <w:jc w:val="right"/>
              <w:rPr/>
            </w:pPr>
            <w:r>
              <w:rPr/>
              <w:t> </w:t>
            </w:r>
            <w:r>
              <w:rPr>
                <w:sz w:val="16"/>
              </w:rPr>
              <w:t>-</w:t>
            </w:r>
          </w:p>
        </w:tc>
        <w:tc>
          <w:tcPr>
            <w:tcW w:w="1148"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sz w:val="16"/>
              </w:rPr>
            </w:pPr>
            <w:r>
              <w:rPr>
                <w:sz w:val="16"/>
              </w:rPr>
              <w:t>0.0%</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Income taxes</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(43,174)</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(1,607)</w:t>
            </w:r>
          </w:p>
        </w:tc>
        <w:tc>
          <w:tcPr>
            <w:tcW w:w="909"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(22,934)</w:t>
            </w:r>
          </w:p>
        </w:tc>
        <w:tc>
          <w:tcPr>
            <w:tcW w:w="625"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-91.0%</w:t>
            </w:r>
          </w:p>
        </w:tc>
        <w:tc>
          <w:tcPr>
            <w:tcW w:w="62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-96.5%</w:t>
            </w:r>
          </w:p>
        </w:tc>
        <w:tc>
          <w:tcPr>
            <w:tcW w:w="800" w:type="dxa"/>
            <w:tcBorders/>
            <w:tcMar>
              <w:top w:w="0" w:type="dxa"/>
              <w:left w:w="0" w:type="dxa"/>
              <w:right w:w="0" w:type="dxa"/>
            </w:tcMar>
            <w:vAlign w:val="center"/>
          </w:tcPr>
          <w:p>
            <w:pPr>
              <w:pStyle w:val="TableContents"/>
              <w:bidi w:val="0"/>
              <w:spacing w:before="0" w:after="283"/>
              <w:jc w:val="right"/>
              <w:rPr/>
            </w:pPr>
            <w:r>
              <w:rPr/>
              <w:t> </w:t>
            </w:r>
            <w:r>
              <w:rPr>
                <w:sz w:val="16"/>
              </w:rPr>
              <w:t>(89,714)</w:t>
            </w:r>
          </w:p>
        </w:tc>
        <w:tc>
          <w:tcPr>
            <w:tcW w:w="800" w:type="dxa"/>
            <w:tcBorders/>
            <w:tcMar>
              <w:top w:w="0" w:type="dxa"/>
              <w:left w:w="0" w:type="dxa"/>
              <w:right w:w="0" w:type="dxa"/>
            </w:tcMar>
            <w:vAlign w:val="center"/>
          </w:tcPr>
          <w:p>
            <w:pPr>
              <w:pStyle w:val="TableContents"/>
              <w:bidi w:val="0"/>
              <w:spacing w:before="0" w:after="283"/>
              <w:jc w:val="right"/>
              <w:rPr/>
            </w:pPr>
            <w:r>
              <w:rPr/>
              <w:t> </w:t>
            </w:r>
            <w:r>
              <w:rPr>
                <w:sz w:val="16"/>
              </w:rPr>
              <w:t>(24,542)</w:t>
            </w:r>
          </w:p>
        </w:tc>
        <w:tc>
          <w:tcPr>
            <w:tcW w:w="1148"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sz w:val="16"/>
              </w:rPr>
            </w:pPr>
            <w:r>
              <w:rPr>
                <w:sz w:val="16"/>
              </w:rPr>
              <w:t>-72.6%</w:t>
            </w:r>
          </w:p>
        </w:tc>
      </w:tr>
      <w:tr>
        <w:trPr/>
        <w:tc>
          <w:tcPr>
            <w:tcW w:w="3480"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left"/>
              <w:rPr>
                <w:b/>
                <w:sz w:val="16"/>
              </w:rPr>
            </w:pPr>
            <w:r>
              <w:rPr>
                <w:b/>
                <w:sz w:val="16"/>
              </w:rPr>
              <w:t>Net income</w:t>
            </w:r>
          </w:p>
        </w:tc>
        <w:tc>
          <w:tcPr>
            <w:tcW w:w="909"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pPr>
            <w:r>
              <w:rPr/>
              <w:t> </w:t>
            </w:r>
            <w:r>
              <w:rPr>
                <w:b/>
                <w:sz w:val="16"/>
              </w:rPr>
              <w:t>127,982</w:t>
            </w:r>
          </w:p>
        </w:tc>
        <w:tc>
          <w:tcPr>
            <w:tcW w:w="909"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pPr>
            <w:r>
              <w:rPr/>
              <w:t> </w:t>
            </w:r>
            <w:r>
              <w:rPr>
                <w:b/>
                <w:sz w:val="16"/>
              </w:rPr>
              <w:t>23,142</w:t>
            </w:r>
          </w:p>
        </w:tc>
        <w:tc>
          <w:tcPr>
            <w:tcW w:w="909"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b/>
                <w:sz w:val="16"/>
              </w:rPr>
              <w:t>66,360</w:t>
            </w:r>
          </w:p>
        </w:tc>
        <w:tc>
          <w:tcPr>
            <w:tcW w:w="625"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b/>
                <w:sz w:val="16"/>
              </w:rPr>
            </w:pPr>
            <w:r>
              <w:rPr>
                <w:b/>
                <w:sz w:val="16"/>
              </w:rPr>
              <w:t>-50.7%</w:t>
            </w:r>
          </w:p>
        </w:tc>
        <w:tc>
          <w:tcPr>
            <w:tcW w:w="62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16"/>
              </w:rPr>
            </w:pPr>
            <w:r>
              <w:rPr>
                <w:b/>
                <w:sz w:val="16"/>
              </w:rPr>
              <w:t>-77.5%</w:t>
            </w:r>
          </w:p>
        </w:tc>
        <w:tc>
          <w:tcPr>
            <w:tcW w:w="80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230,917</w:t>
            </w:r>
          </w:p>
        </w:tc>
        <w:tc>
          <w:tcPr>
            <w:tcW w:w="80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89,502</w:t>
            </w:r>
          </w:p>
        </w:tc>
        <w:tc>
          <w:tcPr>
            <w:tcW w:w="1148" w:type="dxa"/>
            <w:tcBorders>
              <w:left w:val="single" w:sz="8" w:space="0" w:color="000000"/>
              <w:bottom w:val="single" w:sz="8" w:space="0" w:color="000000"/>
              <w:right w:val="single" w:sz="8" w:space="0" w:color="000000"/>
            </w:tcBorders>
            <w:shd w:fill="FFFFFF" w:val="clear"/>
            <w:tcMar>
              <w:top w:w="0" w:type="dxa"/>
              <w:bottom w:w="28" w:type="dxa"/>
            </w:tcMar>
            <w:vAlign w:val="center"/>
          </w:tcPr>
          <w:p>
            <w:pPr>
              <w:pStyle w:val="TableContents"/>
              <w:bidi w:val="0"/>
              <w:spacing w:before="0" w:after="283"/>
              <w:jc w:val="center"/>
              <w:rPr>
                <w:b/>
                <w:sz w:val="16"/>
              </w:rPr>
            </w:pPr>
            <w:r>
              <w:rPr>
                <w:b/>
                <w:sz w:val="16"/>
              </w:rPr>
              <w:t>-61.2%</w:t>
            </w:r>
          </w:p>
        </w:tc>
      </w:tr>
      <w:tr>
        <w:trPr/>
        <w:tc>
          <w:tcPr>
            <w:tcW w:w="3480"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909" w:type="dxa"/>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625" w:type="dxa"/>
            <w:tcBorders/>
            <w:shd w:fill="FFFFFF" w:val="clear"/>
            <w:tcMar>
              <w:top w:w="0" w:type="dxa"/>
              <w:left w:w="0" w:type="dxa"/>
              <w:right w:w="0"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right"/>
              <w:rPr/>
            </w:pPr>
            <w:r>
              <w:rPr/>
              <w:t> </w:t>
            </w:r>
          </w:p>
        </w:tc>
        <w:tc>
          <w:tcPr>
            <w:tcW w:w="80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right"/>
              <w:rPr/>
            </w:pPr>
            <w:r>
              <w:rPr/>
              <w:t> </w:t>
            </w:r>
          </w:p>
        </w:tc>
        <w:tc>
          <w:tcPr>
            <w:tcW w:w="1148" w:type="dxa"/>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0" w:type="dxa"/>
            <w:tcBorders>
              <w:top w:val="single" w:sz="8" w:space="0" w:color="000000"/>
              <w:left w:val="single" w:sz="8" w:space="0" w:color="000000"/>
            </w:tcBorders>
            <w:tcMar>
              <w:right w:w="0" w:type="dxa"/>
            </w:tcMar>
            <w:vAlign w:val="center"/>
          </w:tcPr>
          <w:p>
            <w:pPr>
              <w:pStyle w:val="TableContents"/>
              <w:bidi w:val="0"/>
              <w:spacing w:before="0" w:after="283"/>
              <w:jc w:val="left"/>
              <w:rPr>
                <w:sz w:val="16"/>
              </w:rPr>
            </w:pPr>
            <w:r>
              <w:rPr>
                <w:sz w:val="16"/>
              </w:rPr>
              <w:t>Efficiency ratio</w:t>
            </w:r>
          </w:p>
        </w:tc>
        <w:tc>
          <w:tcPr>
            <w:tcW w:w="909" w:type="dxa"/>
            <w:tcBorders>
              <w:top w:val="single" w:sz="8" w:space="0" w:color="000000"/>
              <w:left w:val="single" w:sz="8" w:space="0" w:color="000000"/>
            </w:tcBorders>
            <w:tcMar>
              <w:right w:w="0" w:type="dxa"/>
            </w:tcMar>
            <w:vAlign w:val="center"/>
          </w:tcPr>
          <w:p>
            <w:pPr>
              <w:pStyle w:val="TableContents"/>
              <w:bidi w:val="0"/>
              <w:spacing w:before="0" w:after="283"/>
              <w:jc w:val="right"/>
              <w:rPr>
                <w:sz w:val="16"/>
              </w:rPr>
            </w:pPr>
            <w:r>
              <w:rPr>
                <w:sz w:val="16"/>
              </w:rPr>
              <w:t>7.0%</w:t>
            </w:r>
          </w:p>
        </w:tc>
        <w:tc>
          <w:tcPr>
            <w:tcW w:w="909" w:type="dxa"/>
            <w:tcBorders>
              <w:top w:val="single" w:sz="8" w:space="0" w:color="000000"/>
            </w:tcBorders>
            <w:tcMar>
              <w:left w:w="0" w:type="dxa"/>
              <w:right w:w="0" w:type="dxa"/>
            </w:tcMar>
            <w:vAlign w:val="center"/>
          </w:tcPr>
          <w:p>
            <w:pPr>
              <w:pStyle w:val="TableContents"/>
              <w:bidi w:val="0"/>
              <w:spacing w:before="0" w:after="283"/>
              <w:jc w:val="right"/>
              <w:rPr>
                <w:sz w:val="16"/>
              </w:rPr>
            </w:pPr>
            <w:r>
              <w:rPr>
                <w:sz w:val="16"/>
              </w:rPr>
              <w:t>54.4%</w:t>
            </w:r>
          </w:p>
        </w:tc>
        <w:tc>
          <w:tcPr>
            <w:tcW w:w="909" w:type="dxa"/>
            <w:tcBorders>
              <w:top w:val="single" w:sz="8" w:space="0" w:color="000000"/>
            </w:tcBorders>
            <w:tcMar>
              <w:left w:w="0" w:type="dxa"/>
              <w:right w:w="0" w:type="dxa"/>
            </w:tcMar>
            <w:vAlign w:val="center"/>
          </w:tcPr>
          <w:p>
            <w:pPr>
              <w:pStyle w:val="TableContents"/>
              <w:bidi w:val="0"/>
              <w:spacing w:before="0" w:after="283"/>
              <w:jc w:val="right"/>
              <w:rPr>
                <w:sz w:val="16"/>
              </w:rPr>
            </w:pPr>
            <w:r>
              <w:rPr>
                <w:sz w:val="16"/>
              </w:rPr>
              <w:t>52.7%</w:t>
            </w:r>
          </w:p>
        </w:tc>
        <w:tc>
          <w:tcPr>
            <w:tcW w:w="625" w:type="dxa"/>
            <w:tcBorders>
              <w:top w:val="single" w:sz="8" w:space="0" w:color="000000"/>
              <w:left w:val="single" w:sz="8" w:space="0" w:color="000000"/>
            </w:tcBorders>
            <w:tcMar>
              <w:right w:w="0" w:type="dxa"/>
            </w:tcMar>
            <w:vAlign w:val="center"/>
          </w:tcPr>
          <w:p>
            <w:pPr>
              <w:pStyle w:val="TableContents"/>
              <w:bidi w:val="0"/>
              <w:spacing w:before="0" w:after="283"/>
              <w:jc w:val="right"/>
              <w:rPr>
                <w:sz w:val="16"/>
              </w:rPr>
            </w:pPr>
            <w:r>
              <w:rPr>
                <w:sz w:val="16"/>
              </w:rPr>
              <w:t>-176 bps</w:t>
            </w:r>
          </w:p>
        </w:tc>
        <w:tc>
          <w:tcPr>
            <w:tcW w:w="625" w:type="dxa"/>
            <w:tcBorders>
              <w:top w:val="single" w:sz="8" w:space="0" w:color="000000"/>
              <w:right w:val="single" w:sz="8" w:space="0" w:color="000000"/>
            </w:tcBorders>
            <w:tcMar>
              <w:left w:w="0" w:type="dxa"/>
            </w:tcMar>
            <w:vAlign w:val="center"/>
          </w:tcPr>
          <w:p>
            <w:pPr>
              <w:pStyle w:val="TableContents"/>
              <w:bidi w:val="0"/>
              <w:spacing w:before="0" w:after="283"/>
              <w:jc w:val="right"/>
              <w:rPr>
                <w:sz w:val="16"/>
              </w:rPr>
            </w:pPr>
            <w:r>
              <w:rPr>
                <w:sz w:val="16"/>
              </w:rPr>
              <w:t>197 bps</w:t>
            </w:r>
          </w:p>
        </w:tc>
        <w:tc>
          <w:tcPr>
            <w:tcW w:w="800" w:type="dxa"/>
            <w:tcBorders/>
            <w:tcMar>
              <w:top w:w="0" w:type="dxa"/>
              <w:left w:w="0" w:type="dxa"/>
              <w:right w:w="0" w:type="dxa"/>
            </w:tcMar>
            <w:vAlign w:val="center"/>
          </w:tcPr>
          <w:p>
            <w:pPr>
              <w:pStyle w:val="TableContents"/>
              <w:bidi w:val="0"/>
              <w:spacing w:before="0" w:after="283"/>
              <w:jc w:val="right"/>
              <w:rPr>
                <w:sz w:val="16"/>
              </w:rPr>
            </w:pPr>
            <w:r>
              <w:rPr>
                <w:sz w:val="16"/>
              </w:rPr>
              <w:t>52.0%</w:t>
            </w:r>
          </w:p>
        </w:tc>
        <w:tc>
          <w:tcPr>
            <w:tcW w:w="80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53.5%</w:t>
            </w:r>
          </w:p>
        </w:tc>
        <w:tc>
          <w:tcPr>
            <w:tcW w:w="1148" w:type="dxa"/>
            <w:tcBorders>
              <w:top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156</w:t>
            </w:r>
          </w:p>
        </w:tc>
      </w:tr>
      <w:tr>
        <w:trPr/>
        <w:tc>
          <w:tcPr>
            <w:tcW w:w="3480" w:type="dxa"/>
            <w:tcBorders>
              <w:left w:val="single" w:sz="8" w:space="0" w:color="000000"/>
            </w:tcBorders>
            <w:tcMar>
              <w:top w:w="0" w:type="dxa"/>
              <w:right w:w="0" w:type="dxa"/>
            </w:tcMar>
            <w:vAlign w:val="center"/>
          </w:tcPr>
          <w:p>
            <w:pPr>
              <w:pStyle w:val="TableContents"/>
              <w:bidi w:val="0"/>
              <w:spacing w:before="0" w:after="283"/>
              <w:jc w:val="left"/>
              <w:rPr>
                <w:sz w:val="16"/>
              </w:rPr>
            </w:pPr>
            <w:r>
              <w:rPr>
                <w:sz w:val="16"/>
              </w:rPr>
              <w:t>ROAE</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20.3%</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3.3%</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9.4%</w:t>
            </w:r>
          </w:p>
        </w:tc>
        <w:tc>
          <w:tcPr>
            <w:tcW w:w="625"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603 bps</w:t>
            </w:r>
          </w:p>
        </w:tc>
        <w:tc>
          <w:tcPr>
            <w:tcW w:w="625"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-1092 bps</w:t>
            </w:r>
          </w:p>
        </w:tc>
        <w:tc>
          <w:tcPr>
            <w:tcW w:w="800" w:type="dxa"/>
            <w:tcBorders/>
            <w:tcMar>
              <w:top w:w="0" w:type="dxa"/>
              <w:left w:w="0" w:type="dxa"/>
              <w:right w:w="0" w:type="dxa"/>
            </w:tcMar>
            <w:vAlign w:val="center"/>
          </w:tcPr>
          <w:p>
            <w:pPr>
              <w:pStyle w:val="TableContents"/>
              <w:bidi w:val="0"/>
              <w:spacing w:before="0" w:after="283"/>
              <w:jc w:val="right"/>
              <w:rPr>
                <w:sz w:val="16"/>
              </w:rPr>
            </w:pPr>
            <w:r>
              <w:rPr>
                <w:sz w:val="16"/>
              </w:rPr>
              <w:t>18.7%</w:t>
            </w:r>
          </w:p>
        </w:tc>
        <w:tc>
          <w:tcPr>
            <w:tcW w:w="800"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6.4%</w:t>
            </w:r>
          </w:p>
        </w:tc>
        <w:tc>
          <w:tcPr>
            <w:tcW w:w="1148" w:type="dxa"/>
            <w:tcBorders>
              <w:right w:val="single" w:sz="8" w:space="0" w:color="000000"/>
            </w:tcBorders>
            <w:tcMar>
              <w:top w:w="0" w:type="dxa"/>
              <w:left w:w="0" w:type="dxa"/>
            </w:tcMar>
            <w:vAlign w:val="center"/>
          </w:tcPr>
          <w:p>
            <w:pPr>
              <w:pStyle w:val="TableContents"/>
              <w:bidi w:val="0"/>
              <w:spacing w:before="0" w:after="283"/>
              <w:jc w:val="center"/>
              <w:rPr>
                <w:sz w:val="16"/>
              </w:rPr>
            </w:pPr>
            <w:r>
              <w:rPr>
                <w:sz w:val="16"/>
              </w:rPr>
              <w:t>-1235</w:t>
            </w:r>
          </w:p>
        </w:tc>
      </w:tr>
      <w:tr>
        <w:trPr/>
        <w:tc>
          <w:tcPr>
            <w:tcW w:w="3480" w:type="dxa"/>
            <w:tcBorders>
              <w:left w:val="single" w:sz="8" w:space="0" w:color="000000"/>
            </w:tcBorders>
            <w:tcMar>
              <w:top w:w="0" w:type="dxa"/>
              <w:right w:w="0" w:type="dxa"/>
            </w:tcMar>
            <w:vAlign w:val="center"/>
          </w:tcPr>
          <w:p>
            <w:pPr>
              <w:pStyle w:val="TableContents"/>
              <w:bidi w:val="0"/>
              <w:spacing w:before="0" w:after="283"/>
              <w:jc w:val="left"/>
              <w:rPr>
                <w:sz w:val="16"/>
              </w:rPr>
            </w:pPr>
            <w:r>
              <w:rPr>
                <w:sz w:val="16"/>
              </w:rPr>
              <w:t>ROAE incl. Goodwill</w:t>
            </w:r>
          </w:p>
        </w:tc>
        <w:tc>
          <w:tcPr>
            <w:tcW w:w="909"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19.4%</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3.2%</w:t>
            </w:r>
          </w:p>
        </w:tc>
        <w:tc>
          <w:tcPr>
            <w:tcW w:w="909" w:type="dxa"/>
            <w:tcBorders/>
            <w:tcMar>
              <w:top w:w="0" w:type="dxa"/>
              <w:left w:w="0" w:type="dxa"/>
              <w:right w:w="0" w:type="dxa"/>
            </w:tcMar>
            <w:vAlign w:val="center"/>
          </w:tcPr>
          <w:p>
            <w:pPr>
              <w:pStyle w:val="TableContents"/>
              <w:bidi w:val="0"/>
              <w:spacing w:before="0" w:after="283"/>
              <w:jc w:val="right"/>
              <w:rPr>
                <w:sz w:val="16"/>
              </w:rPr>
            </w:pPr>
            <w:r>
              <w:rPr>
                <w:sz w:val="16"/>
              </w:rPr>
              <w:t>8.9%</w:t>
            </w:r>
          </w:p>
        </w:tc>
        <w:tc>
          <w:tcPr>
            <w:tcW w:w="625"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575 bps</w:t>
            </w:r>
          </w:p>
        </w:tc>
        <w:tc>
          <w:tcPr>
            <w:tcW w:w="625"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-1046 bps</w:t>
            </w:r>
          </w:p>
        </w:tc>
        <w:tc>
          <w:tcPr>
            <w:tcW w:w="800"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sz w:val="16"/>
              </w:rPr>
            </w:pPr>
            <w:r>
              <w:rPr>
                <w:sz w:val="16"/>
              </w:rPr>
              <w:t>17.7%</w:t>
            </w:r>
          </w:p>
        </w:tc>
        <w:tc>
          <w:tcPr>
            <w:tcW w:w="80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sz w:val="16"/>
              </w:rPr>
            </w:pPr>
            <w:r>
              <w:rPr>
                <w:sz w:val="16"/>
              </w:rPr>
              <w:t>6.1%</w:t>
            </w:r>
          </w:p>
        </w:tc>
        <w:tc>
          <w:tcPr>
            <w:tcW w:w="114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sz w:val="16"/>
              </w:rPr>
            </w:pPr>
            <w:r>
              <w:rPr>
                <w:sz w:val="16"/>
              </w:rPr>
              <w:t>-1164</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L/D ratio</w:t>
            </w:r>
          </w:p>
        </w:tc>
        <w:tc>
          <w:tcPr>
            <w:tcW w:w="909" w:type="dxa"/>
            <w:tcBorders>
              <w:left w:val="single" w:sz="8" w:space="0" w:color="000000"/>
            </w:tcBorders>
            <w:shd w:fill="FFFFFF" w:val="clear"/>
            <w:tcMar>
              <w:top w:w="0" w:type="dxa"/>
              <w:right w:w="0" w:type="dxa"/>
            </w:tcMar>
            <w:vAlign w:val="center"/>
          </w:tcPr>
          <w:p>
            <w:pPr>
              <w:pStyle w:val="TableContents"/>
              <w:bidi w:val="0"/>
              <w:spacing w:before="0" w:after="283"/>
              <w:jc w:val="right"/>
              <w:rPr>
                <w:sz w:val="16"/>
              </w:rPr>
            </w:pPr>
            <w:r>
              <w:rPr>
                <w:sz w:val="16"/>
              </w:rPr>
              <w:t>161.2%</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146.2%</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144.0%</w:t>
            </w:r>
          </w:p>
        </w:tc>
        <w:tc>
          <w:tcPr>
            <w:tcW w:w="625"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-222 bps</w:t>
            </w:r>
          </w:p>
        </w:tc>
        <w:tc>
          <w:tcPr>
            <w:tcW w:w="625"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-1713 bps</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IOL ratio</w:t>
            </w:r>
          </w:p>
        </w:tc>
        <w:tc>
          <w:tcPr>
            <w:tcW w:w="909" w:type="dxa"/>
            <w:tcBorders>
              <w:left w:val="single" w:sz="8" w:space="0" w:color="000000"/>
            </w:tcBorders>
            <w:shd w:fill="FFFFFF" w:val="clear"/>
            <w:tcMar>
              <w:top w:w="0" w:type="dxa"/>
              <w:right w:w="0" w:type="dxa"/>
            </w:tcMar>
            <w:vAlign w:val="center"/>
          </w:tcPr>
          <w:p>
            <w:pPr>
              <w:pStyle w:val="TableContents"/>
              <w:bidi w:val="0"/>
              <w:spacing w:before="0" w:after="283"/>
              <w:jc w:val="right"/>
              <w:rPr>
                <w:sz w:val="16"/>
              </w:rPr>
            </w:pPr>
            <w:r>
              <w:rPr>
                <w:sz w:val="16"/>
              </w:rPr>
              <w:t>6.8%</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5.0%</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6.3%</w:t>
            </w:r>
          </w:p>
        </w:tc>
        <w:tc>
          <w:tcPr>
            <w:tcW w:w="625"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128 bps</w:t>
            </w:r>
          </w:p>
        </w:tc>
        <w:tc>
          <w:tcPr>
            <w:tcW w:w="625"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-53 bps</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NPL ratio</w:t>
            </w:r>
          </w:p>
        </w:tc>
        <w:tc>
          <w:tcPr>
            <w:tcW w:w="909" w:type="dxa"/>
            <w:tcBorders>
              <w:left w:val="single" w:sz="8" w:space="0" w:color="000000"/>
            </w:tcBorders>
            <w:shd w:fill="FFFFFF" w:val="clear"/>
            <w:tcMar>
              <w:top w:w="0" w:type="dxa"/>
              <w:right w:w="0" w:type="dxa"/>
            </w:tcMar>
            <w:vAlign w:val="center"/>
          </w:tcPr>
          <w:p>
            <w:pPr>
              <w:pStyle w:val="TableContents"/>
              <w:bidi w:val="0"/>
              <w:spacing w:before="0" w:after="283"/>
              <w:jc w:val="right"/>
              <w:rPr>
                <w:sz w:val="16"/>
              </w:rPr>
            </w:pPr>
            <w:r>
              <w:rPr>
                <w:sz w:val="16"/>
              </w:rPr>
              <w:t>7.3%</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5.7%</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6.9%</w:t>
            </w:r>
          </w:p>
        </w:tc>
        <w:tc>
          <w:tcPr>
            <w:tcW w:w="625"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117 bps</w:t>
            </w:r>
          </w:p>
        </w:tc>
        <w:tc>
          <w:tcPr>
            <w:tcW w:w="625"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-43 bps</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Coverage of IOLs</w:t>
            </w:r>
          </w:p>
        </w:tc>
        <w:tc>
          <w:tcPr>
            <w:tcW w:w="909" w:type="dxa"/>
            <w:tcBorders>
              <w:left w:val="single" w:sz="8" w:space="0" w:color="000000"/>
            </w:tcBorders>
            <w:shd w:fill="FFFFFF" w:val="clear"/>
            <w:tcMar>
              <w:top w:w="0" w:type="dxa"/>
              <w:right w:w="0" w:type="dxa"/>
            </w:tcMar>
            <w:vAlign w:val="center"/>
          </w:tcPr>
          <w:p>
            <w:pPr>
              <w:pStyle w:val="TableContents"/>
              <w:bidi w:val="0"/>
              <w:spacing w:before="0" w:after="283"/>
              <w:jc w:val="right"/>
              <w:rPr>
                <w:sz w:val="16"/>
              </w:rPr>
            </w:pPr>
            <w:r>
              <w:rPr>
                <w:sz w:val="16"/>
              </w:rPr>
              <w:t>119.3%</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149.3%</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122.8%</w:t>
            </w:r>
          </w:p>
        </w:tc>
        <w:tc>
          <w:tcPr>
            <w:tcW w:w="625"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-2653 bps</w:t>
            </w:r>
          </w:p>
        </w:tc>
        <w:tc>
          <w:tcPr>
            <w:tcW w:w="625"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351 bps</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Coverage of NPLs</w:t>
            </w:r>
          </w:p>
        </w:tc>
        <w:tc>
          <w:tcPr>
            <w:tcW w:w="909" w:type="dxa"/>
            <w:tcBorders>
              <w:left w:val="single" w:sz="8" w:space="0" w:color="000000"/>
            </w:tcBorders>
            <w:shd w:fill="FFFFFF" w:val="clear"/>
            <w:tcMar>
              <w:top w:w="0" w:type="dxa"/>
              <w:right w:w="0" w:type="dxa"/>
            </w:tcMar>
            <w:vAlign w:val="center"/>
          </w:tcPr>
          <w:p>
            <w:pPr>
              <w:pStyle w:val="TableContents"/>
              <w:bidi w:val="0"/>
              <w:spacing w:before="0" w:after="283"/>
              <w:jc w:val="right"/>
              <w:rPr>
                <w:sz w:val="16"/>
              </w:rPr>
            </w:pPr>
            <w:r>
              <w:rPr>
                <w:sz w:val="16"/>
              </w:rPr>
              <w:t>110.7%</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129.8%</w:t>
            </w:r>
          </w:p>
        </w:tc>
        <w:tc>
          <w:tcPr>
            <w:tcW w:w="909" w:type="dxa"/>
            <w:tcBorders/>
            <w:shd w:fill="FFFFFF" w:val="clear"/>
            <w:tcMar>
              <w:top w:w="0" w:type="dxa"/>
              <w:left w:w="0" w:type="dxa"/>
              <w:right w:w="0" w:type="dxa"/>
            </w:tcMar>
            <w:vAlign w:val="center"/>
          </w:tcPr>
          <w:p>
            <w:pPr>
              <w:pStyle w:val="TableContents"/>
              <w:bidi w:val="0"/>
              <w:spacing w:before="0" w:after="283"/>
              <w:jc w:val="right"/>
              <w:rPr>
                <w:sz w:val="16"/>
              </w:rPr>
            </w:pPr>
            <w:r>
              <w:rPr>
                <w:sz w:val="16"/>
              </w:rPr>
              <w:t>111.5%</w:t>
            </w:r>
          </w:p>
        </w:tc>
        <w:tc>
          <w:tcPr>
            <w:tcW w:w="625"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-1831 bps</w:t>
            </w:r>
          </w:p>
        </w:tc>
        <w:tc>
          <w:tcPr>
            <w:tcW w:w="625" w:type="dxa"/>
            <w:tcBorders>
              <w:right w:val="single" w:sz="8" w:space="0" w:color="000000"/>
            </w:tcBorders>
            <w:tcMar>
              <w:top w:w="0" w:type="dxa"/>
              <w:left w:w="0" w:type="dxa"/>
            </w:tcMar>
            <w:vAlign w:val="center"/>
          </w:tcPr>
          <w:p>
            <w:pPr>
              <w:pStyle w:val="TableContents"/>
              <w:bidi w:val="0"/>
              <w:spacing w:before="0" w:after="283"/>
              <w:jc w:val="right"/>
              <w:rPr>
                <w:sz w:val="16"/>
              </w:rPr>
            </w:pPr>
            <w:r>
              <w:rPr>
                <w:sz w:val="16"/>
              </w:rPr>
              <w:t>81 bps</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top w:val="single" w:sz="8" w:space="0" w:color="000000"/>
              <w:left w:val="single" w:sz="8" w:space="0" w:color="000000"/>
            </w:tcBorders>
            <w:shd w:fill="FFFFFF" w:val="clear"/>
            <w:tcMar>
              <w:right w:w="0" w:type="dxa"/>
            </w:tcMar>
            <w:vAlign w:val="center"/>
          </w:tcPr>
          <w:p>
            <w:pPr>
              <w:pStyle w:val="TableContents"/>
              <w:bidi w:val="0"/>
              <w:spacing w:lineRule="auto" w:line="240" w:before="0" w:after="283"/>
              <w:jc w:val="left"/>
              <w:rPr>
                <w:sz w:val="16"/>
              </w:rPr>
            </w:pPr>
            <w:r>
              <w:rPr>
                <w:sz w:val="16"/>
              </w:rPr>
              <w:t xml:space="preserve">Branches </w:t>
            </w:r>
            <w:r>
              <w:rPr>
                <w:rFonts w:ascii="Arial;Helvetica;Sans-Serif" w:hAnsi="Arial;Helvetica;Sans-Serif"/>
                <w:b w:val="false"/>
                <w:i w:val="false"/>
                <w:caps w:val="false"/>
                <w:smallCaps w:val="false"/>
                <w:sz w:val="16"/>
              </w:rPr>
              <w:t>(1)</w:t>
            </w:r>
          </w:p>
        </w:tc>
        <w:tc>
          <w:tcPr>
            <w:tcW w:w="909" w:type="dxa"/>
            <w:tcBorders>
              <w:top w:val="single" w:sz="8" w:space="0" w:color="000000"/>
              <w:left w:val="single" w:sz="8" w:space="0" w:color="000000"/>
            </w:tcBorders>
            <w:shd w:fill="FFFFFF" w:val="clear"/>
            <w:tcMar>
              <w:right w:w="0" w:type="dxa"/>
            </w:tcMar>
            <w:vAlign w:val="center"/>
          </w:tcPr>
          <w:p>
            <w:pPr>
              <w:pStyle w:val="TableContents"/>
              <w:bidi w:val="0"/>
              <w:spacing w:before="0" w:after="283"/>
              <w:jc w:val="right"/>
              <w:rPr>
                <w:sz w:val="16"/>
              </w:rPr>
            </w:pPr>
            <w:r>
              <w:rPr>
                <w:sz w:val="16"/>
              </w:rPr>
              <w:t>304</w:t>
            </w:r>
          </w:p>
        </w:tc>
        <w:tc>
          <w:tcPr>
            <w:tcW w:w="909" w:type="dxa"/>
            <w:tcBorders>
              <w:top w:val="single" w:sz="8" w:space="0" w:color="000000"/>
            </w:tcBorders>
            <w:shd w:fill="FFFFFF" w:val="clear"/>
            <w:tcMar>
              <w:left w:w="0" w:type="dxa"/>
              <w:right w:w="0" w:type="dxa"/>
            </w:tcMar>
            <w:vAlign w:val="center"/>
          </w:tcPr>
          <w:p>
            <w:pPr>
              <w:pStyle w:val="TableContents"/>
              <w:bidi w:val="0"/>
              <w:spacing w:before="0" w:after="283"/>
              <w:jc w:val="right"/>
              <w:rPr>
                <w:sz w:val="16"/>
              </w:rPr>
            </w:pPr>
            <w:r>
              <w:rPr>
                <w:sz w:val="16"/>
              </w:rPr>
              <w:t>286</w:t>
            </w:r>
          </w:p>
        </w:tc>
        <w:tc>
          <w:tcPr>
            <w:tcW w:w="909" w:type="dxa"/>
            <w:tcBorders>
              <w:top w:val="single" w:sz="8" w:space="0" w:color="000000"/>
              <w:right w:val="single" w:sz="8" w:space="0" w:color="000000"/>
            </w:tcBorders>
            <w:shd w:fill="FFFFFF" w:val="clear"/>
            <w:tcMar>
              <w:left w:w="0" w:type="dxa"/>
              <w:right w:w="60" w:type="dxa"/>
            </w:tcMar>
            <w:vAlign w:val="center"/>
          </w:tcPr>
          <w:p>
            <w:pPr>
              <w:pStyle w:val="TableContents"/>
              <w:bidi w:val="0"/>
              <w:spacing w:before="0" w:after="283"/>
              <w:jc w:val="right"/>
              <w:rPr>
                <w:sz w:val="16"/>
              </w:rPr>
            </w:pPr>
            <w:r>
              <w:rPr>
                <w:sz w:val="16"/>
              </w:rPr>
              <w:t>292</w:t>
            </w:r>
          </w:p>
        </w:tc>
        <w:tc>
          <w:tcPr>
            <w:tcW w:w="625" w:type="dxa"/>
            <w:tcBorders>
              <w:top w:val="single" w:sz="8" w:space="0" w:color="000000"/>
            </w:tcBorders>
            <w:tcMar>
              <w:left w:w="0" w:type="dxa"/>
              <w:right w:w="0" w:type="dxa"/>
            </w:tcMar>
            <w:vAlign w:val="center"/>
          </w:tcPr>
          <w:p>
            <w:pPr>
              <w:pStyle w:val="TableContents"/>
              <w:bidi w:val="0"/>
              <w:spacing w:before="0" w:after="283"/>
              <w:jc w:val="right"/>
              <w:rPr/>
            </w:pPr>
            <w:r>
              <w:rPr/>
              <w:t> </w:t>
            </w:r>
            <w:r>
              <w:rPr>
                <w:sz w:val="16"/>
              </w:rPr>
              <w:t>6</w:t>
            </w:r>
          </w:p>
        </w:tc>
        <w:tc>
          <w:tcPr>
            <w:tcW w:w="625" w:type="dxa"/>
            <w:tcBorders>
              <w:top w:val="single" w:sz="8" w:space="0" w:color="000000"/>
              <w:right w:val="single" w:sz="8" w:space="0" w:color="000000"/>
            </w:tcBorders>
            <w:tcMar>
              <w:left w:w="0" w:type="dxa"/>
            </w:tcMar>
            <w:vAlign w:val="center"/>
          </w:tcPr>
          <w:p>
            <w:pPr>
              <w:pStyle w:val="TableContents"/>
              <w:bidi w:val="0"/>
              <w:spacing w:before="0" w:after="283"/>
              <w:jc w:val="right"/>
              <w:rPr>
                <w:sz w:val="16"/>
              </w:rPr>
            </w:pPr>
            <w:r>
              <w:rPr>
                <w:sz w:val="16"/>
              </w:rPr>
              <w:t>-12</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r>
        <w:trPr/>
        <w:tc>
          <w:tcPr>
            <w:tcW w:w="3480"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left"/>
              <w:rPr>
                <w:sz w:val="16"/>
              </w:rPr>
            </w:pPr>
            <w:r>
              <w:rPr>
                <w:sz w:val="16"/>
              </w:rPr>
              <w:t>Employees</w:t>
            </w:r>
          </w:p>
        </w:tc>
        <w:tc>
          <w:tcPr>
            <w:tcW w:w="909"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right"/>
              <w:rPr>
                <w:sz w:val="16"/>
              </w:rPr>
            </w:pPr>
            <w:r>
              <w:rPr>
                <w:sz w:val="16"/>
              </w:rPr>
              <w:t>9,593</w:t>
            </w:r>
          </w:p>
        </w:tc>
        <w:tc>
          <w:tcPr>
            <w:tcW w:w="909"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right"/>
              <w:rPr>
                <w:sz w:val="16"/>
              </w:rPr>
            </w:pPr>
            <w:r>
              <w:rPr>
                <w:sz w:val="16"/>
              </w:rPr>
              <w:t>9,904</w:t>
            </w:r>
          </w:p>
        </w:tc>
        <w:tc>
          <w:tcPr>
            <w:tcW w:w="909" w:type="dxa"/>
            <w:tcBorders>
              <w:bottom w:val="single" w:sz="8" w:space="0" w:color="000000"/>
              <w:right w:val="single" w:sz="8" w:space="0" w:color="000000"/>
            </w:tcBorders>
            <w:shd w:fill="FFFFFF" w:val="clear"/>
            <w:tcMar>
              <w:top w:w="0" w:type="dxa"/>
              <w:left w:w="0" w:type="dxa"/>
              <w:bottom w:w="28" w:type="dxa"/>
              <w:right w:w="60" w:type="dxa"/>
            </w:tcMar>
            <w:vAlign w:val="center"/>
          </w:tcPr>
          <w:p>
            <w:pPr>
              <w:pStyle w:val="TableContents"/>
              <w:bidi w:val="0"/>
              <w:spacing w:before="0" w:after="283"/>
              <w:jc w:val="right"/>
              <w:rPr>
                <w:sz w:val="16"/>
              </w:rPr>
            </w:pPr>
            <w:r>
              <w:rPr>
                <w:sz w:val="16"/>
              </w:rPr>
              <w:t>10,094</w:t>
            </w:r>
          </w:p>
        </w:tc>
        <w:tc>
          <w:tcPr>
            <w:tcW w:w="62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sz w:val="16"/>
              </w:rPr>
            </w:pPr>
            <w:r>
              <w:rPr>
                <w:sz w:val="16"/>
              </w:rPr>
              <w:t>190</w:t>
            </w:r>
          </w:p>
        </w:tc>
        <w:tc>
          <w:tcPr>
            <w:tcW w:w="6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sz w:val="16"/>
              </w:rPr>
            </w:pPr>
            <w:r>
              <w:rPr>
                <w:sz w:val="16"/>
              </w:rPr>
              <w:t>501</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800" w:type="dxa"/>
            <w:tcBorders/>
            <w:tcMar>
              <w:top w:w="0" w:type="dxa"/>
              <w:left w:w="0" w:type="dxa"/>
              <w:right w:w="0" w:type="dxa"/>
            </w:tcMar>
            <w:vAlign w:val="center"/>
          </w:tcPr>
          <w:p>
            <w:pPr>
              <w:pStyle w:val="TableContents"/>
              <w:bidi w:val="0"/>
              <w:spacing w:before="0" w:after="283"/>
              <w:jc w:val="left"/>
              <w:rPr/>
            </w:pPr>
            <w:r>
              <w:rPr/>
              <w:t> </w:t>
            </w:r>
          </w:p>
        </w:tc>
        <w:tc>
          <w:tcPr>
            <w:tcW w:w="1148"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Includes Banco de la Nacion branches, which in December 21, September 22 and December 22 were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71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9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38" descr=""/>
                          <pic:cNvPicPr>
                            <a:picLocks noChangeAspect="1" noChangeArrowheads="1"/>
                          </pic:cNvPicPr>
                        </pic:nvPicPr>
                        <pic:blipFill>
                          <a:blip r:embed="rId157"/>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12.6.7. Prima AFP</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940"/>
      </w:tblGrid>
      <w:tr>
        <w:trPr/>
        <w:tc>
          <w:tcPr>
            <w:tcW w:w="1940" w:type="dxa"/>
            <w:tcBorders/>
            <w:vAlign w:val="center"/>
          </w:tcPr>
          <w:p>
            <w:pPr>
              <w:pStyle w:val="TableContents"/>
              <w:bidi w:val="0"/>
              <w:spacing w:before="0" w:after="283"/>
              <w:jc w:val="center"/>
              <w:rPr>
                <w:b/>
                <w:sz w:val="20"/>
              </w:rPr>
            </w:pPr>
            <w:r>
              <w:rPr>
                <w:b/>
                <w:sz w:val="20"/>
              </w:rPr>
              <w:t>PRIMA</w:t>
            </w:r>
          </w:p>
        </w:tc>
      </w:tr>
      <w:tr>
        <w:trPr/>
        <w:tc>
          <w:tcPr>
            <w:tcW w:w="1940" w:type="dxa"/>
            <w:tcBorders/>
            <w:vAlign w:val="center"/>
          </w:tcPr>
          <w:p>
            <w:pPr>
              <w:pStyle w:val="TableContents"/>
              <w:bidi w:val="0"/>
              <w:spacing w:before="0" w:after="283"/>
              <w:jc w:val="center"/>
              <w:rPr>
                <w:b/>
                <w:sz w:val="20"/>
              </w:rPr>
            </w:pPr>
            <w:r>
              <w:rPr>
                <w:b/>
                <w:sz w:val="20"/>
              </w:rPr>
              <w:t>(In S/ thousands, IFRS)</w:t>
            </w:r>
          </w:p>
        </w:tc>
      </w:tr>
    </w:tbl>
    <w:p>
      <w:pPr>
        <w:pStyle w:val="TextBody"/>
        <w:bidi w:val="0"/>
        <w:spacing w:before="0" w:after="0"/>
        <w:ind w:left="0" w:right="0" w:hanging="0"/>
        <w:jc w:val="left"/>
        <w:rPr>
          <w:caps w:val="false"/>
          <w:smallCaps w:val="false"/>
        </w:rPr>
      </w:pPr>
      <w:r>
        <w:rPr>
          <w:caps w:val="false"/>
          <w:smallCaps w:val="false"/>
        </w:rPr>
        <w:t> </w:t>
      </w:r>
    </w:p>
    <w:tbl>
      <w:tblPr>
        <w:tblW w:w="8145" w:type="dxa"/>
        <w:jc w:val="left"/>
        <w:tblInd w:w="-10" w:type="dxa"/>
        <w:tblLayout w:type="fixed"/>
        <w:tblCellMar>
          <w:top w:w="28" w:type="dxa"/>
          <w:left w:w="28" w:type="dxa"/>
          <w:bottom w:w="0" w:type="dxa"/>
          <w:right w:w="0" w:type="dxa"/>
        </w:tblCellMar>
      </w:tblPr>
      <w:tblGrid>
        <w:gridCol w:w="1970"/>
        <w:gridCol w:w="2045"/>
        <w:gridCol w:w="1745"/>
        <w:gridCol w:w="1325"/>
        <w:gridCol w:w="530"/>
        <w:gridCol w:w="530"/>
      </w:tblGrid>
      <w:tr>
        <w:trPr/>
        <w:tc>
          <w:tcPr>
            <w:tcW w:w="1970" w:type="dxa"/>
            <w:tcBorders>
              <w:top w:val="single" w:sz="8" w:space="0" w:color="000000"/>
              <w:left w:val="single" w:sz="8" w:space="0" w:color="000000"/>
            </w:tcBorders>
            <w:shd w:fill="2AD2C9" w:val="clear"/>
            <w:vAlign w:val="center"/>
          </w:tcPr>
          <w:p>
            <w:pPr>
              <w:pStyle w:val="TableContents"/>
              <w:bidi w:val="0"/>
              <w:spacing w:before="0" w:after="283"/>
              <w:jc w:val="left"/>
              <w:rPr/>
            </w:pPr>
            <w:r>
              <w:rPr/>
              <w:t> </w:t>
            </w:r>
          </w:p>
        </w:tc>
        <w:tc>
          <w:tcPr>
            <w:tcW w:w="5115" w:type="dxa"/>
            <w:gridSpan w:val="3"/>
            <w:tcBorders>
              <w:top w:val="single" w:sz="8" w:space="0" w:color="000000"/>
              <w:left w:val="single" w:sz="8" w:space="0" w:color="000000"/>
            </w:tcBorders>
            <w:shd w:fill="2AD2C9" w:val="clear"/>
            <w:vAlign w:val="center"/>
          </w:tcPr>
          <w:p>
            <w:pPr>
              <w:pStyle w:val="TableContents"/>
              <w:bidi w:val="0"/>
              <w:spacing w:before="0" w:after="283"/>
              <w:jc w:val="center"/>
              <w:rPr>
                <w:b/>
                <w:color w:val="FFFFFF"/>
                <w:sz w:val="16"/>
              </w:rPr>
            </w:pPr>
            <w:r>
              <w:rPr>
                <w:b/>
                <w:color w:val="FFFFFF"/>
                <w:sz w:val="16"/>
              </w:rPr>
              <w:t>As of </w:t>
            </w:r>
          </w:p>
        </w:tc>
        <w:tc>
          <w:tcPr>
            <w:tcW w:w="1060" w:type="dxa"/>
            <w:gridSpan w:val="2"/>
            <w:tcBorders>
              <w:top w:val="single" w:sz="8" w:space="0" w:color="000000"/>
              <w:left w:val="single" w:sz="8" w:space="0" w:color="000000"/>
              <w:right w:val="single" w:sz="8" w:space="0" w:color="000000"/>
            </w:tcBorders>
            <w:shd w:fill="2AD2C9" w:val="clear"/>
            <w:tcMar>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197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left"/>
              <w:rPr/>
            </w:pPr>
            <w:r>
              <w:rPr/>
              <w:t> </w:t>
            </w:r>
          </w:p>
        </w:tc>
        <w:tc>
          <w:tcPr>
            <w:tcW w:w="2045"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b/>
                <w:color w:val="FFFFFF"/>
                <w:sz w:val="16"/>
              </w:rPr>
            </w:pPr>
            <w:r>
              <w:rPr>
                <w:b/>
                <w:color w:val="FFFFFF"/>
                <w:sz w:val="16"/>
              </w:rPr>
              <w:t>Jun-22</w:t>
            </w:r>
          </w:p>
        </w:tc>
        <w:tc>
          <w:tcPr>
            <w:tcW w:w="174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Mar-23</w:t>
            </w:r>
          </w:p>
        </w:tc>
        <w:tc>
          <w:tcPr>
            <w:tcW w:w="1325" w:type="dxa"/>
            <w:tcBorders>
              <w:bottom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Jun-23</w:t>
            </w:r>
          </w:p>
        </w:tc>
        <w:tc>
          <w:tcPr>
            <w:tcW w:w="530" w:type="dxa"/>
            <w:tcBorders>
              <w:left w:val="single" w:sz="8" w:space="0" w:color="000000"/>
              <w:bottom w:val="single" w:sz="8" w:space="0" w:color="000000"/>
            </w:tcBorders>
            <w:shd w:fill="2AD2C9" w:val="clear"/>
            <w:tcMar>
              <w:top w:w="0" w:type="dxa"/>
              <w:bottom w:w="28" w:type="dxa"/>
            </w:tcMar>
            <w:vAlign w:val="center"/>
          </w:tcPr>
          <w:p>
            <w:pPr>
              <w:pStyle w:val="TableContents"/>
              <w:bidi w:val="0"/>
              <w:spacing w:before="0" w:after="283"/>
              <w:jc w:val="center"/>
              <w:rPr>
                <w:b/>
                <w:color w:val="FFFFFF"/>
                <w:sz w:val="16"/>
              </w:rPr>
            </w:pPr>
            <w:r>
              <w:rPr>
                <w:b/>
                <w:color w:val="FFFFFF"/>
                <w:sz w:val="16"/>
              </w:rPr>
              <w:t>QoQ</w:t>
            </w:r>
          </w:p>
        </w:tc>
        <w:tc>
          <w:tcPr>
            <w:tcW w:w="530" w:type="dxa"/>
            <w:tcBorders>
              <w:bottom w:val="single" w:sz="8" w:space="0" w:color="000000"/>
              <w:right w:val="single" w:sz="8" w:space="0" w:color="000000"/>
            </w:tcBorders>
            <w:shd w:fill="2AD2C9" w:val="clear"/>
            <w:tcMar>
              <w:top w:w="0" w:type="dxa"/>
              <w:left w:w="0" w:type="dxa"/>
              <w:bottom w:w="28" w:type="dxa"/>
              <w:right w:w="28" w:type="dxa"/>
            </w:tcMar>
            <w:vAlign w:val="center"/>
          </w:tcPr>
          <w:p>
            <w:pPr>
              <w:pStyle w:val="TableContents"/>
              <w:bidi w:val="0"/>
              <w:spacing w:before="0" w:after="283"/>
              <w:jc w:val="center"/>
              <w:rPr>
                <w:b/>
                <w:color w:val="FFFFFF"/>
                <w:sz w:val="16"/>
              </w:rPr>
            </w:pPr>
            <w:r>
              <w:rPr>
                <w:b/>
                <w:color w:val="FFFFFF"/>
                <w:sz w:val="16"/>
              </w:rPr>
              <w:t>YoY</w:t>
            </w:r>
          </w:p>
        </w:tc>
      </w:tr>
      <w:tr>
        <w:trPr/>
        <w:tc>
          <w:tcPr>
            <w:tcW w:w="1970"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Total assets</w:t>
            </w:r>
          </w:p>
        </w:tc>
        <w:tc>
          <w:tcPr>
            <w:tcW w:w="2045" w:type="dxa"/>
            <w:tcBorders>
              <w:left w:val="single" w:sz="8" w:space="0" w:color="000000"/>
            </w:tcBorders>
            <w:tcMar>
              <w:top w:w="0" w:type="dxa"/>
            </w:tcMar>
            <w:vAlign w:val="center"/>
          </w:tcPr>
          <w:p>
            <w:pPr>
              <w:pStyle w:val="TableContents"/>
              <w:bidi w:val="0"/>
              <w:spacing w:before="0" w:after="283"/>
              <w:jc w:val="right"/>
              <w:rPr/>
            </w:pPr>
            <w:r>
              <w:rPr/>
              <w:t>                        </w:t>
            </w:r>
            <w:r>
              <w:rPr>
                <w:sz w:val="16"/>
              </w:rPr>
              <w:t>694,432</w:t>
            </w:r>
          </w:p>
        </w:tc>
        <w:tc>
          <w:tcPr>
            <w:tcW w:w="1745" w:type="dxa"/>
            <w:tcBorders/>
            <w:tcMar>
              <w:top w:w="0" w:type="dxa"/>
              <w:left w:w="0" w:type="dxa"/>
            </w:tcMar>
            <w:vAlign w:val="center"/>
          </w:tcPr>
          <w:p>
            <w:pPr>
              <w:pStyle w:val="TableContents"/>
              <w:bidi w:val="0"/>
              <w:spacing w:before="0" w:after="283"/>
              <w:jc w:val="right"/>
              <w:rPr/>
            </w:pPr>
            <w:r>
              <w:rPr/>
              <w:t>                   </w:t>
            </w:r>
            <w:r>
              <w:rPr>
                <w:sz w:val="16"/>
              </w:rPr>
              <w:t>790,586</w:t>
            </w:r>
          </w:p>
        </w:tc>
        <w:tc>
          <w:tcPr>
            <w:tcW w:w="1325"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633,654</w:t>
            </w:r>
          </w:p>
        </w:tc>
        <w:tc>
          <w:tcPr>
            <w:tcW w:w="530" w:type="dxa"/>
            <w:tcBorders/>
            <w:shd w:fill="FFFFFF" w:val="clear"/>
            <w:tcMar>
              <w:top w:w="0" w:type="dxa"/>
              <w:left w:w="0" w:type="dxa"/>
            </w:tcMar>
            <w:vAlign w:val="center"/>
          </w:tcPr>
          <w:p>
            <w:pPr>
              <w:pStyle w:val="TableContents"/>
              <w:bidi w:val="0"/>
              <w:spacing w:before="0" w:after="283"/>
              <w:jc w:val="center"/>
              <w:rPr>
                <w:sz w:val="16"/>
              </w:rPr>
            </w:pPr>
            <w:r>
              <w:rPr>
                <w:sz w:val="16"/>
              </w:rPr>
              <w:t>-19.9%</w:t>
            </w:r>
          </w:p>
        </w:tc>
        <w:tc>
          <w:tcPr>
            <w:tcW w:w="530"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-8.8%</w:t>
            </w:r>
          </w:p>
        </w:tc>
      </w:tr>
      <w:tr>
        <w:trPr/>
        <w:tc>
          <w:tcPr>
            <w:tcW w:w="1970" w:type="dxa"/>
            <w:tcBorders>
              <w:left w:val="single" w:sz="8" w:space="0" w:color="000000"/>
            </w:tcBorders>
            <w:shd w:fill="FFFFFF" w:val="clear"/>
            <w:tcMar>
              <w:top w:w="0" w:type="dxa"/>
            </w:tcMar>
            <w:vAlign w:val="center"/>
          </w:tcPr>
          <w:p>
            <w:pPr>
              <w:pStyle w:val="TableContents"/>
              <w:bidi w:val="0"/>
              <w:spacing w:before="0" w:after="283"/>
              <w:jc w:val="left"/>
              <w:rPr>
                <w:sz w:val="16"/>
              </w:rPr>
            </w:pPr>
            <w:r>
              <w:rPr>
                <w:sz w:val="16"/>
              </w:rPr>
              <w:t>Total liabilities</w:t>
            </w:r>
          </w:p>
        </w:tc>
        <w:tc>
          <w:tcPr>
            <w:tcW w:w="2045" w:type="dxa"/>
            <w:tcBorders>
              <w:left w:val="single" w:sz="8" w:space="0" w:color="000000"/>
            </w:tcBorders>
            <w:tcMar>
              <w:top w:w="0" w:type="dxa"/>
            </w:tcMar>
            <w:vAlign w:val="center"/>
          </w:tcPr>
          <w:p>
            <w:pPr>
              <w:pStyle w:val="TableContents"/>
              <w:bidi w:val="0"/>
              <w:spacing w:before="0" w:after="283"/>
              <w:jc w:val="right"/>
              <w:rPr/>
            </w:pPr>
            <w:r>
              <w:rPr/>
              <w:t>                        </w:t>
            </w:r>
            <w:r>
              <w:rPr>
                <w:sz w:val="16"/>
              </w:rPr>
              <w:t>268,858</w:t>
            </w:r>
          </w:p>
        </w:tc>
        <w:tc>
          <w:tcPr>
            <w:tcW w:w="1745" w:type="dxa"/>
            <w:tcBorders/>
            <w:tcMar>
              <w:top w:w="0" w:type="dxa"/>
              <w:left w:w="0" w:type="dxa"/>
            </w:tcMar>
            <w:vAlign w:val="center"/>
          </w:tcPr>
          <w:p>
            <w:pPr>
              <w:pStyle w:val="TableContents"/>
              <w:bidi w:val="0"/>
              <w:spacing w:before="0" w:after="283"/>
              <w:jc w:val="right"/>
              <w:rPr/>
            </w:pPr>
            <w:r>
              <w:rPr/>
              <w:t>                   </w:t>
            </w:r>
            <w:r>
              <w:rPr>
                <w:sz w:val="16"/>
              </w:rPr>
              <w:t>400,483</w:t>
            </w:r>
          </w:p>
        </w:tc>
        <w:tc>
          <w:tcPr>
            <w:tcW w:w="1325"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205,962</w:t>
            </w:r>
          </w:p>
        </w:tc>
        <w:tc>
          <w:tcPr>
            <w:tcW w:w="530" w:type="dxa"/>
            <w:tcBorders/>
            <w:shd w:fill="FFFFFF" w:val="clear"/>
            <w:tcMar>
              <w:top w:w="0" w:type="dxa"/>
              <w:left w:w="0" w:type="dxa"/>
            </w:tcMar>
            <w:vAlign w:val="center"/>
          </w:tcPr>
          <w:p>
            <w:pPr>
              <w:pStyle w:val="TableContents"/>
              <w:bidi w:val="0"/>
              <w:spacing w:before="0" w:after="283"/>
              <w:jc w:val="center"/>
              <w:rPr>
                <w:sz w:val="16"/>
              </w:rPr>
            </w:pPr>
            <w:r>
              <w:rPr>
                <w:sz w:val="16"/>
              </w:rPr>
              <w:t>-48.6%</w:t>
            </w:r>
          </w:p>
        </w:tc>
        <w:tc>
          <w:tcPr>
            <w:tcW w:w="530"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sz w:val="16"/>
              </w:rPr>
            </w:pPr>
            <w:r>
              <w:rPr>
                <w:sz w:val="16"/>
              </w:rPr>
              <w:t>-23.4%</w:t>
            </w:r>
          </w:p>
        </w:tc>
      </w:tr>
      <w:tr>
        <w:trPr/>
        <w:tc>
          <w:tcPr>
            <w:tcW w:w="1970"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sz w:val="16"/>
              </w:rPr>
            </w:pPr>
            <w:r>
              <w:rPr>
                <w:sz w:val="16"/>
              </w:rPr>
              <w:t>Net shareholders’ equity (1)</w:t>
            </w:r>
          </w:p>
        </w:tc>
        <w:tc>
          <w:tcPr>
            <w:tcW w:w="2045"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right"/>
              <w:rPr/>
            </w:pPr>
            <w:r>
              <w:rPr/>
              <w:t>                        </w:t>
            </w:r>
            <w:r>
              <w:rPr>
                <w:sz w:val="16"/>
              </w:rPr>
              <w:t>425,574</w:t>
            </w:r>
          </w:p>
        </w:tc>
        <w:tc>
          <w:tcPr>
            <w:tcW w:w="1745" w:type="dxa"/>
            <w:tcBorders>
              <w:bottom w:val="single" w:sz="8" w:space="0" w:color="000000"/>
            </w:tcBorders>
            <w:tcMar>
              <w:top w:w="0" w:type="dxa"/>
              <w:left w:w="0" w:type="dxa"/>
              <w:bottom w:w="28" w:type="dxa"/>
            </w:tcMar>
            <w:vAlign w:val="center"/>
          </w:tcPr>
          <w:p>
            <w:pPr>
              <w:pStyle w:val="TableContents"/>
              <w:bidi w:val="0"/>
              <w:spacing w:before="0" w:after="283"/>
              <w:jc w:val="right"/>
              <w:rPr/>
            </w:pPr>
            <w:r>
              <w:rPr/>
              <w:t>                   </w:t>
            </w:r>
            <w:r>
              <w:rPr>
                <w:sz w:val="16"/>
              </w:rPr>
              <w:t>390,103</w:t>
            </w:r>
          </w:p>
        </w:tc>
        <w:tc>
          <w:tcPr>
            <w:tcW w:w="132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pPr>
            <w:r>
              <w:rPr/>
              <w:t>            </w:t>
            </w:r>
            <w:r>
              <w:rPr>
                <w:sz w:val="16"/>
              </w:rPr>
              <w:t>427,692</w:t>
            </w:r>
          </w:p>
        </w:tc>
        <w:tc>
          <w:tcPr>
            <w:tcW w:w="530" w:type="dxa"/>
            <w:tcBorders>
              <w:bottom w:val="single" w:sz="8" w:space="0" w:color="000000"/>
            </w:tcBorders>
            <w:shd w:fill="FFFFFF" w:val="clear"/>
            <w:tcMar>
              <w:top w:w="0" w:type="dxa"/>
              <w:left w:w="0" w:type="dxa"/>
              <w:bottom w:w="28" w:type="dxa"/>
            </w:tcMar>
            <w:vAlign w:val="center"/>
          </w:tcPr>
          <w:p>
            <w:pPr>
              <w:pStyle w:val="TableContents"/>
              <w:bidi w:val="0"/>
              <w:spacing w:before="0" w:after="283"/>
              <w:jc w:val="center"/>
              <w:rPr>
                <w:sz w:val="16"/>
              </w:rPr>
            </w:pPr>
            <w:r>
              <w:rPr>
                <w:sz w:val="16"/>
              </w:rPr>
              <w:t>9.6%</w:t>
            </w:r>
          </w:p>
        </w:tc>
        <w:tc>
          <w:tcPr>
            <w:tcW w:w="530" w:type="dxa"/>
            <w:tcBorders>
              <w:bottom w:val="single" w:sz="8" w:space="0" w:color="000000"/>
              <w:right w:val="single" w:sz="8" w:space="0" w:color="000000"/>
            </w:tcBorders>
            <w:shd w:fill="FFFFFF" w:val="clear"/>
            <w:tcMar>
              <w:top w:w="0" w:type="dxa"/>
              <w:left w:w="0" w:type="dxa"/>
              <w:bottom w:w="28" w:type="dxa"/>
              <w:right w:w="28" w:type="dxa"/>
            </w:tcMar>
            <w:vAlign w:val="center"/>
          </w:tcPr>
          <w:p>
            <w:pPr>
              <w:pStyle w:val="TableContents"/>
              <w:bidi w:val="0"/>
              <w:spacing w:before="0" w:after="283"/>
              <w:jc w:val="center"/>
              <w:rPr>
                <w:sz w:val="16"/>
              </w:rPr>
            </w:pPr>
            <w:r>
              <w:rPr>
                <w:sz w:val="16"/>
              </w:rPr>
              <w:t>0.5%</w:t>
            </w:r>
          </w:p>
        </w:tc>
      </w:tr>
    </w:tbl>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Net shareholders’ equity includes unrealized gains from Prima’s investment portfolio.</w:t>
      </w:r>
    </w:p>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10" w:type="dxa"/>
        <w:tblLayout w:type="fixed"/>
        <w:tblCellMar>
          <w:top w:w="28" w:type="dxa"/>
          <w:left w:w="28" w:type="dxa"/>
          <w:bottom w:w="0" w:type="dxa"/>
          <w:right w:w="28" w:type="dxa"/>
        </w:tblCellMar>
      </w:tblPr>
      <w:tblGrid>
        <w:gridCol w:w="3815"/>
        <w:gridCol w:w="695"/>
        <w:gridCol w:w="695"/>
        <w:gridCol w:w="695"/>
        <w:gridCol w:w="620"/>
        <w:gridCol w:w="770"/>
        <w:gridCol w:w="695"/>
        <w:gridCol w:w="695"/>
        <w:gridCol w:w="1145"/>
      </w:tblGrid>
      <w:tr>
        <w:trPr/>
        <w:tc>
          <w:tcPr>
            <w:tcW w:w="3815" w:type="dxa"/>
            <w:tcBorders>
              <w:top w:val="single" w:sz="8" w:space="0" w:color="000000"/>
              <w:left w:val="single" w:sz="8" w:space="0" w:color="000000"/>
              <w:right w:val="single" w:sz="8" w:space="0" w:color="000000"/>
            </w:tcBorders>
            <w:shd w:fill="2AD2C9" w:val="clear"/>
            <w:vAlign w:val="center"/>
          </w:tcPr>
          <w:p>
            <w:pPr>
              <w:pStyle w:val="TableContents"/>
              <w:bidi w:val="0"/>
              <w:spacing w:before="0" w:after="283"/>
              <w:jc w:val="left"/>
              <w:rPr>
                <w:color w:val="FFFFFF"/>
              </w:rPr>
            </w:pPr>
            <w:r>
              <w:rPr>
                <w:color w:val="FFFFFF"/>
              </w:rPr>
              <w:t> </w:t>
            </w:r>
          </w:p>
        </w:tc>
        <w:tc>
          <w:tcPr>
            <w:tcW w:w="2085" w:type="dxa"/>
            <w:gridSpan w:val="3"/>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b/>
                <w:color w:val="FFFFFF"/>
                <w:sz w:val="16"/>
              </w:rPr>
            </w:pPr>
            <w:r>
              <w:rPr>
                <w:b/>
                <w:color w:val="FFFFFF"/>
                <w:sz w:val="16"/>
              </w:rPr>
              <w:t>Quarter</w:t>
            </w:r>
          </w:p>
        </w:tc>
        <w:tc>
          <w:tcPr>
            <w:tcW w:w="1390" w:type="dxa"/>
            <w:gridSpan w:val="2"/>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 change</w:t>
            </w:r>
          </w:p>
        </w:tc>
        <w:tc>
          <w:tcPr>
            <w:tcW w:w="1390" w:type="dxa"/>
            <w:gridSpan w:val="2"/>
            <w:tcBorders>
              <w:top w:val="single" w:sz="8" w:space="0" w:color="000000"/>
              <w:right w:val="single" w:sz="8" w:space="0" w:color="000000"/>
            </w:tcBorders>
            <w:shd w:fill="2AD2C9" w:val="clear"/>
            <w:tcMar>
              <w:left w:w="0" w:type="dxa"/>
              <w:right w:w="60" w:type="dxa"/>
            </w:tcMar>
            <w:vAlign w:val="center"/>
          </w:tcPr>
          <w:p>
            <w:pPr>
              <w:pStyle w:val="TableContents"/>
              <w:bidi w:val="0"/>
              <w:spacing w:before="0" w:after="283"/>
              <w:jc w:val="center"/>
              <w:rPr>
                <w:b/>
                <w:color w:val="FFFFFF"/>
                <w:sz w:val="16"/>
              </w:rPr>
            </w:pPr>
            <w:r>
              <w:rPr>
                <w:b/>
                <w:color w:val="FFFFFF"/>
                <w:sz w:val="16"/>
              </w:rPr>
              <w:t>As of</w:t>
            </w:r>
          </w:p>
        </w:tc>
        <w:tc>
          <w:tcPr>
            <w:tcW w:w="1145" w:type="dxa"/>
            <w:tcBorders>
              <w:top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 change</w:t>
            </w:r>
          </w:p>
        </w:tc>
      </w:tr>
      <w:tr>
        <w:trPr/>
        <w:tc>
          <w:tcPr>
            <w:tcW w:w="3815" w:type="dxa"/>
            <w:tcBorders>
              <w:left w:val="single" w:sz="8" w:space="0" w:color="000000"/>
              <w:bottom w:val="single" w:sz="8" w:space="0" w:color="000000"/>
              <w:right w:val="single" w:sz="8" w:space="0" w:color="000000"/>
            </w:tcBorders>
            <w:shd w:fill="2AD2C9" w:val="clear"/>
            <w:tcMar>
              <w:top w:w="0" w:type="dxa"/>
              <w:bottom w:w="28" w:type="dxa"/>
            </w:tcMar>
            <w:vAlign w:val="center"/>
          </w:tcPr>
          <w:p>
            <w:pPr>
              <w:pStyle w:val="TableContents"/>
              <w:bidi w:val="0"/>
              <w:spacing w:before="0" w:after="283"/>
              <w:jc w:val="left"/>
              <w:rPr>
                <w:rFonts w:ascii="Arial;Helvetica;Sans-Serif" w:hAnsi="Arial;Helvetica;Sans-Serif"/>
                <w:color w:val="2AD2C9"/>
                <w:sz w:val="16"/>
                <w:u w:val="single"/>
              </w:rPr>
            </w:pPr>
            <w:r>
              <w:rPr>
                <w:rFonts w:ascii="Arial;Helvetica;Sans-Serif" w:hAnsi="Arial;Helvetica;Sans-Serif"/>
                <w:color w:val="2AD2C9"/>
                <w:sz w:val="16"/>
                <w:u w:val="single"/>
              </w:rPr>
              <w:t>Back to index</w:t>
            </w:r>
          </w:p>
        </w:tc>
        <w:tc>
          <w:tcPr>
            <w:tcW w:w="69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2Q22</w:t>
            </w:r>
          </w:p>
        </w:tc>
        <w:tc>
          <w:tcPr>
            <w:tcW w:w="69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1Q23</w:t>
            </w:r>
          </w:p>
        </w:tc>
        <w:tc>
          <w:tcPr>
            <w:tcW w:w="695"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b/>
                <w:color w:val="FFFFFF"/>
                <w:sz w:val="16"/>
              </w:rPr>
            </w:pPr>
            <w:r>
              <w:rPr>
                <w:b/>
                <w:color w:val="FFFFFF"/>
                <w:sz w:val="16"/>
              </w:rPr>
              <w:t>2Q23</w:t>
            </w:r>
          </w:p>
        </w:tc>
        <w:tc>
          <w:tcPr>
            <w:tcW w:w="620"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QoQ</w:t>
            </w:r>
          </w:p>
        </w:tc>
        <w:tc>
          <w:tcPr>
            <w:tcW w:w="770"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YoY</w:t>
            </w:r>
          </w:p>
        </w:tc>
        <w:tc>
          <w:tcPr>
            <w:tcW w:w="695" w:type="dxa"/>
            <w:tcBorders>
              <w:bottom w:val="single" w:sz="8" w:space="0" w:color="000000"/>
            </w:tcBorders>
            <w:shd w:fill="2AD2C9" w:val="clear"/>
            <w:tcMar>
              <w:top w:w="0" w:type="dxa"/>
              <w:left w:w="0" w:type="dxa"/>
              <w:bottom w:w="28" w:type="dxa"/>
              <w:right w:w="0" w:type="dxa"/>
            </w:tcMar>
            <w:vAlign w:val="center"/>
          </w:tcPr>
          <w:p>
            <w:pPr>
              <w:pStyle w:val="TableContents"/>
              <w:bidi w:val="0"/>
              <w:spacing w:before="0" w:after="283"/>
              <w:jc w:val="center"/>
              <w:rPr>
                <w:b/>
                <w:color w:val="FFFFFF"/>
                <w:sz w:val="16"/>
              </w:rPr>
            </w:pPr>
            <w:r>
              <w:rPr>
                <w:b/>
                <w:color w:val="FFFFFF"/>
                <w:sz w:val="16"/>
              </w:rPr>
              <w:t>Jun 22</w:t>
            </w:r>
          </w:p>
        </w:tc>
        <w:tc>
          <w:tcPr>
            <w:tcW w:w="695" w:type="dxa"/>
            <w:tcBorders>
              <w:bottom w:val="single" w:sz="8" w:space="0" w:color="000000"/>
              <w:right w:val="single" w:sz="8" w:space="0" w:color="000000"/>
            </w:tcBorders>
            <w:shd w:fill="2AD2C9" w:val="clear"/>
            <w:tcMar>
              <w:top w:w="0" w:type="dxa"/>
              <w:left w:w="0" w:type="dxa"/>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1145" w:type="dxa"/>
            <w:tcBorders>
              <w:bottom w:val="single" w:sz="8" w:space="0" w:color="000000"/>
              <w:right w:val="single" w:sz="8" w:space="0" w:color="000000"/>
            </w:tcBorders>
            <w:shd w:fill="2AD2C9" w:val="clear"/>
            <w:tcMar>
              <w:top w:w="0" w:type="dxa"/>
              <w:left w:w="0" w:type="dxa"/>
              <w:bottom w:w="28" w:type="dxa"/>
            </w:tcMar>
            <w:vAlign w:val="center"/>
          </w:tcPr>
          <w:p>
            <w:pPr>
              <w:pStyle w:val="TableContents"/>
              <w:bidi w:val="0"/>
              <w:spacing w:before="0" w:after="283"/>
              <w:jc w:val="center"/>
              <w:rPr>
                <w:b/>
                <w:color w:val="FFFFFF"/>
                <w:sz w:val="16"/>
              </w:rPr>
            </w:pPr>
            <w:r>
              <w:rPr>
                <w:b/>
                <w:color w:val="FFFFFF"/>
                <w:sz w:val="16"/>
              </w:rPr>
              <w:t>Jun 23 / Jun 22</w:t>
            </w:r>
          </w:p>
        </w:tc>
      </w:tr>
      <w:tr>
        <w:trPr/>
        <w:tc>
          <w:tcPr>
            <w:tcW w:w="3815"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Income from commissions</w:t>
            </w:r>
          </w:p>
        </w:tc>
        <w:tc>
          <w:tcPr>
            <w:tcW w:w="695"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98,749</w:t>
            </w:r>
          </w:p>
        </w:tc>
        <w:tc>
          <w:tcPr>
            <w:tcW w:w="695" w:type="dxa"/>
            <w:tcBorders/>
            <w:tcMar>
              <w:top w:w="0" w:type="dxa"/>
              <w:left w:w="0" w:type="dxa"/>
              <w:right w:w="0" w:type="dxa"/>
            </w:tcMar>
            <w:vAlign w:val="center"/>
          </w:tcPr>
          <w:p>
            <w:pPr>
              <w:pStyle w:val="TableContents"/>
              <w:bidi w:val="0"/>
              <w:spacing w:before="0" w:after="283"/>
              <w:jc w:val="right"/>
              <w:rPr/>
            </w:pPr>
            <w:r>
              <w:rPr/>
              <w:t> </w:t>
            </w:r>
            <w:r>
              <w:rPr>
                <w:sz w:val="16"/>
              </w:rPr>
              <w:t>89,532</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88,459</w:t>
            </w:r>
          </w:p>
        </w:tc>
        <w:tc>
          <w:tcPr>
            <w:tcW w:w="620"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-1.2%</w:t>
            </w:r>
          </w:p>
        </w:tc>
        <w:tc>
          <w:tcPr>
            <w:tcW w:w="770"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-10.4%</w:t>
            </w:r>
          </w:p>
        </w:tc>
        <w:tc>
          <w:tcPr>
            <w:tcW w:w="695" w:type="dxa"/>
            <w:tcBorders/>
            <w:tcMar>
              <w:top w:w="0" w:type="dxa"/>
              <w:left w:w="0" w:type="dxa"/>
              <w:right w:w="0" w:type="dxa"/>
            </w:tcMar>
            <w:vAlign w:val="center"/>
          </w:tcPr>
          <w:p>
            <w:pPr>
              <w:pStyle w:val="TableContents"/>
              <w:bidi w:val="0"/>
              <w:spacing w:before="0" w:after="283"/>
              <w:jc w:val="right"/>
              <w:rPr/>
            </w:pPr>
            <w:r>
              <w:rPr/>
              <w:t> </w:t>
            </w:r>
            <w:r>
              <w:rPr>
                <w:sz w:val="16"/>
              </w:rPr>
              <w:t>191,941</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177,991</w:t>
            </w:r>
          </w:p>
        </w:tc>
        <w:tc>
          <w:tcPr>
            <w:tcW w:w="114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-7.3%</w:t>
            </w:r>
          </w:p>
        </w:tc>
      </w:tr>
      <w:tr>
        <w:trPr/>
        <w:tc>
          <w:tcPr>
            <w:tcW w:w="3815"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Administrative and sale expenses</w:t>
            </w:r>
          </w:p>
        </w:tc>
        <w:tc>
          <w:tcPr>
            <w:tcW w:w="695"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(45,786)</w:t>
            </w:r>
          </w:p>
        </w:tc>
        <w:tc>
          <w:tcPr>
            <w:tcW w:w="695" w:type="dxa"/>
            <w:tcBorders/>
            <w:tcMar>
              <w:top w:w="0" w:type="dxa"/>
              <w:left w:w="0" w:type="dxa"/>
              <w:right w:w="0" w:type="dxa"/>
            </w:tcMar>
            <w:vAlign w:val="center"/>
          </w:tcPr>
          <w:p>
            <w:pPr>
              <w:pStyle w:val="TableContents"/>
              <w:bidi w:val="0"/>
              <w:spacing w:before="0" w:after="283"/>
              <w:jc w:val="right"/>
              <w:rPr/>
            </w:pPr>
            <w:r>
              <w:rPr/>
              <w:t> </w:t>
            </w:r>
            <w:r>
              <w:rPr>
                <w:sz w:val="16"/>
              </w:rPr>
              <w:t>(38,986)</w:t>
            </w:r>
          </w:p>
        </w:tc>
        <w:tc>
          <w:tcPr>
            <w:tcW w:w="69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6"/>
              </w:rPr>
              <w:t>(38,279)</w:t>
            </w:r>
          </w:p>
        </w:tc>
        <w:tc>
          <w:tcPr>
            <w:tcW w:w="620"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-1.8%</w:t>
            </w:r>
          </w:p>
        </w:tc>
        <w:tc>
          <w:tcPr>
            <w:tcW w:w="770"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-16.4%</w:t>
            </w:r>
          </w:p>
        </w:tc>
        <w:tc>
          <w:tcPr>
            <w:tcW w:w="695" w:type="dxa"/>
            <w:tcBorders/>
            <w:shd w:fill="FFFFFF" w:val="clear"/>
            <w:tcMar>
              <w:top w:w="0" w:type="dxa"/>
              <w:left w:w="0" w:type="dxa"/>
              <w:right w:w="0" w:type="dxa"/>
            </w:tcMar>
            <w:vAlign w:val="center"/>
          </w:tcPr>
          <w:p>
            <w:pPr>
              <w:pStyle w:val="TableContents"/>
              <w:bidi w:val="0"/>
              <w:spacing w:before="0" w:after="283"/>
              <w:jc w:val="right"/>
              <w:rPr/>
            </w:pPr>
            <w:r>
              <w:rPr/>
              <w:t> </w:t>
            </w:r>
            <w:r>
              <w:rPr>
                <w:sz w:val="16"/>
              </w:rPr>
              <w:t>(89,586)</w:t>
            </w:r>
          </w:p>
        </w:tc>
        <w:tc>
          <w:tcPr>
            <w:tcW w:w="695" w:type="dxa"/>
            <w:tcBorders>
              <w:right w:val="single" w:sz="8" w:space="0" w:color="000000"/>
            </w:tcBorders>
            <w:shd w:fill="FFFFFF" w:val="clear"/>
            <w:tcMar>
              <w:top w:w="0" w:type="dxa"/>
              <w:left w:w="0" w:type="dxa"/>
            </w:tcMar>
            <w:vAlign w:val="center"/>
          </w:tcPr>
          <w:p>
            <w:pPr>
              <w:pStyle w:val="TableContents"/>
              <w:bidi w:val="0"/>
              <w:spacing w:before="0" w:after="283"/>
              <w:jc w:val="right"/>
              <w:rPr/>
            </w:pPr>
            <w:r>
              <w:rPr/>
              <w:t> </w:t>
            </w:r>
            <w:r>
              <w:rPr>
                <w:sz w:val="16"/>
              </w:rPr>
              <w:t>(77,265)</w:t>
            </w:r>
          </w:p>
        </w:tc>
        <w:tc>
          <w:tcPr>
            <w:tcW w:w="114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-13.8%</w:t>
            </w:r>
          </w:p>
        </w:tc>
      </w:tr>
      <w:tr>
        <w:trPr/>
        <w:tc>
          <w:tcPr>
            <w:tcW w:w="3815"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Depreciation and amortization</w:t>
            </w:r>
          </w:p>
        </w:tc>
        <w:tc>
          <w:tcPr>
            <w:tcW w:w="695"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(6,247)</w:t>
            </w:r>
          </w:p>
        </w:tc>
        <w:tc>
          <w:tcPr>
            <w:tcW w:w="695" w:type="dxa"/>
            <w:tcBorders/>
            <w:tcMar>
              <w:top w:w="0" w:type="dxa"/>
              <w:left w:w="0" w:type="dxa"/>
              <w:right w:w="0" w:type="dxa"/>
            </w:tcMar>
            <w:vAlign w:val="center"/>
          </w:tcPr>
          <w:p>
            <w:pPr>
              <w:pStyle w:val="TableContents"/>
              <w:bidi w:val="0"/>
              <w:spacing w:before="0" w:after="283"/>
              <w:jc w:val="right"/>
              <w:rPr/>
            </w:pPr>
            <w:r>
              <w:rPr/>
              <w:t> </w:t>
            </w:r>
            <w:r>
              <w:rPr>
                <w:sz w:val="16"/>
              </w:rPr>
              <w:t>(6,194)</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(6,262)</w:t>
            </w:r>
          </w:p>
        </w:tc>
        <w:tc>
          <w:tcPr>
            <w:tcW w:w="620"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1.1%</w:t>
            </w:r>
          </w:p>
        </w:tc>
        <w:tc>
          <w:tcPr>
            <w:tcW w:w="770"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0.2%</w:t>
            </w:r>
          </w:p>
        </w:tc>
        <w:tc>
          <w:tcPr>
            <w:tcW w:w="695" w:type="dxa"/>
            <w:tcBorders/>
            <w:shd w:fill="FFFFFF" w:val="clear"/>
            <w:tcMar>
              <w:top w:w="0" w:type="dxa"/>
              <w:left w:w="0" w:type="dxa"/>
              <w:right w:w="0" w:type="dxa"/>
            </w:tcMar>
            <w:vAlign w:val="center"/>
          </w:tcPr>
          <w:p>
            <w:pPr>
              <w:pStyle w:val="TableContents"/>
              <w:bidi w:val="0"/>
              <w:spacing w:before="0" w:after="283"/>
              <w:jc w:val="right"/>
              <w:rPr/>
            </w:pPr>
            <w:r>
              <w:rPr/>
              <w:t> </w:t>
            </w:r>
            <w:r>
              <w:rPr>
                <w:sz w:val="16"/>
              </w:rPr>
              <w:t>(12,461)</w:t>
            </w:r>
          </w:p>
        </w:tc>
        <w:tc>
          <w:tcPr>
            <w:tcW w:w="695" w:type="dxa"/>
            <w:tcBorders>
              <w:right w:val="single" w:sz="8" w:space="0" w:color="000000"/>
            </w:tcBorders>
            <w:shd w:fill="FFFFFF" w:val="clear"/>
            <w:tcMar>
              <w:top w:w="0" w:type="dxa"/>
              <w:left w:w="0" w:type="dxa"/>
            </w:tcMar>
            <w:vAlign w:val="center"/>
          </w:tcPr>
          <w:p>
            <w:pPr>
              <w:pStyle w:val="TableContents"/>
              <w:bidi w:val="0"/>
              <w:spacing w:before="0" w:after="283"/>
              <w:jc w:val="right"/>
              <w:rPr/>
            </w:pPr>
            <w:r>
              <w:rPr/>
              <w:t> </w:t>
            </w:r>
            <w:r>
              <w:rPr>
                <w:sz w:val="16"/>
              </w:rPr>
              <w:t>(12,455)</w:t>
            </w:r>
          </w:p>
        </w:tc>
        <w:tc>
          <w:tcPr>
            <w:tcW w:w="114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0.0%</w:t>
            </w:r>
          </w:p>
        </w:tc>
      </w:tr>
      <w:tr>
        <w:trPr/>
        <w:tc>
          <w:tcPr>
            <w:tcW w:w="3815"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Operating income</w:t>
            </w:r>
          </w:p>
        </w:tc>
        <w:tc>
          <w:tcPr>
            <w:tcW w:w="695" w:type="dxa"/>
            <w:tcBorders>
              <w:left w:val="single" w:sz="8" w:space="0" w:color="000000"/>
            </w:tcBorders>
            <w:tcMar>
              <w:top w:w="0" w:type="dxa"/>
              <w:right w:w="0" w:type="dxa"/>
            </w:tcMar>
            <w:vAlign w:val="center"/>
          </w:tcPr>
          <w:p>
            <w:pPr>
              <w:pStyle w:val="TableContents"/>
              <w:bidi w:val="0"/>
              <w:spacing w:before="0" w:after="283"/>
              <w:jc w:val="right"/>
              <w:rPr>
                <w:b/>
                <w:sz w:val="16"/>
              </w:rPr>
            </w:pPr>
            <w:r>
              <w:rPr>
                <w:b/>
                <w:sz w:val="16"/>
              </w:rPr>
              <w:t>46,717</w:t>
            </w:r>
          </w:p>
        </w:tc>
        <w:tc>
          <w:tcPr>
            <w:tcW w:w="695" w:type="dxa"/>
            <w:tcBorders/>
            <w:tcMar>
              <w:top w:w="0" w:type="dxa"/>
              <w:left w:w="0" w:type="dxa"/>
              <w:right w:w="0" w:type="dxa"/>
            </w:tcMar>
            <w:vAlign w:val="center"/>
          </w:tcPr>
          <w:p>
            <w:pPr>
              <w:pStyle w:val="TableContents"/>
              <w:bidi w:val="0"/>
              <w:spacing w:before="0" w:after="283"/>
              <w:jc w:val="right"/>
              <w:rPr/>
            </w:pPr>
            <w:r>
              <w:rPr/>
              <w:t> </w:t>
            </w:r>
            <w:r>
              <w:rPr>
                <w:b/>
                <w:sz w:val="16"/>
              </w:rPr>
              <w:t>44,352</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b/>
                <w:sz w:val="16"/>
              </w:rPr>
            </w:pPr>
            <w:r>
              <w:rPr>
                <w:b/>
                <w:sz w:val="16"/>
              </w:rPr>
              <w:t>43,918</w:t>
            </w:r>
          </w:p>
        </w:tc>
        <w:tc>
          <w:tcPr>
            <w:tcW w:w="620"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-1.0%</w:t>
            </w:r>
          </w:p>
        </w:tc>
        <w:tc>
          <w:tcPr>
            <w:tcW w:w="770"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-6.0%</w:t>
            </w:r>
          </w:p>
        </w:tc>
        <w:tc>
          <w:tcPr>
            <w:tcW w:w="695" w:type="dxa"/>
            <w:tcBorders/>
            <w:tcMar>
              <w:top w:w="0" w:type="dxa"/>
              <w:left w:w="0" w:type="dxa"/>
              <w:right w:w="0" w:type="dxa"/>
            </w:tcMar>
            <w:vAlign w:val="center"/>
          </w:tcPr>
          <w:p>
            <w:pPr>
              <w:pStyle w:val="TableContents"/>
              <w:bidi w:val="0"/>
              <w:spacing w:before="0" w:after="283"/>
              <w:jc w:val="right"/>
              <w:rPr/>
            </w:pPr>
            <w:r>
              <w:rPr/>
              <w:t> </w:t>
            </w:r>
            <w:r>
              <w:rPr>
                <w:b/>
                <w:sz w:val="16"/>
              </w:rPr>
              <w:t>89,894</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b/>
                <w:sz w:val="16"/>
              </w:rPr>
              <w:t>88,270</w:t>
            </w:r>
          </w:p>
        </w:tc>
        <w:tc>
          <w:tcPr>
            <w:tcW w:w="114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-1.8%</w:t>
            </w:r>
          </w:p>
        </w:tc>
      </w:tr>
      <w:tr>
        <w:trPr/>
        <w:tc>
          <w:tcPr>
            <w:tcW w:w="3815"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Other income and expenses, net (profitability of lace)*</w:t>
            </w:r>
          </w:p>
        </w:tc>
        <w:tc>
          <w:tcPr>
            <w:tcW w:w="695"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(17,653)</w:t>
            </w:r>
          </w:p>
        </w:tc>
        <w:tc>
          <w:tcPr>
            <w:tcW w:w="695" w:type="dxa"/>
            <w:tcBorders/>
            <w:tcMar>
              <w:top w:w="0" w:type="dxa"/>
              <w:left w:w="0" w:type="dxa"/>
              <w:right w:w="0" w:type="dxa"/>
            </w:tcMar>
            <w:vAlign w:val="center"/>
          </w:tcPr>
          <w:p>
            <w:pPr>
              <w:pStyle w:val="TableContents"/>
              <w:bidi w:val="0"/>
              <w:spacing w:before="0" w:after="283"/>
              <w:jc w:val="right"/>
              <w:rPr/>
            </w:pPr>
            <w:r>
              <w:rPr/>
              <w:t> </w:t>
            </w:r>
            <w:r>
              <w:rPr>
                <w:sz w:val="16"/>
              </w:rPr>
              <w:t>8,742</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6,685</w:t>
            </w:r>
          </w:p>
        </w:tc>
        <w:tc>
          <w:tcPr>
            <w:tcW w:w="620"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-23.5%</w:t>
            </w:r>
          </w:p>
        </w:tc>
        <w:tc>
          <w:tcPr>
            <w:tcW w:w="770"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-137.9%</w:t>
            </w:r>
          </w:p>
        </w:tc>
        <w:tc>
          <w:tcPr>
            <w:tcW w:w="695" w:type="dxa"/>
            <w:tcBorders/>
            <w:tcMar>
              <w:top w:w="0" w:type="dxa"/>
              <w:left w:w="0" w:type="dxa"/>
              <w:right w:w="0" w:type="dxa"/>
            </w:tcMar>
            <w:vAlign w:val="center"/>
          </w:tcPr>
          <w:p>
            <w:pPr>
              <w:pStyle w:val="TableContents"/>
              <w:bidi w:val="0"/>
              <w:spacing w:before="0" w:after="283"/>
              <w:jc w:val="right"/>
              <w:rPr/>
            </w:pPr>
            <w:r>
              <w:rPr/>
              <w:t> </w:t>
            </w:r>
            <w:r>
              <w:rPr>
                <w:sz w:val="16"/>
              </w:rPr>
              <w:t>(21,786)</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sz w:val="16"/>
              </w:rPr>
              <w:t>15,427</w:t>
            </w:r>
          </w:p>
        </w:tc>
        <w:tc>
          <w:tcPr>
            <w:tcW w:w="114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-170.8%</w:t>
            </w:r>
          </w:p>
        </w:tc>
      </w:tr>
      <w:tr>
        <w:trPr/>
        <w:tc>
          <w:tcPr>
            <w:tcW w:w="3815"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Income tax</w:t>
            </w:r>
          </w:p>
        </w:tc>
        <w:tc>
          <w:tcPr>
            <w:tcW w:w="695" w:type="dxa"/>
            <w:tcBorders>
              <w:left w:val="single" w:sz="8" w:space="0" w:color="000000"/>
            </w:tcBorders>
            <w:tcMar>
              <w:top w:w="0" w:type="dxa"/>
              <w:right w:w="0" w:type="dxa"/>
            </w:tcMar>
            <w:vAlign w:val="center"/>
          </w:tcPr>
          <w:p>
            <w:pPr>
              <w:pStyle w:val="TableContents"/>
              <w:bidi w:val="0"/>
              <w:spacing w:before="0" w:after="283"/>
              <w:jc w:val="right"/>
              <w:rPr/>
            </w:pPr>
            <w:r>
              <w:rPr/>
              <w:t> </w:t>
            </w:r>
            <w:r>
              <w:rPr>
                <w:sz w:val="16"/>
              </w:rPr>
              <w:t>(15,501)</w:t>
            </w:r>
          </w:p>
        </w:tc>
        <w:tc>
          <w:tcPr>
            <w:tcW w:w="695" w:type="dxa"/>
            <w:tcBorders/>
            <w:tcMar>
              <w:top w:w="0" w:type="dxa"/>
              <w:left w:w="0" w:type="dxa"/>
              <w:right w:w="0" w:type="dxa"/>
            </w:tcMar>
            <w:vAlign w:val="center"/>
          </w:tcPr>
          <w:p>
            <w:pPr>
              <w:pStyle w:val="TableContents"/>
              <w:bidi w:val="0"/>
              <w:spacing w:before="0" w:after="283"/>
              <w:jc w:val="right"/>
              <w:rPr/>
            </w:pPr>
            <w:r>
              <w:rPr/>
              <w:t> </w:t>
            </w:r>
            <w:r>
              <w:rPr>
                <w:sz w:val="16"/>
              </w:rPr>
              <w:t>(13,295)</w:t>
            </w:r>
          </w:p>
        </w:tc>
        <w:tc>
          <w:tcPr>
            <w:tcW w:w="69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6"/>
              </w:rPr>
              <w:t>(13,499)</w:t>
            </w:r>
          </w:p>
        </w:tc>
        <w:tc>
          <w:tcPr>
            <w:tcW w:w="620"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1.5%</w:t>
            </w:r>
          </w:p>
        </w:tc>
        <w:tc>
          <w:tcPr>
            <w:tcW w:w="770"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-12.9%</w:t>
            </w:r>
          </w:p>
        </w:tc>
        <w:tc>
          <w:tcPr>
            <w:tcW w:w="695" w:type="dxa"/>
            <w:tcBorders/>
            <w:tcMar>
              <w:top w:w="0" w:type="dxa"/>
              <w:left w:w="0" w:type="dxa"/>
              <w:right w:w="0" w:type="dxa"/>
            </w:tcMar>
            <w:vAlign w:val="center"/>
          </w:tcPr>
          <w:p>
            <w:pPr>
              <w:pStyle w:val="TableContents"/>
              <w:bidi w:val="0"/>
              <w:spacing w:before="0" w:after="283"/>
              <w:jc w:val="right"/>
              <w:rPr/>
            </w:pPr>
            <w:r>
              <w:rPr/>
              <w:t> </w:t>
            </w:r>
            <w:r>
              <w:rPr>
                <w:sz w:val="16"/>
              </w:rPr>
              <w:t>(28,695)</w:t>
            </w:r>
          </w:p>
        </w:tc>
        <w:tc>
          <w:tcPr>
            <w:tcW w:w="695" w:type="dxa"/>
            <w:tcBorders>
              <w:right w:val="single" w:sz="8" w:space="0" w:color="000000"/>
            </w:tcBorders>
            <w:tcMar>
              <w:top w:w="0" w:type="dxa"/>
              <w:left w:w="0" w:type="dxa"/>
            </w:tcMar>
            <w:vAlign w:val="center"/>
          </w:tcPr>
          <w:p>
            <w:pPr>
              <w:pStyle w:val="TableContents"/>
              <w:bidi w:val="0"/>
              <w:spacing w:before="0" w:after="283"/>
              <w:jc w:val="right"/>
              <w:rPr/>
            </w:pPr>
            <w:r>
              <w:rPr/>
              <w:t> </w:t>
            </w:r>
            <w:r>
              <w:rPr>
                <w:sz w:val="16"/>
              </w:rPr>
              <w:t>(26,794)</w:t>
            </w:r>
          </w:p>
        </w:tc>
        <w:tc>
          <w:tcPr>
            <w:tcW w:w="114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-6.6%</w:t>
            </w:r>
          </w:p>
        </w:tc>
      </w:tr>
      <w:tr>
        <w:trPr/>
        <w:tc>
          <w:tcPr>
            <w:tcW w:w="3815" w:type="dxa"/>
            <w:tcBorders>
              <w:left w:val="single" w:sz="8" w:space="0" w:color="000000"/>
            </w:tcBorders>
            <w:shd w:fill="FFFFFF" w:val="clear"/>
            <w:tcMar>
              <w:top w:w="0" w:type="dxa"/>
              <w:right w:w="0" w:type="dxa"/>
            </w:tcMar>
            <w:vAlign w:val="center"/>
          </w:tcPr>
          <w:p>
            <w:pPr>
              <w:pStyle w:val="TableContents"/>
              <w:bidi w:val="0"/>
              <w:spacing w:before="0" w:after="283"/>
              <w:jc w:val="left"/>
              <w:rPr>
                <w:b/>
                <w:sz w:val="16"/>
              </w:rPr>
            </w:pPr>
            <w:r>
              <w:rPr>
                <w:b/>
                <w:sz w:val="16"/>
              </w:rPr>
              <w:t>Net income before translation results</w:t>
            </w:r>
          </w:p>
        </w:tc>
        <w:tc>
          <w:tcPr>
            <w:tcW w:w="695" w:type="dxa"/>
            <w:tcBorders>
              <w:left w:val="single" w:sz="8" w:space="0" w:color="000000"/>
            </w:tcBorders>
            <w:tcMar>
              <w:top w:w="0" w:type="dxa"/>
              <w:right w:w="0" w:type="dxa"/>
            </w:tcMar>
            <w:vAlign w:val="center"/>
          </w:tcPr>
          <w:p>
            <w:pPr>
              <w:pStyle w:val="TableContents"/>
              <w:bidi w:val="0"/>
              <w:spacing w:before="0" w:after="283"/>
              <w:jc w:val="right"/>
              <w:rPr>
                <w:b/>
                <w:sz w:val="16"/>
              </w:rPr>
            </w:pPr>
            <w:r>
              <w:rPr>
                <w:b/>
                <w:sz w:val="16"/>
              </w:rPr>
              <w:t>13,563</w:t>
            </w:r>
          </w:p>
        </w:tc>
        <w:tc>
          <w:tcPr>
            <w:tcW w:w="695" w:type="dxa"/>
            <w:tcBorders/>
            <w:tcMar>
              <w:top w:w="0" w:type="dxa"/>
              <w:left w:w="0" w:type="dxa"/>
              <w:right w:w="0" w:type="dxa"/>
            </w:tcMar>
            <w:vAlign w:val="center"/>
          </w:tcPr>
          <w:p>
            <w:pPr>
              <w:pStyle w:val="TableContents"/>
              <w:bidi w:val="0"/>
              <w:spacing w:before="0" w:after="283"/>
              <w:jc w:val="right"/>
              <w:rPr/>
            </w:pPr>
            <w:r>
              <w:rPr/>
              <w:t> </w:t>
            </w:r>
            <w:r>
              <w:rPr>
                <w:b/>
                <w:sz w:val="16"/>
              </w:rPr>
              <w:t>39,799</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b/>
                <w:sz w:val="16"/>
              </w:rPr>
            </w:pPr>
            <w:r>
              <w:rPr>
                <w:b/>
                <w:sz w:val="16"/>
              </w:rPr>
              <w:t>37,104</w:t>
            </w:r>
          </w:p>
        </w:tc>
        <w:tc>
          <w:tcPr>
            <w:tcW w:w="620" w:type="dxa"/>
            <w:tcBorders/>
            <w:shd w:fill="FFFFFF" w:val="clear"/>
            <w:tcMar>
              <w:top w:w="0" w:type="dxa"/>
              <w:left w:w="0" w:type="dxa"/>
              <w:right w:w="0" w:type="dxa"/>
            </w:tcMar>
            <w:vAlign w:val="center"/>
          </w:tcPr>
          <w:p>
            <w:pPr>
              <w:pStyle w:val="TableContents"/>
              <w:bidi w:val="0"/>
              <w:spacing w:before="0" w:after="283"/>
              <w:jc w:val="center"/>
              <w:rPr>
                <w:b/>
                <w:sz w:val="16"/>
              </w:rPr>
            </w:pPr>
            <w:r>
              <w:rPr>
                <w:b/>
                <w:sz w:val="16"/>
              </w:rPr>
              <w:t>-6.8%</w:t>
            </w:r>
          </w:p>
        </w:tc>
        <w:tc>
          <w:tcPr>
            <w:tcW w:w="770"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173.6%</w:t>
            </w:r>
          </w:p>
        </w:tc>
        <w:tc>
          <w:tcPr>
            <w:tcW w:w="695" w:type="dxa"/>
            <w:tcBorders/>
            <w:tcMar>
              <w:top w:w="0" w:type="dxa"/>
              <w:left w:w="0" w:type="dxa"/>
              <w:right w:w="0" w:type="dxa"/>
            </w:tcMar>
            <w:vAlign w:val="center"/>
          </w:tcPr>
          <w:p>
            <w:pPr>
              <w:pStyle w:val="TableContents"/>
              <w:bidi w:val="0"/>
              <w:spacing w:before="0" w:after="283"/>
              <w:jc w:val="right"/>
              <w:rPr/>
            </w:pPr>
            <w:r>
              <w:rPr/>
              <w:t> </w:t>
            </w:r>
            <w:r>
              <w:rPr>
                <w:b/>
                <w:sz w:val="16"/>
              </w:rPr>
              <w:t>39,414</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pPr>
            <w:r>
              <w:rPr/>
              <w:t> </w:t>
            </w:r>
            <w:r>
              <w:rPr>
                <w:b/>
                <w:sz w:val="16"/>
              </w:rPr>
              <w:t>76,903</w:t>
            </w:r>
          </w:p>
        </w:tc>
        <w:tc>
          <w:tcPr>
            <w:tcW w:w="1145" w:type="dxa"/>
            <w:tcBorders>
              <w:right w:val="single" w:sz="8" w:space="0" w:color="000000"/>
            </w:tcBorders>
            <w:shd w:fill="FFFFFF" w:val="clear"/>
            <w:tcMar>
              <w:top w:w="0" w:type="dxa"/>
              <w:left w:w="0" w:type="dxa"/>
            </w:tcMar>
            <w:vAlign w:val="center"/>
          </w:tcPr>
          <w:p>
            <w:pPr>
              <w:pStyle w:val="TableContents"/>
              <w:bidi w:val="0"/>
              <w:spacing w:before="0" w:after="283"/>
              <w:jc w:val="center"/>
              <w:rPr>
                <w:b/>
                <w:sz w:val="16"/>
              </w:rPr>
            </w:pPr>
            <w:r>
              <w:rPr>
                <w:b/>
                <w:sz w:val="16"/>
              </w:rPr>
              <w:t>95.1%</w:t>
            </w:r>
          </w:p>
        </w:tc>
      </w:tr>
      <w:tr>
        <w:trPr/>
        <w:tc>
          <w:tcPr>
            <w:tcW w:w="3815" w:type="dxa"/>
            <w:tcBorders>
              <w:left w:val="single" w:sz="8" w:space="0" w:color="000000"/>
            </w:tcBorders>
            <w:shd w:fill="FFFFFF" w:val="clear"/>
            <w:tcMar>
              <w:top w:w="0" w:type="dxa"/>
              <w:right w:w="0" w:type="dxa"/>
            </w:tcMar>
            <w:vAlign w:val="center"/>
          </w:tcPr>
          <w:p>
            <w:pPr>
              <w:pStyle w:val="TableContents"/>
              <w:bidi w:val="0"/>
              <w:spacing w:before="0" w:after="283"/>
              <w:jc w:val="left"/>
              <w:rPr>
                <w:sz w:val="16"/>
              </w:rPr>
            </w:pPr>
            <w:r>
              <w:rPr>
                <w:sz w:val="16"/>
              </w:rPr>
              <w:t>Translations results </w:t>
            </w:r>
          </w:p>
        </w:tc>
        <w:tc>
          <w:tcPr>
            <w:tcW w:w="695" w:type="dxa"/>
            <w:tcBorders>
              <w:left w:val="single" w:sz="8" w:space="0" w:color="000000"/>
            </w:tcBorders>
            <w:tcMar>
              <w:top w:w="0" w:type="dxa"/>
              <w:right w:w="0" w:type="dxa"/>
            </w:tcMar>
            <w:vAlign w:val="center"/>
          </w:tcPr>
          <w:p>
            <w:pPr>
              <w:pStyle w:val="TableContents"/>
              <w:bidi w:val="0"/>
              <w:spacing w:before="0" w:after="283"/>
              <w:jc w:val="right"/>
              <w:rPr>
                <w:sz w:val="16"/>
              </w:rPr>
            </w:pPr>
            <w:r>
              <w:rPr>
                <w:sz w:val="16"/>
              </w:rPr>
              <w:t>529</w:t>
            </w:r>
          </w:p>
        </w:tc>
        <w:tc>
          <w:tcPr>
            <w:tcW w:w="695" w:type="dxa"/>
            <w:tcBorders/>
            <w:tcMar>
              <w:top w:w="0" w:type="dxa"/>
              <w:left w:w="0" w:type="dxa"/>
              <w:right w:w="0" w:type="dxa"/>
            </w:tcMar>
            <w:vAlign w:val="center"/>
          </w:tcPr>
          <w:p>
            <w:pPr>
              <w:pStyle w:val="TableContents"/>
              <w:bidi w:val="0"/>
              <w:spacing w:before="0" w:after="283"/>
              <w:jc w:val="right"/>
              <w:rPr/>
            </w:pPr>
            <w:r>
              <w:rPr/>
              <w:t> </w:t>
            </w:r>
            <w:r>
              <w:rPr>
                <w:sz w:val="16"/>
              </w:rPr>
              <w:t>(41)</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310</w:t>
            </w:r>
          </w:p>
        </w:tc>
        <w:tc>
          <w:tcPr>
            <w:tcW w:w="620" w:type="dxa"/>
            <w:tcBorders/>
            <w:shd w:fill="FFFFFF" w:val="clear"/>
            <w:tcMar>
              <w:top w:w="0" w:type="dxa"/>
              <w:left w:w="0" w:type="dxa"/>
              <w:right w:w="0" w:type="dxa"/>
            </w:tcMar>
            <w:vAlign w:val="center"/>
          </w:tcPr>
          <w:p>
            <w:pPr>
              <w:pStyle w:val="TableContents"/>
              <w:bidi w:val="0"/>
              <w:spacing w:before="0" w:after="283"/>
              <w:jc w:val="center"/>
              <w:rPr>
                <w:sz w:val="16"/>
              </w:rPr>
            </w:pPr>
            <w:r>
              <w:rPr>
                <w:sz w:val="16"/>
              </w:rPr>
              <w:t>-850.1%</w:t>
            </w:r>
          </w:p>
        </w:tc>
        <w:tc>
          <w:tcPr>
            <w:tcW w:w="770"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-41.5%</w:t>
            </w:r>
          </w:p>
        </w:tc>
        <w:tc>
          <w:tcPr>
            <w:tcW w:w="695" w:type="dxa"/>
            <w:tcBorders/>
            <w:tcMar>
              <w:top w:w="0" w:type="dxa"/>
              <w:left w:w="0" w:type="dxa"/>
              <w:right w:w="0" w:type="dxa"/>
            </w:tcMar>
            <w:vAlign w:val="center"/>
          </w:tcPr>
          <w:p>
            <w:pPr>
              <w:pStyle w:val="TableContents"/>
              <w:bidi w:val="0"/>
              <w:spacing w:before="0" w:after="283"/>
              <w:jc w:val="right"/>
              <w:rPr>
                <w:sz w:val="16"/>
              </w:rPr>
            </w:pPr>
            <w:r>
              <w:rPr>
                <w:sz w:val="16"/>
              </w:rPr>
              <w:t>(887)</w:t>
            </w:r>
          </w:p>
        </w:tc>
        <w:tc>
          <w:tcPr>
            <w:tcW w:w="695" w:type="dxa"/>
            <w:tcBorders>
              <w:right w:val="single" w:sz="8" w:space="0" w:color="000000"/>
            </w:tcBorders>
            <w:tcMar>
              <w:top w:w="0" w:type="dxa"/>
              <w:left w:w="0" w:type="dxa"/>
              <w:right w:w="60" w:type="dxa"/>
            </w:tcMar>
            <w:vAlign w:val="center"/>
          </w:tcPr>
          <w:p>
            <w:pPr>
              <w:pStyle w:val="TableContents"/>
              <w:bidi w:val="0"/>
              <w:spacing w:before="0" w:after="283"/>
              <w:jc w:val="right"/>
              <w:rPr>
                <w:sz w:val="16"/>
              </w:rPr>
            </w:pPr>
            <w:r>
              <w:rPr>
                <w:sz w:val="16"/>
              </w:rPr>
              <w:t>268</w:t>
            </w:r>
          </w:p>
        </w:tc>
        <w:tc>
          <w:tcPr>
            <w:tcW w:w="1145" w:type="dxa"/>
            <w:tcBorders>
              <w:right w:val="single" w:sz="8" w:space="0" w:color="000000"/>
            </w:tcBorders>
            <w:shd w:fill="FFFFFF" w:val="clear"/>
            <w:tcMar>
              <w:top w:w="0" w:type="dxa"/>
              <w:left w:w="0" w:type="dxa"/>
            </w:tcMar>
            <w:vAlign w:val="center"/>
          </w:tcPr>
          <w:p>
            <w:pPr>
              <w:pStyle w:val="TableContents"/>
              <w:bidi w:val="0"/>
              <w:spacing w:before="0" w:after="283"/>
              <w:jc w:val="center"/>
              <w:rPr>
                <w:sz w:val="16"/>
              </w:rPr>
            </w:pPr>
            <w:r>
              <w:rPr>
                <w:sz w:val="16"/>
              </w:rPr>
              <w:t>-130.3%</w:t>
            </w:r>
          </w:p>
        </w:tc>
      </w:tr>
      <w:tr>
        <w:trPr/>
        <w:tc>
          <w:tcPr>
            <w:tcW w:w="3815"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left"/>
              <w:rPr>
                <w:b/>
                <w:sz w:val="16"/>
              </w:rPr>
            </w:pPr>
            <w:r>
              <w:rPr>
                <w:b/>
                <w:sz w:val="16"/>
              </w:rPr>
              <w:t>Net income </w:t>
            </w:r>
          </w:p>
        </w:tc>
        <w:tc>
          <w:tcPr>
            <w:tcW w:w="695" w:type="dxa"/>
            <w:tcBorders>
              <w:left w:val="single" w:sz="8" w:space="0" w:color="000000"/>
              <w:bottom w:val="single" w:sz="8" w:space="0" w:color="000000"/>
            </w:tcBorders>
            <w:tcMar>
              <w:top w:w="0" w:type="dxa"/>
              <w:bottom w:w="28" w:type="dxa"/>
              <w:right w:w="0" w:type="dxa"/>
            </w:tcMar>
            <w:vAlign w:val="center"/>
          </w:tcPr>
          <w:p>
            <w:pPr>
              <w:pStyle w:val="TableContents"/>
              <w:bidi w:val="0"/>
              <w:spacing w:before="0" w:after="283"/>
              <w:jc w:val="right"/>
              <w:rPr>
                <w:b/>
                <w:sz w:val="16"/>
              </w:rPr>
            </w:pPr>
            <w:r>
              <w:rPr>
                <w:b/>
                <w:sz w:val="16"/>
              </w:rPr>
              <w:t>14,092</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39,758</w:t>
            </w:r>
          </w:p>
        </w:tc>
        <w:tc>
          <w:tcPr>
            <w:tcW w:w="69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b/>
                <w:sz w:val="16"/>
              </w:rPr>
            </w:pPr>
            <w:r>
              <w:rPr>
                <w:b/>
                <w:sz w:val="16"/>
              </w:rPr>
              <w:t>37,414</w:t>
            </w:r>
          </w:p>
        </w:tc>
        <w:tc>
          <w:tcPr>
            <w:tcW w:w="620" w:type="dxa"/>
            <w:tcBorders>
              <w:bottom w:val="single" w:sz="8" w:space="0" w:color="000000"/>
            </w:tcBorders>
            <w:shd w:fill="FFFFFF" w:val="clear"/>
            <w:tcMar>
              <w:top w:w="0" w:type="dxa"/>
              <w:left w:w="0" w:type="dxa"/>
              <w:bottom w:w="28" w:type="dxa"/>
              <w:right w:w="0" w:type="dxa"/>
            </w:tcMar>
            <w:vAlign w:val="center"/>
          </w:tcPr>
          <w:p>
            <w:pPr>
              <w:pStyle w:val="TableContents"/>
              <w:bidi w:val="0"/>
              <w:spacing w:before="0" w:after="283"/>
              <w:jc w:val="center"/>
              <w:rPr>
                <w:b/>
                <w:sz w:val="16"/>
              </w:rPr>
            </w:pPr>
            <w:r>
              <w:rPr>
                <w:b/>
                <w:sz w:val="16"/>
              </w:rPr>
              <w:t>-5.9%</w:t>
            </w:r>
          </w:p>
        </w:tc>
        <w:tc>
          <w:tcPr>
            <w:tcW w:w="770"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16"/>
              </w:rPr>
            </w:pPr>
            <w:r>
              <w:rPr>
                <w:b/>
                <w:sz w:val="16"/>
              </w:rPr>
              <w:t>165.5%</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38,527</w:t>
            </w:r>
          </w:p>
        </w:tc>
        <w:tc>
          <w:tcPr>
            <w:tcW w:w="695"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right"/>
              <w:rPr>
                <w:b/>
                <w:sz w:val="16"/>
              </w:rPr>
            </w:pPr>
            <w:r>
              <w:rPr>
                <w:b/>
                <w:sz w:val="16"/>
              </w:rPr>
              <w:t>77,171</w:t>
            </w:r>
          </w:p>
        </w:tc>
        <w:tc>
          <w:tcPr>
            <w:tcW w:w="114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16"/>
              </w:rPr>
            </w:pPr>
            <w:r>
              <w:rPr>
                <w:b/>
                <w:sz w:val="16"/>
              </w:rPr>
              <w:t>100.3%</w:t>
            </w:r>
          </w:p>
        </w:tc>
      </w:tr>
      <w:tr>
        <w:trPr/>
        <w:tc>
          <w:tcPr>
            <w:tcW w:w="38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lineRule="auto" w:line="240" w:before="0" w:after="283"/>
              <w:jc w:val="left"/>
              <w:rPr>
                <w:b/>
                <w:sz w:val="16"/>
              </w:rPr>
            </w:pPr>
            <w:r>
              <w:rPr>
                <w:b/>
                <w:sz w:val="16"/>
              </w:rPr>
              <w:t xml:space="preserve">ROAE </w:t>
            </w:r>
            <w:r>
              <w:rPr>
                <w:rFonts w:ascii="Arial;Helvetica;Sans-Serif" w:hAnsi="Arial;Helvetica;Sans-Serif"/>
                <w:b/>
                <w:i w:val="false"/>
                <w:caps w:val="false"/>
                <w:smallCaps w:val="false"/>
                <w:sz w:val="16"/>
              </w:rPr>
              <w:t>(1)</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13.5%</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35.9%</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36.6%</w:t>
            </w:r>
          </w:p>
        </w:tc>
        <w:tc>
          <w:tcPr>
            <w:tcW w:w="620" w:type="dxa"/>
            <w:tcBorders>
              <w:left w:val="single" w:sz="8" w:space="0" w:color="000000"/>
              <w:bottom w:val="single" w:sz="8" w:space="0" w:color="000000"/>
            </w:tcBorders>
            <w:shd w:fill="FFFFFF" w:val="clear"/>
            <w:tcMar>
              <w:top w:w="0" w:type="dxa"/>
              <w:bottom w:w="28" w:type="dxa"/>
              <w:right w:w="0" w:type="dxa"/>
            </w:tcMar>
            <w:vAlign w:val="center"/>
          </w:tcPr>
          <w:p>
            <w:pPr>
              <w:pStyle w:val="TableContents"/>
              <w:bidi w:val="0"/>
              <w:spacing w:before="0" w:after="283"/>
              <w:jc w:val="center"/>
              <w:rPr/>
            </w:pPr>
            <w:r>
              <w:rPr/>
              <w:t> </w:t>
            </w:r>
            <w:r>
              <w:rPr>
                <w:b/>
                <w:sz w:val="16"/>
              </w:rPr>
              <w:t>74 pbs </w:t>
            </w:r>
          </w:p>
        </w:tc>
        <w:tc>
          <w:tcPr>
            <w:tcW w:w="770"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pPr>
            <w:r>
              <w:rPr/>
              <w:t> </w:t>
            </w:r>
            <w:r>
              <w:rPr>
                <w:b/>
                <w:sz w:val="16"/>
              </w:rPr>
              <w:t>2314 pbs </w:t>
            </w:r>
          </w:p>
        </w:tc>
        <w:tc>
          <w:tcPr>
            <w:tcW w:w="695" w:type="dxa"/>
            <w:tcBorders>
              <w:bottom w:val="single" w:sz="8" w:space="0" w:color="000000"/>
            </w:tcBorders>
            <w:tcMar>
              <w:top w:w="0" w:type="dxa"/>
              <w:left w:w="0" w:type="dxa"/>
              <w:bottom w:w="28" w:type="dxa"/>
              <w:right w:w="0" w:type="dxa"/>
            </w:tcMar>
            <w:vAlign w:val="center"/>
          </w:tcPr>
          <w:p>
            <w:pPr>
              <w:pStyle w:val="TableContents"/>
              <w:bidi w:val="0"/>
              <w:spacing w:before="0" w:after="283"/>
              <w:jc w:val="right"/>
              <w:rPr>
                <w:b/>
                <w:sz w:val="16"/>
              </w:rPr>
            </w:pPr>
            <w:r>
              <w:rPr>
                <w:b/>
                <w:sz w:val="16"/>
              </w:rPr>
              <w:t>18.4%</w:t>
            </w:r>
          </w:p>
        </w:tc>
        <w:tc>
          <w:tcPr>
            <w:tcW w:w="69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right"/>
              <w:rPr>
                <w:b/>
                <w:sz w:val="16"/>
              </w:rPr>
            </w:pPr>
            <w:r>
              <w:rPr>
                <w:b/>
                <w:sz w:val="16"/>
              </w:rPr>
              <w:t>33.4%</w:t>
            </w:r>
          </w:p>
        </w:tc>
        <w:tc>
          <w:tcPr>
            <w:tcW w:w="1145" w:type="dxa"/>
            <w:tcBorders>
              <w:bottom w:val="single" w:sz="8" w:space="0" w:color="000000"/>
              <w:right w:val="single" w:sz="8" w:space="0" w:color="000000"/>
            </w:tcBorders>
            <w:shd w:fill="FFFFFF" w:val="clear"/>
            <w:tcMar>
              <w:top w:w="0" w:type="dxa"/>
              <w:left w:w="0" w:type="dxa"/>
              <w:bottom w:w="28" w:type="dxa"/>
            </w:tcMar>
            <w:vAlign w:val="center"/>
          </w:tcPr>
          <w:p>
            <w:pPr>
              <w:pStyle w:val="TableContents"/>
              <w:bidi w:val="0"/>
              <w:spacing w:before="0" w:after="283"/>
              <w:jc w:val="center"/>
              <w:rPr>
                <w:b/>
                <w:sz w:val="16"/>
              </w:rPr>
            </w:pPr>
            <w:r>
              <w:rPr>
                <w:b/>
                <w:sz w:val="16"/>
              </w:rPr>
              <w:t>1499 pbs</w:t>
            </w:r>
          </w:p>
        </w:tc>
      </w:tr>
    </w:tbl>
    <w:p>
      <w:pPr>
        <w:pStyle w:val="TextBody"/>
        <w:bidi w:val="0"/>
        <w:spacing w:before="0" w:after="0"/>
        <w:ind w:left="0"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 The net profitability of lace and mutual funds is being presented net of taxes, for which the retroactive change was made (it was presented gross before)</w:t>
      </w:r>
    </w:p>
    <w:p>
      <w:pPr>
        <w:pStyle w:val="TextBody"/>
        <w:bidi w:val="0"/>
        <w:spacing w:before="0" w:after="0"/>
        <w:ind w:left="0"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(1) Net shareholders' equity includes unrealized gains from Prima's investment portfolio.</w:t>
      </w:r>
    </w:p>
    <w:p>
      <w:pPr>
        <w:pStyle w:val="TextBody"/>
        <w:bidi w:val="0"/>
        <w:spacing w:before="0" w:after="0"/>
        <w:ind w:left="0" w:right="0" w:hanging="0"/>
        <w:jc w:val="left"/>
        <w:rPr/>
      </w:pPr>
      <w:r>
        <w:rPr/>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Funds under management</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10" w:type="dxa"/>
        <w:tblLayout w:type="fixed"/>
        <w:tblCellMar>
          <w:top w:w="28" w:type="dxa"/>
          <w:left w:w="28" w:type="dxa"/>
          <w:bottom w:w="28" w:type="dxa"/>
          <w:right w:w="28" w:type="dxa"/>
        </w:tblCellMar>
      </w:tblPr>
      <w:tblGrid>
        <w:gridCol w:w="1895"/>
        <w:gridCol w:w="560"/>
        <w:gridCol w:w="650"/>
        <w:gridCol w:w="515"/>
        <w:gridCol w:w="650"/>
      </w:tblGrid>
      <w:tr>
        <w:trPr/>
        <w:tc>
          <w:tcPr>
            <w:tcW w:w="1895" w:type="dxa"/>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before="0" w:after="283"/>
              <w:jc w:val="left"/>
              <w:rPr>
                <w:b/>
                <w:color w:val="FFFFFF"/>
                <w:sz w:val="16"/>
              </w:rPr>
            </w:pPr>
            <w:r>
              <w:rPr>
                <w:b/>
                <w:color w:val="FFFFFF"/>
                <w:sz w:val="16"/>
              </w:rPr>
              <w:t>Funds under management</w:t>
            </w:r>
          </w:p>
        </w:tc>
        <w:tc>
          <w:tcPr>
            <w:tcW w:w="560"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sz w:val="16"/>
              </w:rPr>
            </w:pPr>
            <w:r>
              <w:rPr>
                <w:b/>
                <w:color w:val="FFFFFF"/>
                <w:sz w:val="16"/>
              </w:rPr>
              <w:t>Mar 23</w:t>
            </w:r>
          </w:p>
        </w:tc>
        <w:tc>
          <w:tcPr>
            <w:tcW w:w="650" w:type="dxa"/>
            <w:tcBorders>
              <w:top w:val="single" w:sz="8" w:space="0" w:color="000000"/>
              <w:bottom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 share</w:t>
            </w:r>
          </w:p>
        </w:tc>
        <w:tc>
          <w:tcPr>
            <w:tcW w:w="515" w:type="dxa"/>
            <w:tcBorders>
              <w:top w:val="single" w:sz="8" w:space="0" w:color="000000"/>
              <w:bottom w:val="single" w:sz="8" w:space="0" w:color="000000"/>
            </w:tcBorders>
            <w:shd w:fill="2AD2C9" w:val="clear"/>
            <w:tcMar>
              <w:left w:w="0" w:type="dxa"/>
              <w:right w:w="0" w:type="dxa"/>
            </w:tcMar>
            <w:vAlign w:val="center"/>
          </w:tcPr>
          <w:p>
            <w:pPr>
              <w:pStyle w:val="TableContents"/>
              <w:bidi w:val="0"/>
              <w:spacing w:before="0" w:after="283"/>
              <w:jc w:val="center"/>
              <w:rPr>
                <w:b/>
                <w:color w:val="FFFFFF"/>
                <w:sz w:val="16"/>
              </w:rPr>
            </w:pPr>
            <w:r>
              <w:rPr>
                <w:b/>
                <w:color w:val="FFFFFF"/>
                <w:sz w:val="16"/>
              </w:rPr>
              <w:t>Jun 23</w:t>
            </w:r>
          </w:p>
        </w:tc>
        <w:tc>
          <w:tcPr>
            <w:tcW w:w="650" w:type="dxa"/>
            <w:tcBorders>
              <w:top w:val="single" w:sz="8" w:space="0" w:color="000000"/>
              <w:bottom w:val="single" w:sz="8" w:space="0" w:color="000000"/>
              <w:right w:val="single" w:sz="8" w:space="0" w:color="000000"/>
            </w:tcBorders>
            <w:shd w:fill="2AD2C9" w:val="clear"/>
            <w:tcMar>
              <w:left w:w="0" w:type="dxa"/>
            </w:tcMar>
            <w:vAlign w:val="center"/>
          </w:tcPr>
          <w:p>
            <w:pPr>
              <w:pStyle w:val="TableContents"/>
              <w:bidi w:val="0"/>
              <w:spacing w:before="0" w:after="283"/>
              <w:jc w:val="center"/>
              <w:rPr>
                <w:b/>
                <w:color w:val="FFFFFF"/>
                <w:sz w:val="16"/>
              </w:rPr>
            </w:pPr>
            <w:r>
              <w:rPr>
                <w:b/>
                <w:color w:val="FFFFFF"/>
                <w:sz w:val="16"/>
              </w:rPr>
              <w:t>% share</w:t>
            </w:r>
          </w:p>
        </w:tc>
      </w:tr>
      <w:tr>
        <w:trPr/>
        <w:tc>
          <w:tcPr>
            <w:tcW w:w="1895"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16"/>
              </w:rPr>
            </w:pPr>
            <w:r>
              <w:rPr>
                <w:sz w:val="16"/>
              </w:rPr>
              <w:t>Fund 0</w:t>
            </w:r>
          </w:p>
        </w:tc>
        <w:tc>
          <w:tcPr>
            <w:tcW w:w="560" w:type="dxa"/>
            <w:tcBorders/>
            <w:tcMar>
              <w:top w:w="0" w:type="dxa"/>
              <w:left w:w="0" w:type="dxa"/>
              <w:bottom w:w="0" w:type="dxa"/>
              <w:right w:w="0" w:type="dxa"/>
            </w:tcMar>
            <w:vAlign w:val="center"/>
          </w:tcPr>
          <w:p>
            <w:pPr>
              <w:pStyle w:val="TableContents"/>
              <w:bidi w:val="0"/>
              <w:spacing w:before="0" w:after="283"/>
              <w:jc w:val="right"/>
              <w:rPr>
                <w:sz w:val="16"/>
              </w:rPr>
            </w:pPr>
            <w:r>
              <w:rPr>
                <w:sz w:val="16"/>
              </w:rPr>
              <w:t>1,403</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4.3%</w:t>
            </w:r>
          </w:p>
        </w:tc>
        <w:tc>
          <w:tcPr>
            <w:tcW w:w="515" w:type="dxa"/>
            <w:tcBorders/>
            <w:tcMar>
              <w:top w:w="0" w:type="dxa"/>
              <w:left w:w="0" w:type="dxa"/>
              <w:bottom w:w="0" w:type="dxa"/>
              <w:right w:w="0" w:type="dxa"/>
            </w:tcMar>
            <w:vAlign w:val="center"/>
          </w:tcPr>
          <w:p>
            <w:pPr>
              <w:pStyle w:val="TableContents"/>
              <w:bidi w:val="0"/>
              <w:spacing w:before="0" w:after="283"/>
              <w:jc w:val="right"/>
              <w:rPr>
                <w:sz w:val="16"/>
              </w:rPr>
            </w:pPr>
            <w:r>
              <w:rPr>
                <w:sz w:val="16"/>
              </w:rPr>
              <w:t>1,440</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4.2%</w:t>
            </w:r>
          </w:p>
        </w:tc>
      </w:tr>
      <w:tr>
        <w:trPr/>
        <w:tc>
          <w:tcPr>
            <w:tcW w:w="1895"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16"/>
              </w:rPr>
            </w:pPr>
            <w:r>
              <w:rPr>
                <w:sz w:val="16"/>
              </w:rPr>
              <w:t>Fund 1</w:t>
            </w:r>
          </w:p>
        </w:tc>
        <w:tc>
          <w:tcPr>
            <w:tcW w:w="560" w:type="dxa"/>
            <w:tcBorders/>
            <w:tcMar>
              <w:top w:w="0" w:type="dxa"/>
              <w:left w:w="0" w:type="dxa"/>
              <w:bottom w:w="0" w:type="dxa"/>
              <w:right w:w="0" w:type="dxa"/>
            </w:tcMar>
            <w:vAlign w:val="center"/>
          </w:tcPr>
          <w:p>
            <w:pPr>
              <w:pStyle w:val="TableContents"/>
              <w:bidi w:val="0"/>
              <w:spacing w:before="0" w:after="283"/>
              <w:jc w:val="right"/>
              <w:rPr>
                <w:sz w:val="16"/>
              </w:rPr>
            </w:pPr>
            <w:r>
              <w:rPr>
                <w:sz w:val="16"/>
              </w:rPr>
              <w:t>5,533</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16.8%</w:t>
            </w:r>
          </w:p>
        </w:tc>
        <w:tc>
          <w:tcPr>
            <w:tcW w:w="515" w:type="dxa"/>
            <w:tcBorders/>
            <w:tcMar>
              <w:top w:w="0" w:type="dxa"/>
              <w:left w:w="0" w:type="dxa"/>
              <w:bottom w:w="0" w:type="dxa"/>
              <w:right w:w="0" w:type="dxa"/>
            </w:tcMar>
            <w:vAlign w:val="center"/>
          </w:tcPr>
          <w:p>
            <w:pPr>
              <w:pStyle w:val="TableContents"/>
              <w:bidi w:val="0"/>
              <w:spacing w:before="0" w:after="283"/>
              <w:jc w:val="right"/>
              <w:rPr>
                <w:sz w:val="16"/>
              </w:rPr>
            </w:pPr>
            <w:r>
              <w:rPr>
                <w:sz w:val="16"/>
              </w:rPr>
              <w:t>5,848</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17.3%</w:t>
            </w:r>
          </w:p>
        </w:tc>
      </w:tr>
      <w:tr>
        <w:trPr/>
        <w:tc>
          <w:tcPr>
            <w:tcW w:w="1895"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16"/>
              </w:rPr>
            </w:pPr>
            <w:r>
              <w:rPr>
                <w:sz w:val="16"/>
              </w:rPr>
              <w:t>Fund 2</w:t>
            </w:r>
          </w:p>
        </w:tc>
        <w:tc>
          <w:tcPr>
            <w:tcW w:w="560" w:type="dxa"/>
            <w:tcBorders/>
            <w:tcMar>
              <w:top w:w="0" w:type="dxa"/>
              <w:left w:w="0" w:type="dxa"/>
              <w:bottom w:w="0" w:type="dxa"/>
              <w:right w:w="0" w:type="dxa"/>
            </w:tcMar>
            <w:vAlign w:val="center"/>
          </w:tcPr>
          <w:p>
            <w:pPr>
              <w:pStyle w:val="TableContents"/>
              <w:bidi w:val="0"/>
              <w:spacing w:before="0" w:after="283"/>
              <w:jc w:val="right"/>
              <w:rPr>
                <w:sz w:val="16"/>
              </w:rPr>
            </w:pPr>
            <w:r>
              <w:rPr>
                <w:sz w:val="16"/>
              </w:rPr>
              <w:t>22,256</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67.6%</w:t>
            </w:r>
          </w:p>
        </w:tc>
        <w:tc>
          <w:tcPr>
            <w:tcW w:w="515" w:type="dxa"/>
            <w:tcBorders/>
            <w:tcMar>
              <w:top w:w="0" w:type="dxa"/>
              <w:left w:w="0" w:type="dxa"/>
              <w:bottom w:w="0" w:type="dxa"/>
              <w:right w:w="0" w:type="dxa"/>
            </w:tcMar>
            <w:vAlign w:val="center"/>
          </w:tcPr>
          <w:p>
            <w:pPr>
              <w:pStyle w:val="TableContents"/>
              <w:bidi w:val="0"/>
              <w:spacing w:before="0" w:after="283"/>
              <w:jc w:val="right"/>
              <w:rPr>
                <w:sz w:val="16"/>
              </w:rPr>
            </w:pPr>
            <w:r>
              <w:rPr>
                <w:sz w:val="16"/>
              </w:rPr>
              <w:t>23,007</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67.9%</w:t>
            </w:r>
          </w:p>
        </w:tc>
      </w:tr>
      <w:tr>
        <w:trPr/>
        <w:tc>
          <w:tcPr>
            <w:tcW w:w="1895" w:type="dxa"/>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16"/>
              </w:rPr>
            </w:pPr>
            <w:r>
              <w:rPr>
                <w:sz w:val="16"/>
              </w:rPr>
              <w:t>Fund 3</w:t>
            </w:r>
          </w:p>
        </w:tc>
        <w:tc>
          <w:tcPr>
            <w:tcW w:w="560" w:type="dxa"/>
            <w:tcBorders/>
            <w:tcMar>
              <w:top w:w="0" w:type="dxa"/>
              <w:left w:w="0" w:type="dxa"/>
              <w:bottom w:w="0" w:type="dxa"/>
              <w:right w:w="0" w:type="dxa"/>
            </w:tcMar>
            <w:vAlign w:val="center"/>
          </w:tcPr>
          <w:p>
            <w:pPr>
              <w:pStyle w:val="TableContents"/>
              <w:bidi w:val="0"/>
              <w:spacing w:before="0" w:after="283"/>
              <w:jc w:val="right"/>
              <w:rPr>
                <w:sz w:val="16"/>
              </w:rPr>
            </w:pPr>
            <w:r>
              <w:rPr>
                <w:sz w:val="16"/>
              </w:rPr>
              <w:t>3,736</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11.3%</w:t>
            </w:r>
          </w:p>
        </w:tc>
        <w:tc>
          <w:tcPr>
            <w:tcW w:w="515" w:type="dxa"/>
            <w:tcBorders/>
            <w:tcMar>
              <w:top w:w="0" w:type="dxa"/>
              <w:left w:w="0" w:type="dxa"/>
              <w:bottom w:w="0" w:type="dxa"/>
              <w:right w:w="0" w:type="dxa"/>
            </w:tcMar>
            <w:vAlign w:val="center"/>
          </w:tcPr>
          <w:p>
            <w:pPr>
              <w:pStyle w:val="TableContents"/>
              <w:bidi w:val="0"/>
              <w:spacing w:before="0" w:after="283"/>
              <w:jc w:val="right"/>
              <w:rPr>
                <w:sz w:val="16"/>
              </w:rPr>
            </w:pPr>
            <w:r>
              <w:rPr>
                <w:sz w:val="16"/>
              </w:rPr>
              <w:t>3,598</w:t>
            </w:r>
          </w:p>
        </w:tc>
        <w:tc>
          <w:tcPr>
            <w:tcW w:w="650" w:type="dxa"/>
            <w:tcBorders>
              <w:right w:val="single" w:sz="8" w:space="0" w:color="000000"/>
            </w:tcBorders>
            <w:tcMar>
              <w:top w:w="0" w:type="dxa"/>
              <w:left w:w="0" w:type="dxa"/>
              <w:bottom w:w="0" w:type="dxa"/>
            </w:tcMar>
            <w:vAlign w:val="center"/>
          </w:tcPr>
          <w:p>
            <w:pPr>
              <w:pStyle w:val="TableContents"/>
              <w:bidi w:val="0"/>
              <w:spacing w:before="0" w:after="283"/>
              <w:jc w:val="center"/>
              <w:rPr>
                <w:sz w:val="16"/>
              </w:rPr>
            </w:pPr>
            <w:r>
              <w:rPr>
                <w:sz w:val="16"/>
              </w:rPr>
              <w:t>10.6%</w:t>
            </w:r>
          </w:p>
        </w:tc>
      </w:tr>
      <w:tr>
        <w:trPr/>
        <w:tc>
          <w:tcPr>
            <w:tcW w:w="1895"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sz w:val="16"/>
              </w:rPr>
            </w:pPr>
            <w:r>
              <w:rPr>
                <w:sz w:val="16"/>
              </w:rPr>
              <w:t>Total S/ Millions</w:t>
            </w:r>
          </w:p>
        </w:tc>
        <w:tc>
          <w:tcPr>
            <w:tcW w:w="5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sz w:val="16"/>
              </w:rPr>
            </w:pPr>
            <w:r>
              <w:rPr>
                <w:sz w:val="16"/>
              </w:rPr>
              <w:t>32,928</w:t>
            </w:r>
          </w:p>
        </w:tc>
        <w:tc>
          <w:tcPr>
            <w:tcW w:w="6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100.00%</w:t>
            </w:r>
          </w:p>
        </w:tc>
        <w:tc>
          <w:tcPr>
            <w:tcW w:w="51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sz w:val="16"/>
              </w:rPr>
            </w:pPr>
            <w:r>
              <w:rPr>
                <w:sz w:val="16"/>
              </w:rPr>
              <w:t>33,893</w:t>
            </w:r>
          </w:p>
        </w:tc>
        <w:tc>
          <w:tcPr>
            <w:tcW w:w="6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100.00%</w:t>
            </w:r>
          </w:p>
        </w:tc>
      </w:tr>
    </w:tbl>
    <w:p>
      <w:pPr>
        <w:pStyle w:val="TextBody"/>
        <w:bidi w:val="0"/>
        <w:spacing w:before="0" w:after="0"/>
        <w:ind w:left="0" w:right="0"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Source: SBS.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Nominal profitability over the last 12 months</w:t>
      </w:r>
    </w:p>
    <w:p>
      <w:pPr>
        <w:pStyle w:val="TextBody"/>
        <w:bidi w:val="0"/>
        <w:spacing w:before="0" w:after="0"/>
        <w:ind w:left="0" w:right="0" w:hanging="0"/>
        <w:jc w:val="left"/>
        <w:rPr>
          <w:caps w:val="false"/>
          <w:smallCaps w:val="false"/>
        </w:rPr>
      </w:pPr>
      <w:r>
        <w:rPr>
          <w:caps w:val="false"/>
          <w:smallCaps w:val="false"/>
        </w:rPr>
        <w:t> </w:t>
      </w:r>
    </w:p>
    <w:tbl>
      <w:tblPr>
        <w:tblW w:w="3315" w:type="dxa"/>
        <w:jc w:val="left"/>
        <w:tblInd w:w="0" w:type="dxa"/>
        <w:tblLayout w:type="fixed"/>
        <w:tblCellMar>
          <w:top w:w="0" w:type="dxa"/>
          <w:left w:w="0" w:type="dxa"/>
          <w:bottom w:w="0" w:type="dxa"/>
          <w:right w:w="0" w:type="dxa"/>
        </w:tblCellMar>
      </w:tblPr>
      <w:tblGrid>
        <w:gridCol w:w="515"/>
        <w:gridCol w:w="1445"/>
        <w:gridCol w:w="1355"/>
      </w:tblGrid>
      <w:tr>
        <w:trPr/>
        <w:tc>
          <w:tcPr>
            <w:tcW w:w="515" w:type="dxa"/>
            <w:tcBorders/>
            <w:vAlign w:val="center"/>
          </w:tcPr>
          <w:p>
            <w:pPr>
              <w:pStyle w:val="TableContents"/>
              <w:bidi w:val="0"/>
              <w:spacing w:before="0" w:after="283"/>
              <w:jc w:val="left"/>
              <w:rPr/>
            </w:pPr>
            <w:r>
              <w:rPr/>
              <w:t> </w:t>
            </w:r>
          </w:p>
        </w:tc>
        <w:tc>
          <w:tcPr>
            <w:tcW w:w="1445" w:type="dxa"/>
            <w:tcBorders>
              <w:top w:val="single" w:sz="8" w:space="0" w:color="000000"/>
              <w:left w:val="single" w:sz="8" w:space="0" w:color="000000"/>
              <w:bottom w:val="single" w:sz="8" w:space="0" w:color="000000"/>
              <w:right w:val="single" w:sz="8" w:space="0" w:color="000000"/>
            </w:tcBorders>
            <w:shd w:fill="2AD2C9" w:val="clear"/>
            <w:tcMar>
              <w:top w:w="28" w:type="dxa"/>
              <w:left w:w="28" w:type="dxa"/>
              <w:bottom w:w="28" w:type="dxa"/>
              <w:right w:w="28" w:type="dxa"/>
            </w:tcMar>
            <w:vAlign w:val="center"/>
          </w:tcPr>
          <w:p>
            <w:pPr>
              <w:pStyle w:val="TableContents"/>
              <w:bidi w:val="0"/>
              <w:spacing w:before="0" w:after="283"/>
              <w:jc w:val="center"/>
              <w:rPr>
                <w:b/>
                <w:color w:val="FFFFFF"/>
                <w:sz w:val="16"/>
              </w:rPr>
            </w:pPr>
            <w:r>
              <w:rPr>
                <w:b/>
                <w:color w:val="FFFFFF"/>
                <w:sz w:val="16"/>
              </w:rPr>
              <w:t>Mar 23 / Mar 22(1)</w:t>
            </w:r>
          </w:p>
        </w:tc>
        <w:tc>
          <w:tcPr>
            <w:tcW w:w="1355" w:type="dxa"/>
            <w:tcBorders>
              <w:top w:val="single" w:sz="8" w:space="0" w:color="000000"/>
              <w:bottom w:val="single" w:sz="8" w:space="0" w:color="000000"/>
              <w:right w:val="single" w:sz="8" w:space="0" w:color="000000"/>
            </w:tcBorders>
            <w:shd w:fill="2AD2C9" w:val="clear"/>
            <w:tcMar>
              <w:top w:w="28" w:type="dxa"/>
              <w:bottom w:w="28" w:type="dxa"/>
              <w:right w:w="28" w:type="dxa"/>
            </w:tcMar>
            <w:vAlign w:val="center"/>
          </w:tcPr>
          <w:p>
            <w:pPr>
              <w:pStyle w:val="TableContents"/>
              <w:bidi w:val="0"/>
              <w:spacing w:before="0" w:after="283"/>
              <w:jc w:val="center"/>
              <w:rPr>
                <w:b/>
                <w:color w:val="FFFFFF"/>
                <w:sz w:val="16"/>
              </w:rPr>
            </w:pPr>
            <w:r>
              <w:rPr>
                <w:b/>
                <w:color w:val="FFFFFF"/>
                <w:sz w:val="16"/>
              </w:rPr>
              <w:t>Jun 23 / Jun 22(1)</w:t>
            </w:r>
          </w:p>
        </w:tc>
      </w:tr>
      <w:tr>
        <w:trPr/>
        <w:tc>
          <w:tcPr>
            <w:tcW w:w="515"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left"/>
              <w:rPr>
                <w:sz w:val="16"/>
              </w:rPr>
            </w:pPr>
            <w:r>
              <w:rPr>
                <w:sz w:val="16"/>
              </w:rPr>
              <w:t>Fund 0</w:t>
            </w:r>
          </w:p>
        </w:tc>
        <w:tc>
          <w:tcPr>
            <w:tcW w:w="1445" w:type="dxa"/>
            <w:tcBorders>
              <w:right w:val="single" w:sz="8" w:space="0" w:color="000000"/>
            </w:tcBorders>
            <w:tcMar>
              <w:right w:w="28" w:type="dxa"/>
            </w:tcMar>
            <w:vAlign w:val="center"/>
          </w:tcPr>
          <w:p>
            <w:pPr>
              <w:pStyle w:val="TableContents"/>
              <w:bidi w:val="0"/>
              <w:spacing w:before="0" w:after="283"/>
              <w:jc w:val="center"/>
              <w:rPr>
                <w:sz w:val="16"/>
              </w:rPr>
            </w:pPr>
            <w:r>
              <w:rPr>
                <w:sz w:val="16"/>
              </w:rPr>
              <w:t>6.4%</w:t>
            </w:r>
          </w:p>
        </w:tc>
        <w:tc>
          <w:tcPr>
            <w:tcW w:w="1355" w:type="dxa"/>
            <w:tcBorders>
              <w:right w:val="single" w:sz="8" w:space="0" w:color="000000"/>
            </w:tcBorders>
            <w:tcMar>
              <w:right w:w="28" w:type="dxa"/>
            </w:tcMar>
            <w:vAlign w:val="center"/>
          </w:tcPr>
          <w:p>
            <w:pPr>
              <w:pStyle w:val="TableContents"/>
              <w:bidi w:val="0"/>
              <w:spacing w:before="0" w:after="283"/>
              <w:jc w:val="center"/>
              <w:rPr>
                <w:sz w:val="16"/>
              </w:rPr>
            </w:pPr>
            <w:r>
              <w:rPr>
                <w:sz w:val="16"/>
              </w:rPr>
              <w:t>7.2%</w:t>
            </w:r>
          </w:p>
        </w:tc>
      </w:tr>
      <w:tr>
        <w:trPr/>
        <w:tc>
          <w:tcPr>
            <w:tcW w:w="515" w:type="dxa"/>
            <w:tcBorders>
              <w:left w:val="single" w:sz="8" w:space="0" w:color="000000"/>
            </w:tcBorders>
            <w:tcMar>
              <w:left w:w="28" w:type="dxa"/>
            </w:tcMar>
            <w:vAlign w:val="center"/>
          </w:tcPr>
          <w:p>
            <w:pPr>
              <w:pStyle w:val="TableContents"/>
              <w:bidi w:val="0"/>
              <w:spacing w:before="0" w:after="283"/>
              <w:jc w:val="left"/>
              <w:rPr>
                <w:sz w:val="16"/>
              </w:rPr>
            </w:pPr>
            <w:r>
              <w:rPr>
                <w:sz w:val="16"/>
              </w:rPr>
              <w:t>Fund 1</w:t>
            </w:r>
          </w:p>
        </w:tc>
        <w:tc>
          <w:tcPr>
            <w:tcW w:w="144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center"/>
              <w:rPr>
                <w:sz w:val="16"/>
              </w:rPr>
            </w:pPr>
            <w:r>
              <w:rPr>
                <w:sz w:val="16"/>
              </w:rPr>
              <w:t>1.0%</w:t>
            </w:r>
          </w:p>
        </w:tc>
        <w:tc>
          <w:tcPr>
            <w:tcW w:w="1355" w:type="dxa"/>
            <w:tcBorders>
              <w:right w:val="single" w:sz="8" w:space="0" w:color="000000"/>
            </w:tcBorders>
            <w:tcMar>
              <w:right w:w="28" w:type="dxa"/>
            </w:tcMar>
            <w:vAlign w:val="center"/>
          </w:tcPr>
          <w:p>
            <w:pPr>
              <w:pStyle w:val="TableContents"/>
              <w:bidi w:val="0"/>
              <w:spacing w:before="0" w:after="283"/>
              <w:jc w:val="center"/>
              <w:rPr>
                <w:sz w:val="16"/>
              </w:rPr>
            </w:pPr>
            <w:r>
              <w:rPr>
                <w:sz w:val="16"/>
              </w:rPr>
              <w:t>12.5%</w:t>
            </w:r>
          </w:p>
        </w:tc>
      </w:tr>
      <w:tr>
        <w:trPr/>
        <w:tc>
          <w:tcPr>
            <w:tcW w:w="515" w:type="dxa"/>
            <w:tcBorders>
              <w:left w:val="single" w:sz="8" w:space="0" w:color="000000"/>
            </w:tcBorders>
            <w:tcMar>
              <w:left w:w="28" w:type="dxa"/>
            </w:tcMar>
            <w:vAlign w:val="center"/>
          </w:tcPr>
          <w:p>
            <w:pPr>
              <w:pStyle w:val="TableContents"/>
              <w:bidi w:val="0"/>
              <w:spacing w:before="0" w:after="283"/>
              <w:jc w:val="left"/>
              <w:rPr>
                <w:sz w:val="16"/>
              </w:rPr>
            </w:pPr>
            <w:r>
              <w:rPr>
                <w:sz w:val="16"/>
              </w:rPr>
              <w:t>Fund 2</w:t>
            </w:r>
          </w:p>
        </w:tc>
        <w:tc>
          <w:tcPr>
            <w:tcW w:w="1445" w:type="dxa"/>
            <w:tcBorders>
              <w:left w:val="single" w:sz="8" w:space="0" w:color="000000"/>
              <w:right w:val="single" w:sz="8" w:space="0" w:color="000000"/>
            </w:tcBorders>
            <w:tcMar>
              <w:left w:w="28" w:type="dxa"/>
              <w:right w:w="28" w:type="dxa"/>
            </w:tcMar>
            <w:vAlign w:val="center"/>
          </w:tcPr>
          <w:p>
            <w:pPr>
              <w:pStyle w:val="TableContents"/>
              <w:bidi w:val="0"/>
              <w:spacing w:before="0" w:after="283"/>
              <w:jc w:val="center"/>
              <w:rPr>
                <w:sz w:val="16"/>
              </w:rPr>
            </w:pPr>
            <w:r>
              <w:rPr>
                <w:sz w:val="16"/>
              </w:rPr>
              <w:t>-2.2%</w:t>
            </w:r>
          </w:p>
        </w:tc>
        <w:tc>
          <w:tcPr>
            <w:tcW w:w="1355" w:type="dxa"/>
            <w:tcBorders>
              <w:right w:val="single" w:sz="8" w:space="0" w:color="000000"/>
            </w:tcBorders>
            <w:tcMar>
              <w:right w:w="28" w:type="dxa"/>
            </w:tcMar>
            <w:vAlign w:val="center"/>
          </w:tcPr>
          <w:p>
            <w:pPr>
              <w:pStyle w:val="TableContents"/>
              <w:bidi w:val="0"/>
              <w:spacing w:before="0" w:after="283"/>
              <w:jc w:val="center"/>
              <w:rPr>
                <w:sz w:val="16"/>
              </w:rPr>
            </w:pPr>
            <w:r>
              <w:rPr>
                <w:sz w:val="16"/>
              </w:rPr>
              <w:t>7.8%</w:t>
            </w:r>
          </w:p>
        </w:tc>
      </w:tr>
      <w:tr>
        <w:trPr/>
        <w:tc>
          <w:tcPr>
            <w:tcW w:w="515"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sz w:val="16"/>
              </w:rPr>
            </w:pPr>
            <w:r>
              <w:rPr>
                <w:sz w:val="16"/>
              </w:rPr>
              <w:t>Fund 3</w:t>
            </w:r>
          </w:p>
        </w:tc>
        <w:tc>
          <w:tcPr>
            <w:tcW w:w="144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sz w:val="16"/>
              </w:rPr>
            </w:pPr>
            <w:r>
              <w:rPr>
                <w:sz w:val="16"/>
              </w:rPr>
              <w:t>-11.2%</w:t>
            </w:r>
          </w:p>
        </w:tc>
        <w:tc>
          <w:tcPr>
            <w:tcW w:w="135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16"/>
              </w:rPr>
            </w:pPr>
            <w:r>
              <w:rPr>
                <w:sz w:val="16"/>
              </w:rPr>
              <w:t>0.1%</w:t>
            </w:r>
          </w:p>
        </w:tc>
      </w:tr>
    </w:tbl>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Included new methodology of SBS to calculate quota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AFP commissions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40" w:type="dxa"/>
          <w:bottom w:w="28" w:type="dxa"/>
          <w:right w:w="0" w:type="dxa"/>
        </w:tblCellMar>
      </w:tblPr>
      <w:tblGrid>
        <w:gridCol w:w="1080"/>
        <w:gridCol w:w="60"/>
        <w:gridCol w:w="426"/>
        <w:gridCol w:w="8639"/>
      </w:tblGrid>
      <w:tr>
        <w:trPr/>
        <w:tc>
          <w:tcPr>
            <w:tcW w:w="1080" w:type="dxa"/>
            <w:tcBorders>
              <w:top w:val="single" w:sz="8" w:space="0" w:color="000000"/>
              <w:left w:val="single" w:sz="8" w:space="0" w:color="000000"/>
              <w:bottom w:val="single" w:sz="8" w:space="0" w:color="000000"/>
            </w:tcBorders>
            <w:shd w:fill="2AD2C9" w:val="clear"/>
            <w:vAlign w:val="center"/>
          </w:tcPr>
          <w:p>
            <w:pPr>
              <w:pStyle w:val="TableContents"/>
              <w:bidi w:val="0"/>
              <w:spacing w:before="0" w:after="283"/>
              <w:jc w:val="left"/>
              <w:rPr>
                <w:b/>
                <w:color w:val="FFFFFF"/>
                <w:sz w:val="16"/>
              </w:rPr>
            </w:pPr>
            <w:r>
              <w:rPr>
                <w:b/>
                <w:color w:val="FFFFFF"/>
                <w:sz w:val="16"/>
              </w:rPr>
              <w:t>Fee based on flow</w:t>
            </w:r>
          </w:p>
        </w:tc>
        <w:tc>
          <w:tcPr>
            <w:tcW w:w="60" w:type="dxa"/>
            <w:tcBorders>
              <w:top w:val="single" w:sz="8" w:space="0" w:color="000000"/>
              <w:bottom w:val="single" w:sz="8" w:space="0" w:color="000000"/>
            </w:tcBorders>
            <w:shd w:fill="2AD2C9" w:val="clear"/>
            <w:tcMar>
              <w:left w:w="0" w:type="dxa"/>
            </w:tcMar>
            <w:vAlign w:val="center"/>
          </w:tcPr>
          <w:p>
            <w:pPr>
              <w:pStyle w:val="TableContents"/>
              <w:bidi w:val="0"/>
              <w:spacing w:before="0" w:after="283"/>
              <w:jc w:val="left"/>
              <w:rPr/>
            </w:pPr>
            <w:r>
              <w:rPr/>
              <w:t> </w:t>
            </w:r>
          </w:p>
        </w:tc>
        <w:tc>
          <w:tcPr>
            <w:tcW w:w="426" w:type="dxa"/>
            <w:tcBorders>
              <w:top w:val="single" w:sz="8" w:space="0" w:color="000000"/>
              <w:bottom w:val="single" w:sz="8" w:space="0" w:color="000000"/>
            </w:tcBorders>
            <w:shd w:fill="2AD2C9" w:val="clear"/>
            <w:tcMar>
              <w:left w:w="0" w:type="dxa"/>
            </w:tcMar>
            <w:vAlign w:val="center"/>
          </w:tcPr>
          <w:p>
            <w:pPr>
              <w:pStyle w:val="TableContents"/>
              <w:bidi w:val="0"/>
              <w:spacing w:before="0" w:after="283"/>
              <w:jc w:val="right"/>
              <w:rPr>
                <w:color w:val="FFFFFF"/>
                <w:sz w:val="16"/>
              </w:rPr>
            </w:pPr>
            <w:r>
              <w:rPr>
                <w:color w:val="FFFFFF"/>
                <w:sz w:val="16"/>
              </w:rPr>
              <w:t>1.60%</w:t>
            </w:r>
          </w:p>
        </w:tc>
        <w:tc>
          <w:tcPr>
            <w:tcW w:w="8639" w:type="dxa"/>
            <w:tcBorders>
              <w:top w:val="single" w:sz="8" w:space="0" w:color="000000"/>
              <w:left w:val="single" w:sz="8" w:space="0" w:color="000000"/>
              <w:bottom w:val="single" w:sz="8" w:space="0" w:color="000000"/>
              <w:right w:val="single" w:sz="8" w:space="0" w:color="000000"/>
            </w:tcBorders>
            <w:shd w:fill="2AD2C9" w:val="clear"/>
            <w:tcMar>
              <w:right w:w="40" w:type="dxa"/>
            </w:tcMar>
            <w:vAlign w:val="center"/>
          </w:tcPr>
          <w:p>
            <w:pPr>
              <w:pStyle w:val="TableContents"/>
              <w:bidi w:val="0"/>
              <w:spacing w:before="0" w:after="283"/>
              <w:jc w:val="left"/>
              <w:rPr>
                <w:color w:val="FFFFFF"/>
                <w:sz w:val="16"/>
              </w:rPr>
            </w:pPr>
            <w:r>
              <w:rPr>
                <w:color w:val="FFFFFF"/>
                <w:sz w:val="16"/>
              </w:rPr>
              <w:t>Applied to the affiliates’ monthly remuneration.</w:t>
            </w:r>
          </w:p>
        </w:tc>
      </w:tr>
      <w:tr>
        <w:trPr/>
        <w:tc>
          <w:tcPr>
            <w:tcW w:w="1080" w:type="dxa"/>
            <w:tcBorders>
              <w:left w:val="single" w:sz="8" w:space="0" w:color="000000"/>
            </w:tcBorders>
            <w:tcMar>
              <w:top w:w="0" w:type="dxa"/>
              <w:bottom w:w="0" w:type="dxa"/>
            </w:tcMar>
            <w:vAlign w:val="center"/>
          </w:tcPr>
          <w:p>
            <w:pPr>
              <w:pStyle w:val="TableContents"/>
              <w:bidi w:val="0"/>
              <w:spacing w:before="0" w:after="283"/>
              <w:jc w:val="left"/>
              <w:rPr>
                <w:b/>
                <w:sz w:val="16"/>
              </w:rPr>
            </w:pPr>
            <w:r>
              <w:rPr>
                <w:b/>
                <w:sz w:val="16"/>
              </w:rPr>
              <w:t>Mixed fee</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426" w:type="dxa"/>
            <w:tcBorders/>
            <w:tcMar>
              <w:top w:w="0" w:type="dxa"/>
              <w:left w:w="0" w:type="dxa"/>
              <w:bottom w:w="0" w:type="dxa"/>
            </w:tcMar>
            <w:vAlign w:val="center"/>
          </w:tcPr>
          <w:p>
            <w:pPr>
              <w:pStyle w:val="TableContents"/>
              <w:bidi w:val="0"/>
              <w:spacing w:before="0" w:after="283"/>
              <w:jc w:val="left"/>
              <w:rPr/>
            </w:pPr>
            <w:r>
              <w:rPr/>
              <w:t> </w:t>
            </w:r>
          </w:p>
        </w:tc>
        <w:tc>
          <w:tcPr>
            <w:tcW w:w="8639" w:type="dxa"/>
            <w:tcBorders>
              <w:left w:val="single" w:sz="8" w:space="0" w:color="000000"/>
              <w:right w:val="single" w:sz="8" w:space="0" w:color="000000"/>
            </w:tcBorders>
            <w:tcMar>
              <w:top w:w="0" w:type="dxa"/>
              <w:bottom w:w="0" w:type="dxa"/>
              <w:right w:w="40" w:type="dxa"/>
            </w:tcMar>
            <w:vAlign w:val="center"/>
          </w:tcPr>
          <w:p>
            <w:pPr>
              <w:pStyle w:val="TableContents"/>
              <w:bidi w:val="0"/>
              <w:spacing w:before="0" w:after="283"/>
              <w:jc w:val="center"/>
              <w:rPr/>
            </w:pPr>
            <w:r>
              <w:rPr/>
              <w:t> </w:t>
            </w:r>
          </w:p>
        </w:tc>
      </w:tr>
      <w:tr>
        <w:trPr/>
        <w:tc>
          <w:tcPr>
            <w:tcW w:w="108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426" w:type="dxa"/>
            <w:tcBorders/>
            <w:tcMar>
              <w:top w:w="0" w:type="dxa"/>
              <w:left w:w="0" w:type="dxa"/>
              <w:bottom w:w="0" w:type="dxa"/>
            </w:tcMar>
            <w:vAlign w:val="center"/>
          </w:tcPr>
          <w:p>
            <w:pPr>
              <w:pStyle w:val="TableContents"/>
              <w:bidi w:val="0"/>
              <w:spacing w:before="0" w:after="283"/>
              <w:jc w:val="left"/>
              <w:rPr/>
            </w:pPr>
            <w:r>
              <w:rPr/>
              <w:t> </w:t>
            </w:r>
          </w:p>
        </w:tc>
        <w:tc>
          <w:tcPr>
            <w:tcW w:w="8639" w:type="dxa"/>
            <w:tcBorders>
              <w:left w:val="single" w:sz="8" w:space="0" w:color="000000"/>
              <w:right w:val="single" w:sz="8" w:space="0" w:color="000000"/>
            </w:tcBorders>
            <w:tcMar>
              <w:top w:w="0" w:type="dxa"/>
              <w:bottom w:w="0" w:type="dxa"/>
              <w:right w:w="40" w:type="dxa"/>
            </w:tcMar>
            <w:vAlign w:val="center"/>
          </w:tcPr>
          <w:p>
            <w:pPr>
              <w:pStyle w:val="TableContents"/>
              <w:bidi w:val="0"/>
              <w:spacing w:before="0" w:after="283"/>
              <w:jc w:val="center"/>
              <w:rPr/>
            </w:pPr>
            <w:r>
              <w:rPr/>
              <w:t> </w:t>
            </w:r>
          </w:p>
        </w:tc>
      </w:tr>
      <w:tr>
        <w:trPr/>
        <w:tc>
          <w:tcPr>
            <w:tcW w:w="1080" w:type="dxa"/>
            <w:tcBorders>
              <w:left w:val="single" w:sz="8" w:space="0" w:color="000000"/>
            </w:tcBorders>
            <w:tcMar>
              <w:top w:w="0" w:type="dxa"/>
              <w:bottom w:w="0" w:type="dxa"/>
            </w:tcMar>
            <w:vAlign w:val="center"/>
          </w:tcPr>
          <w:p>
            <w:pPr>
              <w:pStyle w:val="TableContents"/>
              <w:bidi w:val="0"/>
              <w:spacing w:before="0" w:after="283"/>
              <w:jc w:val="left"/>
              <w:rPr>
                <w:b/>
                <w:sz w:val="16"/>
              </w:rPr>
            </w:pPr>
            <w:r>
              <w:rPr>
                <w:b/>
                <w:sz w:val="16"/>
              </w:rPr>
              <w:t>Flow</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426" w:type="dxa"/>
            <w:tcBorders/>
            <w:tcMar>
              <w:top w:w="0" w:type="dxa"/>
              <w:left w:w="0" w:type="dxa"/>
              <w:bottom w:w="0" w:type="dxa"/>
            </w:tcMar>
            <w:vAlign w:val="center"/>
          </w:tcPr>
          <w:p>
            <w:pPr>
              <w:pStyle w:val="TableContents"/>
              <w:bidi w:val="0"/>
              <w:spacing w:before="0" w:after="283"/>
              <w:jc w:val="right"/>
              <w:rPr>
                <w:sz w:val="16"/>
              </w:rPr>
            </w:pPr>
            <w:r>
              <w:rPr>
                <w:sz w:val="16"/>
              </w:rPr>
              <w:t>0.18%</w:t>
            </w:r>
          </w:p>
        </w:tc>
        <w:tc>
          <w:tcPr>
            <w:tcW w:w="8639" w:type="dxa"/>
            <w:tcBorders>
              <w:left w:val="single" w:sz="8" w:space="0" w:color="000000"/>
              <w:right w:val="single" w:sz="8" w:space="0" w:color="000000"/>
            </w:tcBorders>
            <w:tcMar>
              <w:top w:w="0" w:type="dxa"/>
              <w:bottom w:w="0" w:type="dxa"/>
              <w:right w:w="40" w:type="dxa"/>
            </w:tcMar>
            <w:vAlign w:val="center"/>
          </w:tcPr>
          <w:p>
            <w:pPr>
              <w:pStyle w:val="TableContents"/>
              <w:bidi w:val="0"/>
              <w:spacing w:before="0" w:after="283"/>
              <w:jc w:val="left"/>
              <w:rPr>
                <w:sz w:val="16"/>
              </w:rPr>
            </w:pPr>
            <w:r>
              <w:rPr>
                <w:sz w:val="16"/>
              </w:rPr>
              <w:t>Applied to the affiliates’ monthly remuneration since June 2017. Feb 17- may 17 =0.87%.</w:t>
            </w:r>
          </w:p>
        </w:tc>
      </w:tr>
      <w:tr>
        <w:trPr/>
        <w:tc>
          <w:tcPr>
            <w:tcW w:w="108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426" w:type="dxa"/>
            <w:tcBorders/>
            <w:tcMar>
              <w:top w:w="0" w:type="dxa"/>
              <w:left w:w="0" w:type="dxa"/>
              <w:bottom w:w="0" w:type="dxa"/>
            </w:tcMar>
            <w:vAlign w:val="center"/>
          </w:tcPr>
          <w:p>
            <w:pPr>
              <w:pStyle w:val="TableContents"/>
              <w:bidi w:val="0"/>
              <w:spacing w:before="0" w:after="283"/>
              <w:jc w:val="right"/>
              <w:rPr/>
            </w:pPr>
            <w:r>
              <w:rPr/>
              <w:t> </w:t>
            </w:r>
          </w:p>
        </w:tc>
        <w:tc>
          <w:tcPr>
            <w:tcW w:w="8639" w:type="dxa"/>
            <w:tcBorders>
              <w:left w:val="single" w:sz="8" w:space="0" w:color="000000"/>
              <w:right w:val="single" w:sz="8" w:space="0" w:color="000000"/>
            </w:tcBorders>
            <w:tcMar>
              <w:top w:w="0" w:type="dxa"/>
              <w:bottom w:w="0" w:type="dxa"/>
              <w:right w:w="40" w:type="dxa"/>
            </w:tcMar>
            <w:vAlign w:val="center"/>
          </w:tcPr>
          <w:p>
            <w:pPr>
              <w:pStyle w:val="TableContents"/>
              <w:bidi w:val="0"/>
              <w:spacing w:before="0" w:after="283"/>
              <w:jc w:val="left"/>
              <w:rPr/>
            </w:pPr>
            <w:r>
              <w:rPr/>
              <w:t> </w:t>
            </w:r>
          </w:p>
        </w:tc>
      </w:tr>
      <w:tr>
        <w:trPr/>
        <w:tc>
          <w:tcPr>
            <w:tcW w:w="1080" w:type="dxa"/>
            <w:tcBorders>
              <w:left w:val="single" w:sz="8" w:space="0" w:color="000000"/>
            </w:tcBorders>
            <w:tcMar>
              <w:top w:w="0" w:type="dxa"/>
              <w:bottom w:w="0" w:type="dxa"/>
            </w:tcMar>
            <w:vAlign w:val="center"/>
          </w:tcPr>
          <w:p>
            <w:pPr>
              <w:pStyle w:val="TableContents"/>
              <w:bidi w:val="0"/>
              <w:spacing w:before="0" w:after="283"/>
              <w:jc w:val="left"/>
              <w:rPr>
                <w:sz w:val="16"/>
              </w:rPr>
            </w:pPr>
            <w:r>
              <w:rPr>
                <w:sz w:val="16"/>
              </w:rPr>
              <w:t>Balance</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426" w:type="dxa"/>
            <w:tcBorders/>
            <w:tcMar>
              <w:top w:w="0" w:type="dxa"/>
              <w:left w:w="0" w:type="dxa"/>
              <w:bottom w:w="0" w:type="dxa"/>
            </w:tcMar>
            <w:vAlign w:val="center"/>
          </w:tcPr>
          <w:p>
            <w:pPr>
              <w:pStyle w:val="TableContents"/>
              <w:bidi w:val="0"/>
              <w:spacing w:before="0" w:after="283"/>
              <w:jc w:val="right"/>
              <w:rPr>
                <w:sz w:val="16"/>
              </w:rPr>
            </w:pPr>
            <w:r>
              <w:rPr>
                <w:sz w:val="16"/>
              </w:rPr>
              <w:t>1.25%</w:t>
            </w:r>
          </w:p>
        </w:tc>
        <w:tc>
          <w:tcPr>
            <w:tcW w:w="8639" w:type="dxa"/>
            <w:tcBorders>
              <w:left w:val="single" w:sz="8" w:space="0" w:color="000000"/>
              <w:right w:val="single" w:sz="8" w:space="0" w:color="000000"/>
            </w:tcBorders>
            <w:tcMar>
              <w:top w:w="0" w:type="dxa"/>
              <w:bottom w:w="0" w:type="dxa"/>
              <w:right w:w="40" w:type="dxa"/>
            </w:tcMar>
            <w:vAlign w:val="center"/>
          </w:tcPr>
          <w:p>
            <w:pPr>
              <w:pStyle w:val="TableContents"/>
              <w:bidi w:val="0"/>
              <w:spacing w:before="0" w:after="283"/>
              <w:jc w:val="left"/>
              <w:rPr>
                <w:sz w:val="16"/>
              </w:rPr>
            </w:pPr>
            <w:r>
              <w:rPr>
                <w:sz w:val="16"/>
              </w:rPr>
              <w:t>Applies annualy to the new balance since February 2013 for new affiliates to the system and beginning on June 2013 for old affiliates who have chosen this commission scheme.</w:t>
            </w:r>
          </w:p>
        </w:tc>
      </w:tr>
      <w:tr>
        <w:trPr/>
        <w:tc>
          <w:tcPr>
            <w:tcW w:w="108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tcMar>
            <w:vAlign w:val="center"/>
          </w:tcPr>
          <w:p>
            <w:pPr>
              <w:pStyle w:val="TableContents"/>
              <w:bidi w:val="0"/>
              <w:spacing w:before="0" w:after="283"/>
              <w:jc w:val="left"/>
              <w:rPr/>
            </w:pPr>
            <w:r>
              <w:rPr/>
              <w:t> </w:t>
            </w:r>
          </w:p>
        </w:tc>
        <w:tc>
          <w:tcPr>
            <w:tcW w:w="426" w:type="dxa"/>
            <w:tcBorders>
              <w:bottom w:val="single" w:sz="8" w:space="0" w:color="000000"/>
            </w:tcBorders>
            <w:tcMar>
              <w:top w:w="0" w:type="dxa"/>
              <w:left w:w="0" w:type="dxa"/>
            </w:tcMar>
            <w:vAlign w:val="center"/>
          </w:tcPr>
          <w:p>
            <w:pPr>
              <w:pStyle w:val="TableContents"/>
              <w:bidi w:val="0"/>
              <w:spacing w:before="0" w:after="283"/>
              <w:jc w:val="right"/>
              <w:rPr/>
            </w:pPr>
            <w:r>
              <w:rPr/>
              <w:t> </w:t>
            </w:r>
          </w:p>
        </w:tc>
        <w:tc>
          <w:tcPr>
            <w:tcW w:w="8639" w:type="dxa"/>
            <w:tcBorders>
              <w:left w:val="single" w:sz="8" w:space="0" w:color="000000"/>
              <w:bottom w:val="single" w:sz="8" w:space="0" w:color="000000"/>
              <w:right w:val="single" w:sz="8" w:space="0" w:color="000000"/>
            </w:tcBorders>
            <w:tcMar>
              <w:top w:w="0" w:type="dxa"/>
              <w:right w:w="4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72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9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39" descr=""/>
                          <pic:cNvPicPr>
                            <a:picLocks noChangeAspect="1" noChangeArrowheads="1"/>
                          </pic:cNvPicPr>
                        </pic:nvPicPr>
                        <pic:blipFill>
                          <a:blip r:embed="rId158"/>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Main indicators</w:t>
      </w:r>
    </w:p>
    <w:p>
      <w:pPr>
        <w:pStyle w:val="TextBody"/>
        <w:bidi w:val="0"/>
        <w:spacing w:before="0" w:after="0"/>
        <w:ind w:left="0" w:right="0" w:hanging="0"/>
        <w:jc w:val="left"/>
        <w:rPr>
          <w:caps w:val="false"/>
          <w:smallCaps w:val="false"/>
        </w:rPr>
      </w:pPr>
      <w:r>
        <w:rPr>
          <w:caps w:val="false"/>
          <w:smallCaps w:val="false"/>
        </w:rPr>
        <w:t> </w:t>
      </w:r>
    </w:p>
    <w:tbl>
      <w:tblPr>
        <w:tblW w:w="7145" w:type="dxa"/>
        <w:jc w:val="left"/>
        <w:tblInd w:w="-10" w:type="dxa"/>
        <w:tblLayout w:type="fixed"/>
        <w:tblCellMar>
          <w:top w:w="28" w:type="dxa"/>
          <w:left w:w="28" w:type="dxa"/>
          <w:bottom w:w="28" w:type="dxa"/>
          <w:right w:w="0" w:type="dxa"/>
        </w:tblCellMar>
      </w:tblPr>
      <w:tblGrid>
        <w:gridCol w:w="2735"/>
        <w:gridCol w:w="740"/>
        <w:gridCol w:w="740"/>
        <w:gridCol w:w="725"/>
        <w:gridCol w:w="740"/>
        <w:gridCol w:w="740"/>
        <w:gridCol w:w="725"/>
      </w:tblGrid>
      <w:tr>
        <w:trPr/>
        <w:tc>
          <w:tcPr>
            <w:tcW w:w="2735" w:type="dxa"/>
            <w:tcBorders>
              <w:top w:val="single" w:sz="8" w:space="0" w:color="000000"/>
              <w:left w:val="single" w:sz="8" w:space="0" w:color="000000"/>
              <w:bottom w:val="single" w:sz="8" w:space="0" w:color="000000"/>
            </w:tcBorders>
            <w:shd w:fill="2AD2C9" w:val="clear"/>
            <w:vAlign w:val="center"/>
          </w:tcPr>
          <w:p>
            <w:pPr>
              <w:pStyle w:val="TableContents"/>
              <w:bidi w:val="0"/>
              <w:spacing w:before="0" w:after="283"/>
              <w:jc w:val="left"/>
              <w:rPr>
                <w:b/>
                <w:color w:val="FFFFFF"/>
                <w:sz w:val="16"/>
              </w:rPr>
            </w:pPr>
            <w:r>
              <w:rPr>
                <w:b/>
                <w:color w:val="FFFFFF"/>
                <w:sz w:val="16"/>
              </w:rPr>
              <w:t>Main indicators and market share</w:t>
            </w:r>
          </w:p>
        </w:tc>
        <w:tc>
          <w:tcPr>
            <w:tcW w:w="740" w:type="dxa"/>
            <w:tcBorders>
              <w:top w:val="single" w:sz="8" w:space="0" w:color="000000"/>
              <w:left w:val="single" w:sz="8" w:space="0" w:color="000000"/>
              <w:bottom w:val="single" w:sz="8" w:space="0" w:color="000000"/>
            </w:tcBorders>
            <w:shd w:fill="2AD2C9" w:val="clear"/>
            <w:vAlign w:val="center"/>
          </w:tcPr>
          <w:p>
            <w:pPr>
              <w:pStyle w:val="TableContents"/>
              <w:bidi w:val="0"/>
              <w:spacing w:before="0" w:after="283"/>
              <w:jc w:val="center"/>
              <w:rPr>
                <w:color w:val="FFFFFF"/>
              </w:rPr>
            </w:pPr>
            <w:r>
              <w:rPr>
                <w:color w:val="FFFFFF"/>
              </w:rPr>
              <w:t> </w:t>
            </w:r>
            <w:r>
              <w:rPr>
                <w:b/>
                <w:color w:val="FFFFFF"/>
                <w:sz w:val="16"/>
              </w:rPr>
              <w:t xml:space="preserve">Prima </w:t>
              <w:br/>
              <w:t>1Q23 </w:t>
            </w:r>
          </w:p>
        </w:tc>
        <w:tc>
          <w:tcPr>
            <w:tcW w:w="740" w:type="dxa"/>
            <w:tcBorders>
              <w:top w:val="single" w:sz="8" w:space="0" w:color="000000"/>
              <w:bottom w:val="single" w:sz="8" w:space="0" w:color="000000"/>
            </w:tcBorders>
            <w:shd w:fill="2AD2C9" w:val="clear"/>
            <w:tcMar>
              <w:left w:w="0" w:type="dxa"/>
            </w:tcMar>
            <w:vAlign w:val="center"/>
          </w:tcPr>
          <w:p>
            <w:pPr>
              <w:pStyle w:val="TableContents"/>
              <w:bidi w:val="0"/>
              <w:spacing w:before="0" w:after="283"/>
              <w:jc w:val="center"/>
              <w:rPr>
                <w:color w:val="FFFFFF"/>
              </w:rPr>
            </w:pPr>
            <w:r>
              <w:rPr>
                <w:color w:val="FFFFFF"/>
              </w:rPr>
              <w:t> </w:t>
            </w:r>
            <w:r>
              <w:rPr>
                <w:b/>
                <w:color w:val="FFFFFF"/>
                <w:sz w:val="16"/>
              </w:rPr>
              <w:t>System </w:t>
              <w:br/>
              <w:t>1Q23 </w:t>
            </w:r>
          </w:p>
        </w:tc>
        <w:tc>
          <w:tcPr>
            <w:tcW w:w="725" w:type="dxa"/>
            <w:tcBorders>
              <w:top w:val="single" w:sz="8" w:space="0" w:color="000000"/>
              <w:bottom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color w:val="FFFFFF"/>
              </w:rPr>
            </w:pPr>
            <w:r>
              <w:rPr>
                <w:color w:val="FFFFFF"/>
              </w:rPr>
              <w:t> </w:t>
            </w:r>
            <w:r>
              <w:rPr>
                <w:b/>
                <w:color w:val="FFFFFF"/>
                <w:sz w:val="16"/>
              </w:rPr>
              <w:t xml:space="preserve">% share </w:t>
              <w:br/>
              <w:t>1Q23 </w:t>
            </w:r>
          </w:p>
        </w:tc>
        <w:tc>
          <w:tcPr>
            <w:tcW w:w="740" w:type="dxa"/>
            <w:tcBorders>
              <w:top w:val="single" w:sz="8" w:space="0" w:color="000000"/>
              <w:bottom w:val="single" w:sz="8" w:space="0" w:color="000000"/>
            </w:tcBorders>
            <w:shd w:fill="2AD2C9" w:val="clear"/>
            <w:tcMar>
              <w:left w:w="0" w:type="dxa"/>
            </w:tcMar>
            <w:vAlign w:val="center"/>
          </w:tcPr>
          <w:p>
            <w:pPr>
              <w:pStyle w:val="TableContents"/>
              <w:bidi w:val="0"/>
              <w:spacing w:before="0" w:after="283"/>
              <w:jc w:val="center"/>
              <w:rPr>
                <w:color w:val="FFFFFF"/>
              </w:rPr>
            </w:pPr>
            <w:r>
              <w:rPr>
                <w:color w:val="FFFFFF"/>
              </w:rPr>
              <w:t> </w:t>
            </w:r>
            <w:r>
              <w:rPr>
                <w:b/>
                <w:color w:val="FFFFFF"/>
                <w:sz w:val="16"/>
              </w:rPr>
              <w:t xml:space="preserve">Prima </w:t>
              <w:br/>
              <w:t>2Q23 </w:t>
            </w:r>
          </w:p>
        </w:tc>
        <w:tc>
          <w:tcPr>
            <w:tcW w:w="740" w:type="dxa"/>
            <w:tcBorders>
              <w:top w:val="single" w:sz="8" w:space="0" w:color="000000"/>
              <w:bottom w:val="single" w:sz="8" w:space="0" w:color="000000"/>
            </w:tcBorders>
            <w:shd w:fill="2AD2C9" w:val="clear"/>
            <w:tcMar>
              <w:left w:w="0" w:type="dxa"/>
            </w:tcMar>
            <w:vAlign w:val="center"/>
          </w:tcPr>
          <w:p>
            <w:pPr>
              <w:pStyle w:val="TableContents"/>
              <w:bidi w:val="0"/>
              <w:spacing w:before="0" w:after="283"/>
              <w:jc w:val="center"/>
              <w:rPr>
                <w:color w:val="FFFFFF"/>
              </w:rPr>
            </w:pPr>
            <w:r>
              <w:rPr>
                <w:color w:val="FFFFFF"/>
              </w:rPr>
              <w:t> </w:t>
            </w:r>
            <w:r>
              <w:rPr>
                <w:b/>
                <w:color w:val="FFFFFF"/>
                <w:sz w:val="16"/>
              </w:rPr>
              <w:t>System </w:t>
              <w:br/>
              <w:t>2Q23 (3) </w:t>
            </w:r>
          </w:p>
        </w:tc>
        <w:tc>
          <w:tcPr>
            <w:tcW w:w="725" w:type="dxa"/>
            <w:tcBorders>
              <w:top w:val="single" w:sz="8" w:space="0" w:color="000000"/>
              <w:bottom w:val="single" w:sz="8" w:space="0" w:color="000000"/>
              <w:right w:val="single" w:sz="8" w:space="0" w:color="000000"/>
            </w:tcBorders>
            <w:shd w:fill="2AD2C9" w:val="clear"/>
            <w:tcMar>
              <w:left w:w="0" w:type="dxa"/>
              <w:right w:w="28" w:type="dxa"/>
            </w:tcMar>
            <w:vAlign w:val="center"/>
          </w:tcPr>
          <w:p>
            <w:pPr>
              <w:pStyle w:val="TableContents"/>
              <w:bidi w:val="0"/>
              <w:spacing w:before="0" w:after="283"/>
              <w:jc w:val="center"/>
              <w:rPr>
                <w:color w:val="FFFFFF"/>
              </w:rPr>
            </w:pPr>
            <w:r>
              <w:rPr>
                <w:color w:val="FFFFFF"/>
              </w:rPr>
              <w:t> </w:t>
            </w:r>
            <w:r>
              <w:rPr>
                <w:b/>
                <w:color w:val="FFFFFF"/>
                <w:sz w:val="16"/>
              </w:rPr>
              <w:t xml:space="preserve">% share </w:t>
              <w:br/>
              <w:t>2Q23 </w:t>
            </w:r>
          </w:p>
        </w:tc>
      </w:tr>
      <w:tr>
        <w:trPr/>
        <w:tc>
          <w:tcPr>
            <w:tcW w:w="2735" w:type="dxa"/>
            <w:tcBorders>
              <w:left w:val="single" w:sz="8" w:space="0" w:color="000000"/>
            </w:tcBorders>
            <w:tcMar>
              <w:top w:w="0" w:type="dxa"/>
              <w:bottom w:w="0" w:type="dxa"/>
            </w:tcMar>
            <w:vAlign w:val="center"/>
          </w:tcPr>
          <w:p>
            <w:pPr>
              <w:pStyle w:val="TableContents"/>
              <w:bidi w:val="0"/>
              <w:spacing w:before="0" w:after="283"/>
              <w:jc w:val="left"/>
              <w:rPr>
                <w:sz w:val="16"/>
              </w:rPr>
            </w:pPr>
            <w:r>
              <w:rPr>
                <w:sz w:val="16"/>
              </w:rPr>
              <w:t>Affiliates</w:t>
            </w:r>
          </w:p>
        </w:tc>
        <w:tc>
          <w:tcPr>
            <w:tcW w:w="740" w:type="dxa"/>
            <w:tcBorders>
              <w:left w:val="single" w:sz="8" w:space="0" w:color="000000"/>
            </w:tcBorders>
            <w:tcMar>
              <w:top w:w="0" w:type="dxa"/>
              <w:bottom w:w="0" w:type="dxa"/>
            </w:tcMar>
            <w:vAlign w:val="center"/>
          </w:tcPr>
          <w:p>
            <w:pPr>
              <w:pStyle w:val="TableContents"/>
              <w:bidi w:val="0"/>
              <w:spacing w:before="0" w:after="283"/>
              <w:jc w:val="right"/>
              <w:rPr>
                <w:sz w:val="16"/>
              </w:rPr>
            </w:pPr>
            <w:r>
              <w:rPr>
                <w:sz w:val="16"/>
              </w:rPr>
              <w:t>2,342,499</w:t>
            </w:r>
          </w:p>
        </w:tc>
        <w:tc>
          <w:tcPr>
            <w:tcW w:w="740" w:type="dxa"/>
            <w:tcBorders/>
            <w:tcMar>
              <w:top w:w="0" w:type="dxa"/>
              <w:left w:w="0" w:type="dxa"/>
              <w:bottom w:w="0" w:type="dxa"/>
            </w:tcMar>
            <w:vAlign w:val="center"/>
          </w:tcPr>
          <w:p>
            <w:pPr>
              <w:pStyle w:val="TableContents"/>
              <w:bidi w:val="0"/>
              <w:spacing w:before="0" w:after="283"/>
              <w:jc w:val="right"/>
              <w:rPr>
                <w:sz w:val="16"/>
              </w:rPr>
            </w:pPr>
            <w:r>
              <w:rPr>
                <w:sz w:val="16"/>
              </w:rPr>
              <w:t>8,948,255</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26.2%</w:t>
            </w:r>
          </w:p>
        </w:tc>
        <w:tc>
          <w:tcPr>
            <w:tcW w:w="740" w:type="dxa"/>
            <w:tcBorders/>
            <w:tcMar>
              <w:top w:w="0" w:type="dxa"/>
              <w:left w:w="0" w:type="dxa"/>
              <w:bottom w:w="0" w:type="dxa"/>
            </w:tcMar>
            <w:vAlign w:val="center"/>
          </w:tcPr>
          <w:p>
            <w:pPr>
              <w:pStyle w:val="TableContents"/>
              <w:bidi w:val="0"/>
              <w:spacing w:before="0" w:after="283"/>
              <w:jc w:val="right"/>
              <w:rPr>
                <w:sz w:val="16"/>
              </w:rPr>
            </w:pPr>
            <w:r>
              <w:rPr>
                <w:sz w:val="16"/>
              </w:rPr>
              <w:t>2,341,661</w:t>
            </w:r>
          </w:p>
        </w:tc>
        <w:tc>
          <w:tcPr>
            <w:tcW w:w="740" w:type="dxa"/>
            <w:tcBorders/>
            <w:tcMar>
              <w:top w:w="0" w:type="dxa"/>
              <w:left w:w="0" w:type="dxa"/>
              <w:bottom w:w="0" w:type="dxa"/>
            </w:tcMar>
            <w:vAlign w:val="center"/>
          </w:tcPr>
          <w:p>
            <w:pPr>
              <w:pStyle w:val="TableContents"/>
              <w:bidi w:val="0"/>
              <w:spacing w:before="0" w:after="283"/>
              <w:jc w:val="right"/>
              <w:rPr>
                <w:sz w:val="16"/>
              </w:rPr>
            </w:pPr>
            <w:r>
              <w:rPr>
                <w:sz w:val="16"/>
              </w:rPr>
              <w:t>9,063,654</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25.8%</w:t>
            </w:r>
          </w:p>
        </w:tc>
      </w:tr>
      <w:tr>
        <w:trPr/>
        <w:tc>
          <w:tcPr>
            <w:tcW w:w="2735" w:type="dxa"/>
            <w:tcBorders>
              <w:left w:val="single" w:sz="8" w:space="0" w:color="000000"/>
            </w:tcBorders>
            <w:tcMar>
              <w:top w:w="0" w:type="dxa"/>
              <w:bottom w:w="0" w:type="dxa"/>
            </w:tcMar>
            <w:vAlign w:val="center"/>
          </w:tcPr>
          <w:p>
            <w:pPr>
              <w:pStyle w:val="TableContents"/>
              <w:bidi w:val="0"/>
              <w:spacing w:before="0" w:after="283"/>
              <w:jc w:val="left"/>
              <w:rPr>
                <w:sz w:val="16"/>
              </w:rPr>
            </w:pPr>
            <w:r>
              <w:rPr>
                <w:sz w:val="16"/>
              </w:rPr>
              <w:t>New affiliations (1)</w:t>
            </w:r>
          </w:p>
        </w:tc>
        <w:tc>
          <w:tcPr>
            <w:tcW w:w="740" w:type="dxa"/>
            <w:tcBorders>
              <w:left w:val="single" w:sz="8" w:space="0" w:color="000000"/>
            </w:tcBorders>
            <w:tcMar>
              <w:top w:w="0" w:type="dxa"/>
              <w:bottom w:w="0" w:type="dxa"/>
            </w:tcMar>
            <w:vAlign w:val="center"/>
          </w:tcPr>
          <w:p>
            <w:pPr>
              <w:pStyle w:val="TableContents"/>
              <w:bidi w:val="0"/>
              <w:spacing w:before="0" w:after="283"/>
              <w:jc w:val="right"/>
              <w:rPr>
                <w:sz w:val="16"/>
              </w:rPr>
            </w:pPr>
            <w:r>
              <w:rPr>
                <w:sz w:val="16"/>
              </w:rPr>
              <w:t>-</w:t>
            </w:r>
          </w:p>
        </w:tc>
        <w:tc>
          <w:tcPr>
            <w:tcW w:w="740" w:type="dxa"/>
            <w:tcBorders/>
            <w:tcMar>
              <w:top w:w="0" w:type="dxa"/>
              <w:left w:w="0" w:type="dxa"/>
              <w:bottom w:w="0" w:type="dxa"/>
            </w:tcMar>
            <w:vAlign w:val="center"/>
          </w:tcPr>
          <w:p>
            <w:pPr>
              <w:pStyle w:val="TableContents"/>
              <w:bidi w:val="0"/>
              <w:spacing w:before="0" w:after="283"/>
              <w:jc w:val="right"/>
              <w:rPr>
                <w:sz w:val="16"/>
              </w:rPr>
            </w:pPr>
            <w:r>
              <w:rPr>
                <w:sz w:val="16"/>
              </w:rPr>
              <w:t>135,763</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0.0%</w:t>
            </w:r>
          </w:p>
        </w:tc>
        <w:tc>
          <w:tcPr>
            <w:tcW w:w="740" w:type="dxa"/>
            <w:tcBorders/>
            <w:tcMar>
              <w:top w:w="0" w:type="dxa"/>
              <w:left w:w="0" w:type="dxa"/>
              <w:bottom w:w="0" w:type="dxa"/>
            </w:tcMar>
            <w:vAlign w:val="center"/>
          </w:tcPr>
          <w:p>
            <w:pPr>
              <w:pStyle w:val="TableContents"/>
              <w:bidi w:val="0"/>
              <w:spacing w:before="0" w:after="283"/>
              <w:jc w:val="right"/>
              <w:rPr/>
            </w:pPr>
            <w:r>
              <w:rPr/>
              <w:t> </w:t>
            </w:r>
            <w:r>
              <w:rPr>
                <w:sz w:val="16"/>
              </w:rPr>
              <w:t>-</w:t>
            </w:r>
          </w:p>
        </w:tc>
        <w:tc>
          <w:tcPr>
            <w:tcW w:w="740" w:type="dxa"/>
            <w:tcBorders/>
            <w:tcMar>
              <w:top w:w="0" w:type="dxa"/>
              <w:left w:w="0" w:type="dxa"/>
              <w:bottom w:w="0" w:type="dxa"/>
            </w:tcMar>
            <w:vAlign w:val="center"/>
          </w:tcPr>
          <w:p>
            <w:pPr>
              <w:pStyle w:val="TableContents"/>
              <w:bidi w:val="0"/>
              <w:spacing w:before="0" w:after="283"/>
              <w:jc w:val="right"/>
              <w:rPr>
                <w:sz w:val="16"/>
              </w:rPr>
            </w:pPr>
            <w:r>
              <w:rPr>
                <w:sz w:val="16"/>
              </w:rPr>
              <w:t>118,899</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0.0%</w:t>
            </w:r>
          </w:p>
        </w:tc>
      </w:tr>
      <w:tr>
        <w:trPr/>
        <w:tc>
          <w:tcPr>
            <w:tcW w:w="2735" w:type="dxa"/>
            <w:tcBorders>
              <w:left w:val="single" w:sz="8" w:space="0" w:color="000000"/>
            </w:tcBorders>
            <w:tcMar>
              <w:top w:w="0" w:type="dxa"/>
              <w:bottom w:w="0" w:type="dxa"/>
            </w:tcMar>
            <w:vAlign w:val="center"/>
          </w:tcPr>
          <w:p>
            <w:pPr>
              <w:pStyle w:val="TableContents"/>
              <w:bidi w:val="0"/>
              <w:spacing w:before="0" w:after="283"/>
              <w:jc w:val="left"/>
              <w:rPr>
                <w:sz w:val="16"/>
              </w:rPr>
            </w:pPr>
            <w:r>
              <w:rPr>
                <w:sz w:val="16"/>
              </w:rPr>
              <w:t>Funds under management (S/ Millions)</w:t>
            </w:r>
          </w:p>
        </w:tc>
        <w:tc>
          <w:tcPr>
            <w:tcW w:w="740" w:type="dxa"/>
            <w:tcBorders>
              <w:left w:val="single" w:sz="8" w:space="0" w:color="000000"/>
            </w:tcBorders>
            <w:tcMar>
              <w:top w:w="0" w:type="dxa"/>
              <w:bottom w:w="0" w:type="dxa"/>
            </w:tcMar>
            <w:vAlign w:val="center"/>
          </w:tcPr>
          <w:p>
            <w:pPr>
              <w:pStyle w:val="TableContents"/>
              <w:bidi w:val="0"/>
              <w:spacing w:before="0" w:after="283"/>
              <w:jc w:val="right"/>
              <w:rPr>
                <w:sz w:val="16"/>
              </w:rPr>
            </w:pPr>
            <w:r>
              <w:rPr>
                <w:sz w:val="16"/>
              </w:rPr>
              <w:t>32,928</w:t>
            </w:r>
          </w:p>
        </w:tc>
        <w:tc>
          <w:tcPr>
            <w:tcW w:w="740" w:type="dxa"/>
            <w:tcBorders/>
            <w:tcMar>
              <w:top w:w="0" w:type="dxa"/>
              <w:left w:w="0" w:type="dxa"/>
              <w:bottom w:w="0" w:type="dxa"/>
            </w:tcMar>
            <w:vAlign w:val="center"/>
          </w:tcPr>
          <w:p>
            <w:pPr>
              <w:pStyle w:val="TableContents"/>
              <w:bidi w:val="0"/>
              <w:spacing w:before="0" w:after="283"/>
              <w:jc w:val="right"/>
              <w:rPr>
                <w:sz w:val="16"/>
              </w:rPr>
            </w:pPr>
            <w:r>
              <w:rPr>
                <w:sz w:val="16"/>
              </w:rPr>
              <w:t>109,564</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30.1%</w:t>
            </w:r>
          </w:p>
        </w:tc>
        <w:tc>
          <w:tcPr>
            <w:tcW w:w="740" w:type="dxa"/>
            <w:tcBorders/>
            <w:tcMar>
              <w:top w:w="0" w:type="dxa"/>
              <w:left w:w="0" w:type="dxa"/>
              <w:bottom w:w="0" w:type="dxa"/>
            </w:tcMar>
            <w:vAlign w:val="center"/>
          </w:tcPr>
          <w:p>
            <w:pPr>
              <w:pStyle w:val="TableContents"/>
              <w:bidi w:val="0"/>
              <w:spacing w:before="0" w:after="283"/>
              <w:jc w:val="right"/>
              <w:rPr/>
            </w:pPr>
            <w:r>
              <w:rPr/>
              <w:t> </w:t>
            </w:r>
            <w:r>
              <w:rPr>
                <w:sz w:val="16"/>
              </w:rPr>
              <w:t>33,893</w:t>
            </w:r>
          </w:p>
        </w:tc>
        <w:tc>
          <w:tcPr>
            <w:tcW w:w="740" w:type="dxa"/>
            <w:tcBorders/>
            <w:tcMar>
              <w:top w:w="0" w:type="dxa"/>
              <w:left w:w="0" w:type="dxa"/>
              <w:bottom w:w="0" w:type="dxa"/>
            </w:tcMar>
            <w:vAlign w:val="center"/>
          </w:tcPr>
          <w:p>
            <w:pPr>
              <w:pStyle w:val="TableContents"/>
              <w:bidi w:val="0"/>
              <w:spacing w:before="0" w:after="283"/>
              <w:jc w:val="right"/>
              <w:rPr>
                <w:sz w:val="16"/>
              </w:rPr>
            </w:pPr>
            <w:r>
              <w:rPr>
                <w:sz w:val="16"/>
              </w:rPr>
              <w:t>112,828</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30.0%</w:t>
            </w:r>
          </w:p>
        </w:tc>
      </w:tr>
      <w:tr>
        <w:trPr/>
        <w:tc>
          <w:tcPr>
            <w:tcW w:w="2735" w:type="dxa"/>
            <w:tcBorders>
              <w:left w:val="single" w:sz="8" w:space="0" w:color="000000"/>
            </w:tcBorders>
            <w:tcMar>
              <w:top w:w="0" w:type="dxa"/>
              <w:bottom w:w="0" w:type="dxa"/>
            </w:tcMar>
            <w:vAlign w:val="center"/>
          </w:tcPr>
          <w:p>
            <w:pPr>
              <w:pStyle w:val="TableContents"/>
              <w:bidi w:val="0"/>
              <w:spacing w:before="0" w:after="283"/>
              <w:jc w:val="left"/>
              <w:rPr>
                <w:sz w:val="16"/>
              </w:rPr>
            </w:pPr>
            <w:r>
              <w:rPr>
                <w:sz w:val="16"/>
              </w:rPr>
              <w:t>Collections(S/ Millions)</w:t>
            </w:r>
          </w:p>
        </w:tc>
        <w:tc>
          <w:tcPr>
            <w:tcW w:w="740" w:type="dxa"/>
            <w:tcBorders>
              <w:left w:val="single" w:sz="8" w:space="0" w:color="000000"/>
            </w:tcBorders>
            <w:tcMar>
              <w:top w:w="0" w:type="dxa"/>
              <w:bottom w:w="0" w:type="dxa"/>
            </w:tcMar>
            <w:vAlign w:val="center"/>
          </w:tcPr>
          <w:p>
            <w:pPr>
              <w:pStyle w:val="TableContents"/>
              <w:bidi w:val="0"/>
              <w:spacing w:before="0" w:after="283"/>
              <w:jc w:val="right"/>
              <w:rPr>
                <w:sz w:val="16"/>
              </w:rPr>
            </w:pPr>
            <w:r>
              <w:rPr>
                <w:sz w:val="16"/>
              </w:rPr>
              <w:t>1,014</w:t>
            </w:r>
          </w:p>
        </w:tc>
        <w:tc>
          <w:tcPr>
            <w:tcW w:w="740" w:type="dxa"/>
            <w:tcBorders/>
            <w:tcMar>
              <w:top w:w="0" w:type="dxa"/>
              <w:left w:w="0" w:type="dxa"/>
              <w:bottom w:w="0" w:type="dxa"/>
            </w:tcMar>
            <w:vAlign w:val="center"/>
          </w:tcPr>
          <w:p>
            <w:pPr>
              <w:pStyle w:val="TableContents"/>
              <w:bidi w:val="0"/>
              <w:spacing w:before="0" w:after="283"/>
              <w:jc w:val="right"/>
              <w:rPr/>
            </w:pPr>
            <w:r>
              <w:rPr/>
              <w:t> </w:t>
            </w:r>
            <w:r>
              <w:rPr>
                <w:sz w:val="16"/>
              </w:rPr>
              <w:t>3,611</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28.1%</w:t>
            </w:r>
          </w:p>
        </w:tc>
        <w:tc>
          <w:tcPr>
            <w:tcW w:w="740" w:type="dxa"/>
            <w:tcBorders/>
            <w:tcMar>
              <w:top w:w="0" w:type="dxa"/>
              <w:left w:w="0" w:type="dxa"/>
              <w:bottom w:w="0" w:type="dxa"/>
            </w:tcMar>
            <w:vAlign w:val="center"/>
          </w:tcPr>
          <w:p>
            <w:pPr>
              <w:pStyle w:val="TableContents"/>
              <w:bidi w:val="0"/>
              <w:spacing w:before="0" w:after="283"/>
              <w:jc w:val="right"/>
              <w:rPr/>
            </w:pPr>
            <w:r>
              <w:rPr/>
              <w:t> </w:t>
            </w:r>
            <w:r>
              <w:rPr>
                <w:sz w:val="16"/>
              </w:rPr>
              <w:t>995</w:t>
            </w:r>
          </w:p>
        </w:tc>
        <w:tc>
          <w:tcPr>
            <w:tcW w:w="740" w:type="dxa"/>
            <w:tcBorders/>
            <w:tcMar>
              <w:top w:w="0" w:type="dxa"/>
              <w:left w:w="0" w:type="dxa"/>
              <w:bottom w:w="0" w:type="dxa"/>
            </w:tcMar>
            <w:vAlign w:val="center"/>
          </w:tcPr>
          <w:p>
            <w:pPr>
              <w:pStyle w:val="TableContents"/>
              <w:bidi w:val="0"/>
              <w:spacing w:before="0" w:after="283"/>
              <w:jc w:val="right"/>
              <w:rPr/>
            </w:pPr>
            <w:r>
              <w:rPr/>
              <w:t> </w:t>
            </w:r>
            <w:r>
              <w:rPr>
                <w:sz w:val="16"/>
              </w:rPr>
              <w:t>3,708</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26.8%</w:t>
            </w:r>
          </w:p>
        </w:tc>
      </w:tr>
      <w:tr>
        <w:trPr/>
        <w:tc>
          <w:tcPr>
            <w:tcW w:w="2735" w:type="dxa"/>
            <w:tcBorders>
              <w:left w:val="single" w:sz="8" w:space="0" w:color="000000"/>
            </w:tcBorders>
            <w:tcMar>
              <w:top w:w="0" w:type="dxa"/>
              <w:bottom w:w="0" w:type="dxa"/>
            </w:tcMar>
            <w:vAlign w:val="center"/>
          </w:tcPr>
          <w:p>
            <w:pPr>
              <w:pStyle w:val="TableContents"/>
              <w:bidi w:val="0"/>
              <w:spacing w:before="0" w:after="283"/>
              <w:jc w:val="left"/>
              <w:rPr>
                <w:sz w:val="16"/>
              </w:rPr>
            </w:pPr>
            <w:r>
              <w:rPr>
                <w:sz w:val="16"/>
              </w:rPr>
              <w:t>Voluntary contributions (S/ Millions)</w:t>
            </w:r>
          </w:p>
        </w:tc>
        <w:tc>
          <w:tcPr>
            <w:tcW w:w="740" w:type="dxa"/>
            <w:tcBorders>
              <w:left w:val="single" w:sz="8" w:space="0" w:color="000000"/>
            </w:tcBorders>
            <w:tcMar>
              <w:top w:w="0" w:type="dxa"/>
              <w:bottom w:w="0" w:type="dxa"/>
            </w:tcMar>
            <w:vAlign w:val="center"/>
          </w:tcPr>
          <w:p>
            <w:pPr>
              <w:pStyle w:val="TableContents"/>
              <w:bidi w:val="0"/>
              <w:spacing w:before="0" w:after="283"/>
              <w:jc w:val="right"/>
              <w:rPr>
                <w:sz w:val="16"/>
              </w:rPr>
            </w:pPr>
            <w:r>
              <w:rPr>
                <w:sz w:val="16"/>
              </w:rPr>
              <w:t>797</w:t>
            </w:r>
          </w:p>
        </w:tc>
        <w:tc>
          <w:tcPr>
            <w:tcW w:w="740" w:type="dxa"/>
            <w:tcBorders/>
            <w:tcMar>
              <w:top w:w="0" w:type="dxa"/>
              <w:left w:w="0" w:type="dxa"/>
              <w:bottom w:w="0" w:type="dxa"/>
            </w:tcMar>
            <w:vAlign w:val="center"/>
          </w:tcPr>
          <w:p>
            <w:pPr>
              <w:pStyle w:val="TableContents"/>
              <w:bidi w:val="0"/>
              <w:spacing w:before="0" w:after="283"/>
              <w:jc w:val="right"/>
              <w:rPr/>
            </w:pPr>
            <w:r>
              <w:rPr/>
              <w:t> </w:t>
            </w:r>
            <w:r>
              <w:rPr>
                <w:sz w:val="16"/>
              </w:rPr>
              <w:t>2,061</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38.7%</w:t>
            </w:r>
          </w:p>
        </w:tc>
        <w:tc>
          <w:tcPr>
            <w:tcW w:w="740" w:type="dxa"/>
            <w:tcBorders/>
            <w:tcMar>
              <w:top w:w="0" w:type="dxa"/>
              <w:left w:w="0" w:type="dxa"/>
              <w:bottom w:w="0" w:type="dxa"/>
            </w:tcMar>
            <w:vAlign w:val="center"/>
          </w:tcPr>
          <w:p>
            <w:pPr>
              <w:pStyle w:val="TableContents"/>
              <w:bidi w:val="0"/>
              <w:spacing w:before="0" w:after="283"/>
              <w:jc w:val="right"/>
              <w:rPr/>
            </w:pPr>
            <w:r>
              <w:rPr/>
              <w:t> </w:t>
            </w:r>
            <w:r>
              <w:rPr>
                <w:sz w:val="16"/>
              </w:rPr>
              <w:t>794</w:t>
            </w:r>
          </w:p>
        </w:tc>
        <w:tc>
          <w:tcPr>
            <w:tcW w:w="740" w:type="dxa"/>
            <w:tcBorders/>
            <w:tcMar>
              <w:top w:w="0" w:type="dxa"/>
              <w:left w:w="0" w:type="dxa"/>
              <w:bottom w:w="0" w:type="dxa"/>
            </w:tcMar>
            <w:vAlign w:val="center"/>
          </w:tcPr>
          <w:p>
            <w:pPr>
              <w:pStyle w:val="TableContents"/>
              <w:bidi w:val="0"/>
              <w:spacing w:before="0" w:after="283"/>
              <w:jc w:val="right"/>
              <w:rPr/>
            </w:pPr>
            <w:r>
              <w:rPr/>
              <w:t> </w:t>
            </w:r>
            <w:r>
              <w:rPr>
                <w:sz w:val="16"/>
              </w:rPr>
              <w:t>1,984</w:t>
            </w:r>
          </w:p>
        </w:tc>
        <w:tc>
          <w:tcPr>
            <w:tcW w:w="725" w:type="dxa"/>
            <w:tcBorders>
              <w:right w:val="single" w:sz="8" w:space="0" w:color="000000"/>
            </w:tcBorders>
            <w:tcMar>
              <w:top w:w="0" w:type="dxa"/>
              <w:left w:w="0" w:type="dxa"/>
              <w:bottom w:w="0" w:type="dxa"/>
              <w:right w:w="28" w:type="dxa"/>
            </w:tcMar>
            <w:vAlign w:val="center"/>
          </w:tcPr>
          <w:p>
            <w:pPr>
              <w:pStyle w:val="TableContents"/>
              <w:bidi w:val="0"/>
              <w:spacing w:before="0" w:after="283"/>
              <w:jc w:val="right"/>
              <w:rPr>
                <w:sz w:val="16"/>
              </w:rPr>
            </w:pPr>
            <w:r>
              <w:rPr>
                <w:sz w:val="16"/>
              </w:rPr>
              <w:t>40.0%</w:t>
            </w:r>
          </w:p>
        </w:tc>
      </w:tr>
      <w:tr>
        <w:trPr/>
        <w:tc>
          <w:tcPr>
            <w:tcW w:w="2735" w:type="dxa"/>
            <w:tcBorders>
              <w:left w:val="single" w:sz="8" w:space="0" w:color="000000"/>
              <w:bottom w:val="single" w:sz="8" w:space="0" w:color="000000"/>
            </w:tcBorders>
            <w:shd w:fill="FFFFFF" w:val="clear"/>
            <w:tcMar>
              <w:top w:w="0" w:type="dxa"/>
            </w:tcMar>
            <w:vAlign w:val="center"/>
          </w:tcPr>
          <w:p>
            <w:pPr>
              <w:pStyle w:val="TableContents"/>
              <w:bidi w:val="0"/>
              <w:spacing w:before="0" w:after="283"/>
              <w:jc w:val="left"/>
              <w:rPr>
                <w:sz w:val="16"/>
              </w:rPr>
            </w:pPr>
            <w:r>
              <w:rPr>
                <w:sz w:val="16"/>
              </w:rPr>
              <w:t>RAM Flow (S/ Millions) (2)</w:t>
            </w:r>
          </w:p>
        </w:tc>
        <w:tc>
          <w:tcPr>
            <w:tcW w:w="740" w:type="dxa"/>
            <w:tcBorders>
              <w:left w:val="single" w:sz="8" w:space="0" w:color="000000"/>
              <w:bottom w:val="single" w:sz="8" w:space="0" w:color="000000"/>
            </w:tcBorders>
            <w:tcMar>
              <w:top w:w="0" w:type="dxa"/>
            </w:tcMar>
            <w:vAlign w:val="center"/>
          </w:tcPr>
          <w:p>
            <w:pPr>
              <w:pStyle w:val="TableContents"/>
              <w:bidi w:val="0"/>
              <w:spacing w:before="0" w:after="283"/>
              <w:jc w:val="right"/>
              <w:rPr>
                <w:sz w:val="16"/>
              </w:rPr>
            </w:pPr>
            <w:r>
              <w:rPr>
                <w:sz w:val="16"/>
              </w:rPr>
              <w:t>1,405</w:t>
            </w:r>
          </w:p>
        </w:tc>
        <w:tc>
          <w:tcPr>
            <w:tcW w:w="740" w:type="dxa"/>
            <w:tcBorders>
              <w:bottom w:val="single" w:sz="8" w:space="0" w:color="000000"/>
            </w:tcBorders>
            <w:tcMar>
              <w:top w:w="0" w:type="dxa"/>
              <w:left w:w="0" w:type="dxa"/>
            </w:tcMar>
            <w:vAlign w:val="center"/>
          </w:tcPr>
          <w:p>
            <w:pPr>
              <w:pStyle w:val="TableContents"/>
              <w:bidi w:val="0"/>
              <w:spacing w:before="0" w:after="283"/>
              <w:jc w:val="right"/>
              <w:rPr/>
            </w:pPr>
            <w:r>
              <w:rPr/>
              <w:t> </w:t>
            </w:r>
            <w:r>
              <w:rPr>
                <w:sz w:val="16"/>
              </w:rPr>
              <w:t>4,684</w:t>
            </w:r>
          </w:p>
        </w:tc>
        <w:tc>
          <w:tcPr>
            <w:tcW w:w="72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sz w:val="16"/>
              </w:rPr>
            </w:pPr>
            <w:r>
              <w:rPr>
                <w:sz w:val="16"/>
              </w:rPr>
              <w:t>30.0%</w:t>
            </w:r>
          </w:p>
        </w:tc>
        <w:tc>
          <w:tcPr>
            <w:tcW w:w="740" w:type="dxa"/>
            <w:tcBorders>
              <w:bottom w:val="single" w:sz="8" w:space="0" w:color="000000"/>
            </w:tcBorders>
            <w:tcMar>
              <w:top w:w="0" w:type="dxa"/>
              <w:left w:w="0" w:type="dxa"/>
            </w:tcMar>
            <w:vAlign w:val="center"/>
          </w:tcPr>
          <w:p>
            <w:pPr>
              <w:pStyle w:val="TableContents"/>
              <w:bidi w:val="0"/>
              <w:spacing w:before="0" w:after="283"/>
              <w:jc w:val="right"/>
              <w:rPr/>
            </w:pPr>
            <w:r>
              <w:rPr/>
              <w:t> </w:t>
            </w:r>
            <w:r>
              <w:rPr>
                <w:sz w:val="16"/>
              </w:rPr>
              <w:t>1,463</w:t>
            </w:r>
          </w:p>
        </w:tc>
        <w:tc>
          <w:tcPr>
            <w:tcW w:w="740" w:type="dxa"/>
            <w:tcBorders>
              <w:bottom w:val="single" w:sz="8" w:space="0" w:color="000000"/>
            </w:tcBorders>
            <w:tcMar>
              <w:top w:w="0" w:type="dxa"/>
              <w:left w:w="0" w:type="dxa"/>
            </w:tcMar>
            <w:vAlign w:val="center"/>
          </w:tcPr>
          <w:p>
            <w:pPr>
              <w:pStyle w:val="TableContents"/>
              <w:bidi w:val="0"/>
              <w:spacing w:before="0" w:after="283"/>
              <w:jc w:val="right"/>
              <w:rPr/>
            </w:pPr>
            <w:r>
              <w:rPr/>
              <w:t> </w:t>
            </w:r>
            <w:r>
              <w:rPr>
                <w:sz w:val="16"/>
              </w:rPr>
              <w:t>4,818</w:t>
            </w:r>
          </w:p>
        </w:tc>
        <w:tc>
          <w:tcPr>
            <w:tcW w:w="72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right"/>
              <w:rPr>
                <w:sz w:val="16"/>
              </w:rPr>
            </w:pPr>
            <w:r>
              <w:rPr>
                <w:sz w:val="16"/>
              </w:rPr>
              <w:t>30.4%</w:t>
            </w:r>
          </w:p>
        </w:tc>
      </w:tr>
    </w:tbl>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Source: SBS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As of June 2019, another AFP has the exclusivity of affiliations.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Prima AFP estimate: Average of aggregated income for flow during the last 4 months, excluding special collections and voluntary contribution fees.</w:t>
      </w:r>
    </w:p>
    <w:p>
      <w:pPr>
        <w:pStyle w:val="TextBody"/>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Information available until Feb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73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shd w:fill="000000" w:val="clear"/>
        <w:tblLayout w:type="fixed"/>
        <w:tblCellMar>
          <w:top w:w="0" w:type="dxa"/>
          <w:left w:w="0" w:type="dxa"/>
          <w:bottom w:w="0" w:type="dxa"/>
          <w:right w:w="0" w:type="dxa"/>
        </w:tblCellMar>
      </w:tblPr>
      <w:tblGrid>
        <w:gridCol w:w="2265"/>
        <w:gridCol w:w="65"/>
        <w:gridCol w:w="2555"/>
        <w:gridCol w:w="38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drawing>
                <wp:inline distT="0" distB="0" distL="0" distR="0">
                  <wp:extent cx="1428750" cy="171450"/>
                  <wp:effectExtent l="0" t="0" r="0" b="0"/>
                  <wp:docPr id="19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40" descr=""/>
                          <pic:cNvPicPr>
                            <a:picLocks noChangeAspect="1" noChangeArrowheads="1"/>
                          </pic:cNvPicPr>
                        </pic:nvPicPr>
                        <pic:blipFill>
                          <a:blip r:embed="rId159"/>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3815" w:type="dxa"/>
            <w:tcBorders/>
            <w:shd w:fill="000000" w:val="clear"/>
            <w:vAlign w:val="center"/>
          </w:tcPr>
          <w:p>
            <w:pPr>
              <w:pStyle w:val="TableContents"/>
              <w:bidi w:val="0"/>
              <w:spacing w:before="0" w:after="283"/>
              <w:jc w:val="right"/>
              <w:rPr>
                <w:b/>
                <w:color w:val="E93CAC"/>
                <w:sz w:val="22"/>
              </w:rPr>
            </w:pPr>
            <w:r>
              <w:rPr>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3815" w:type="dxa"/>
            <w:tcBorders/>
            <w:shd w:fill="000000" w:val="clear"/>
            <w:vAlign w:val="center"/>
          </w:tcPr>
          <w:p>
            <w:pPr>
              <w:pStyle w:val="TableContents"/>
              <w:bidi w:val="0"/>
              <w:spacing w:before="0" w:after="283"/>
              <w:jc w:val="left"/>
              <w:rPr/>
            </w:pPr>
            <w:r>
              <w:rPr/>
              <w:t> </w:t>
            </w:r>
          </w:p>
        </w:tc>
      </w:tr>
    </w:tbl>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shd w:fill="E93CAC" w:val="clear"/>
            <w:vAlign w:val="center"/>
          </w:tcPr>
          <w:p>
            <w:pPr>
              <w:pStyle w:val="TableContents"/>
              <w:bidi w:val="0"/>
              <w:spacing w:before="0" w:after="283"/>
              <w:jc w:val="left"/>
              <w:rPr>
                <w:b/>
                <w:color w:val="FFFFFF"/>
                <w:sz w:val="24"/>
              </w:rPr>
            </w:pPr>
            <w:r>
              <w:rPr>
                <w:b/>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12.6.8. Grupo Pacifico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GRUPO PACIFICO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 in thousands )</w:t>
      </w:r>
    </w:p>
    <w:p>
      <w:pPr>
        <w:pStyle w:val="TextBody"/>
        <w:bidi w:val="0"/>
        <w:spacing w:before="0" w:after="0"/>
        <w:jc w:val="center"/>
        <w:rPr>
          <w:caps w:val="false"/>
          <w:smallCaps w:val="false"/>
        </w:rPr>
      </w:pPr>
      <w:r>
        <w:rPr>
          <w:caps w:val="false"/>
          <w:smallCaps w:val="false"/>
        </w:rPr>
        <w:t> </w:t>
      </w:r>
    </w:p>
    <w:tbl>
      <w:tblPr>
        <w:tblW w:w="9313" w:type="dxa"/>
        <w:jc w:val="left"/>
        <w:tblInd w:w="0" w:type="dxa"/>
        <w:tblLayout w:type="fixed"/>
        <w:tblCellMar>
          <w:top w:w="0" w:type="dxa"/>
          <w:left w:w="0" w:type="dxa"/>
          <w:bottom w:w="0" w:type="dxa"/>
          <w:right w:w="0" w:type="dxa"/>
        </w:tblCellMar>
      </w:tblPr>
      <w:tblGrid>
        <w:gridCol w:w="2516"/>
        <w:gridCol w:w="180"/>
        <w:gridCol w:w="82"/>
        <w:gridCol w:w="830"/>
        <w:gridCol w:w="830"/>
        <w:gridCol w:w="830"/>
        <w:gridCol w:w="620"/>
        <w:gridCol w:w="560"/>
        <w:gridCol w:w="860"/>
        <w:gridCol w:w="860"/>
        <w:gridCol w:w="1145"/>
      </w:tblGrid>
      <w:tr>
        <w:trPr/>
        <w:tc>
          <w:tcPr>
            <w:tcW w:w="251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490" w:type="dxa"/>
            <w:gridSpan w:val="3"/>
            <w:tcBorders>
              <w:top w:val="single" w:sz="8" w:space="0" w:color="000000"/>
              <w:left w:val="single" w:sz="8" w:space="0" w:color="000000"/>
              <w:right w:val="single" w:sz="8" w:space="0" w:color="000000"/>
            </w:tcBorders>
            <w:shd w:fill="2AD2C9" w:val="clear"/>
            <w:tcMar>
              <w:top w:w="28" w:type="dxa"/>
              <w:left w:w="28" w:type="dxa"/>
              <w:right w:w="60" w:type="dxa"/>
            </w:tcMar>
            <w:vAlign w:val="center"/>
          </w:tcPr>
          <w:p>
            <w:pPr>
              <w:pStyle w:val="TableContents"/>
              <w:bidi w:val="0"/>
              <w:spacing w:before="0" w:after="283"/>
              <w:jc w:val="center"/>
              <w:rPr>
                <w:b/>
                <w:color w:val="FFFFFF"/>
                <w:sz w:val="16"/>
              </w:rPr>
            </w:pPr>
            <w:r>
              <w:rPr>
                <w:b/>
                <w:color w:val="FFFFFF"/>
                <w:sz w:val="16"/>
              </w:rPr>
              <w:t>As of</w:t>
            </w:r>
          </w:p>
        </w:tc>
        <w:tc>
          <w:tcPr>
            <w:tcW w:w="1180" w:type="dxa"/>
            <w:gridSpan w:val="2"/>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color w:val="FFFFFF"/>
              </w:rPr>
            </w:pPr>
            <w:r>
              <w:rPr>
                <w:color w:val="FFFFFF"/>
              </w:rPr>
              <w:t> </w:t>
            </w:r>
            <w:r>
              <w:rPr>
                <w:b/>
                <w:color w:val="FFFFFF"/>
                <w:sz w:val="16"/>
              </w:rPr>
              <w:t>% change</w:t>
            </w:r>
          </w:p>
        </w:tc>
        <w:tc>
          <w:tcPr>
            <w:tcW w:w="8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25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left w:val="single" w:sz="8" w:space="0" w:color="000000"/>
              <w:bottom w:val="single" w:sz="8" w:space="0" w:color="000000"/>
            </w:tcBorders>
            <w:shd w:fill="2AD2C9" w:val="clear"/>
            <w:tcMar>
              <w:left w:w="28" w:type="dxa"/>
              <w:bottom w:w="28" w:type="dxa"/>
            </w:tcMar>
            <w:vAlign w:val="center"/>
          </w:tcPr>
          <w:p>
            <w:pPr>
              <w:pStyle w:val="TableContents"/>
              <w:bidi w:val="0"/>
              <w:spacing w:before="0" w:after="283"/>
              <w:jc w:val="center"/>
              <w:rPr>
                <w:b/>
                <w:color w:val="FFFFFF"/>
                <w:sz w:val="16"/>
              </w:rPr>
            </w:pPr>
            <w:r>
              <w:rPr>
                <w:b/>
                <w:color w:val="FFFFFF"/>
                <w:sz w:val="16"/>
              </w:rPr>
              <w:t>Jun 22</w:t>
            </w:r>
          </w:p>
        </w:tc>
        <w:tc>
          <w:tcPr>
            <w:tcW w:w="830"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Mar 23</w:t>
            </w:r>
          </w:p>
        </w:tc>
        <w:tc>
          <w:tcPr>
            <w:tcW w:w="830" w:type="dxa"/>
            <w:tcBorders>
              <w:bottom w:val="single" w:sz="8" w:space="0" w:color="000000"/>
              <w:right w:val="single" w:sz="8" w:space="0" w:color="000000"/>
            </w:tcBorders>
            <w:shd w:fill="2AD2C9" w:val="clear"/>
            <w:tcMar>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620" w:type="dxa"/>
            <w:tcBorders/>
            <w:shd w:fill="2AD2C9" w:val="clear"/>
            <w:vAlign w:val="center"/>
          </w:tcPr>
          <w:p>
            <w:pPr>
              <w:pStyle w:val="TableContents"/>
              <w:bidi w:val="0"/>
              <w:spacing w:before="0" w:after="283"/>
              <w:jc w:val="center"/>
              <w:rPr>
                <w:b/>
                <w:color w:val="FFFFFF"/>
                <w:sz w:val="16"/>
              </w:rPr>
            </w:pPr>
            <w:r>
              <w:rPr>
                <w:b/>
                <w:color w:val="FFFFFF"/>
                <w:sz w:val="16"/>
              </w:rPr>
              <w:t>QoQ</w:t>
            </w:r>
          </w:p>
        </w:tc>
        <w:tc>
          <w:tcPr>
            <w:tcW w:w="560" w:type="dxa"/>
            <w:tcBorders>
              <w:right w:val="single" w:sz="8" w:space="0" w:color="000000"/>
            </w:tcBorders>
            <w:shd w:fill="2AD2C9" w:val="clear"/>
            <w:tcMar>
              <w:right w:w="28" w:type="dxa"/>
            </w:tcMar>
            <w:vAlign w:val="center"/>
          </w:tcPr>
          <w:p>
            <w:pPr>
              <w:pStyle w:val="TableContents"/>
              <w:bidi w:val="0"/>
              <w:spacing w:before="0" w:after="283"/>
              <w:jc w:val="center"/>
              <w:rPr>
                <w:b/>
                <w:color w:val="FFFFFF"/>
                <w:sz w:val="16"/>
              </w:rPr>
            </w:pPr>
            <w:r>
              <w:rPr>
                <w:b/>
                <w:color w:val="FFFFFF"/>
                <w:sz w:val="16"/>
              </w:rPr>
              <w:t>YoY</w:t>
            </w:r>
          </w:p>
        </w:tc>
        <w:tc>
          <w:tcPr>
            <w:tcW w:w="8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2516" w:type="dxa"/>
            <w:tcBorders>
              <w:left w:val="single" w:sz="8" w:space="0" w:color="000000"/>
            </w:tcBorders>
            <w:shd w:fill="FFFFFF" w:val="clear"/>
            <w:tcMar>
              <w:left w:w="28" w:type="dxa"/>
            </w:tcMar>
            <w:vAlign w:val="center"/>
          </w:tcPr>
          <w:p>
            <w:pPr>
              <w:pStyle w:val="TableContents"/>
              <w:bidi w:val="0"/>
              <w:spacing w:before="0" w:after="283"/>
              <w:jc w:val="left"/>
              <w:rPr>
                <w:b/>
                <w:sz w:val="16"/>
              </w:rPr>
            </w:pPr>
            <w:r>
              <w:rPr>
                <w:b/>
                <w:sz w:val="16"/>
              </w:rPr>
              <w:t>Balance</w:t>
            </w:r>
          </w:p>
        </w:tc>
        <w:tc>
          <w:tcPr>
            <w:tcW w:w="180" w:type="dxa"/>
            <w:tcBorders/>
            <w:shd w:fill="FFFFFF" w:val="clear"/>
            <w:vAlign w:val="center"/>
          </w:tcPr>
          <w:p>
            <w:pPr>
              <w:pStyle w:val="TableContents"/>
              <w:bidi w:val="0"/>
              <w:spacing w:before="0" w:after="283"/>
              <w:jc w:val="left"/>
              <w:rPr/>
            </w:pPr>
            <w:r>
              <w:rPr/>
              <w:t> </w:t>
            </w:r>
          </w:p>
        </w:tc>
        <w:tc>
          <w:tcPr>
            <w:tcW w:w="82"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30" w:type="dxa"/>
            <w:tcBorders/>
            <w:shd w:fill="FFFFFF" w:val="clear"/>
            <w:vAlign w:val="center"/>
          </w:tcPr>
          <w:p>
            <w:pPr>
              <w:pStyle w:val="TableContents"/>
              <w:bidi w:val="0"/>
              <w:spacing w:before="0" w:after="283"/>
              <w:jc w:val="right"/>
              <w:rPr/>
            </w:pPr>
            <w:r>
              <w:rPr/>
              <w:t> </w:t>
            </w:r>
          </w:p>
        </w:tc>
        <w:tc>
          <w:tcPr>
            <w:tcW w:w="830" w:type="dxa"/>
            <w:tcBorders/>
            <w:shd w:fill="FFFFFF" w:val="clear"/>
            <w:vAlign w:val="center"/>
          </w:tcPr>
          <w:p>
            <w:pPr>
              <w:pStyle w:val="TableContents"/>
              <w:bidi w:val="0"/>
              <w:spacing w:before="0" w:after="283"/>
              <w:jc w:val="right"/>
              <w:rPr/>
            </w:pPr>
            <w:r>
              <w:rPr/>
              <w:t> </w:t>
            </w:r>
          </w:p>
        </w:tc>
        <w:tc>
          <w:tcPr>
            <w:tcW w:w="620" w:type="dxa"/>
            <w:tcBorders>
              <w:top w:val="single" w:sz="8" w:space="0" w:color="000000"/>
              <w:left w:val="single" w:sz="8" w:space="0" w:color="000000"/>
            </w:tcBorders>
            <w:shd w:fill="FFFFFF" w:val="clear"/>
            <w:tcMar>
              <w:top w:w="28" w:type="dxa"/>
              <w:left w:w="28" w:type="dxa"/>
            </w:tcMar>
            <w:vAlign w:val="center"/>
          </w:tcPr>
          <w:p>
            <w:pPr>
              <w:pStyle w:val="TableContents"/>
              <w:bidi w:val="0"/>
              <w:spacing w:before="0" w:after="283"/>
              <w:jc w:val="center"/>
              <w:rPr/>
            </w:pPr>
            <w:r>
              <w:rPr/>
              <w:t> </w:t>
            </w:r>
          </w:p>
        </w:tc>
        <w:tc>
          <w:tcPr>
            <w:tcW w:w="560" w:type="dxa"/>
            <w:tcBorders>
              <w:top w:val="single" w:sz="8" w:space="0" w:color="000000"/>
              <w:right w:val="single" w:sz="8" w:space="0" w:color="000000"/>
            </w:tcBorders>
            <w:shd w:fill="FFFFFF" w:val="clear"/>
            <w:tcMar>
              <w:top w:w="28" w:type="dxa"/>
              <w:right w:w="28" w:type="dxa"/>
            </w:tcMar>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2516" w:type="dxa"/>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Total assets</w:t>
            </w:r>
          </w:p>
        </w:tc>
        <w:tc>
          <w:tcPr>
            <w:tcW w:w="180" w:type="dxa"/>
            <w:tcBorders/>
            <w:shd w:fill="FFFFFF" w:val="clear"/>
            <w:vAlign w:val="center"/>
          </w:tcPr>
          <w:p>
            <w:pPr>
              <w:pStyle w:val="TableContents"/>
              <w:bidi w:val="0"/>
              <w:spacing w:before="0" w:after="283"/>
              <w:jc w:val="right"/>
              <w:rPr/>
            </w:pPr>
            <w:r>
              <w:rPr/>
              <w:t> </w:t>
            </w:r>
          </w:p>
        </w:tc>
        <w:tc>
          <w:tcPr>
            <w:tcW w:w="82" w:type="dxa"/>
            <w:tcBorders>
              <w:right w:val="single" w:sz="8" w:space="0" w:color="000000"/>
            </w:tcBorders>
            <w:shd w:fill="FFFFFF" w:val="clear"/>
            <w:tcMar>
              <w:right w:w="28" w:type="dxa"/>
            </w:tcMar>
            <w:vAlign w:val="center"/>
          </w:tcPr>
          <w:p>
            <w:pPr>
              <w:pStyle w:val="TableContents"/>
              <w:bidi w:val="0"/>
              <w:spacing w:before="0" w:after="283"/>
              <w:jc w:val="right"/>
              <w:rPr/>
            </w:pPr>
            <w:r>
              <w:rPr/>
              <w:t> </w:t>
            </w:r>
          </w:p>
        </w:tc>
        <w:tc>
          <w:tcPr>
            <w:tcW w:w="830" w:type="dxa"/>
            <w:tcBorders/>
            <w:shd w:fill="FFFFFF" w:val="clear"/>
            <w:vAlign w:val="center"/>
          </w:tcPr>
          <w:p>
            <w:pPr>
              <w:pStyle w:val="TableContents"/>
              <w:bidi w:val="0"/>
              <w:spacing w:before="0" w:after="283"/>
              <w:jc w:val="right"/>
              <w:rPr>
                <w:sz w:val="16"/>
              </w:rPr>
            </w:pPr>
            <w:r>
              <w:rPr>
                <w:sz w:val="16"/>
              </w:rPr>
              <w:t>15,190,772</w:t>
            </w:r>
          </w:p>
        </w:tc>
        <w:tc>
          <w:tcPr>
            <w:tcW w:w="830" w:type="dxa"/>
            <w:tcBorders/>
            <w:shd w:fill="FFFFFF" w:val="clear"/>
            <w:vAlign w:val="center"/>
          </w:tcPr>
          <w:p>
            <w:pPr>
              <w:pStyle w:val="TableContents"/>
              <w:bidi w:val="0"/>
              <w:spacing w:before="0" w:after="283"/>
              <w:jc w:val="right"/>
              <w:rPr>
                <w:sz w:val="16"/>
              </w:rPr>
            </w:pPr>
            <w:r>
              <w:rPr>
                <w:sz w:val="16"/>
              </w:rPr>
              <w:t>16,302,041</w:t>
            </w:r>
          </w:p>
        </w:tc>
        <w:tc>
          <w:tcPr>
            <w:tcW w:w="830" w:type="dxa"/>
            <w:tcBorders/>
            <w:shd w:fill="FFFFFF" w:val="clear"/>
            <w:vAlign w:val="center"/>
          </w:tcPr>
          <w:p>
            <w:pPr>
              <w:pStyle w:val="TableContents"/>
              <w:bidi w:val="0"/>
              <w:spacing w:before="0" w:after="283"/>
              <w:jc w:val="right"/>
              <w:rPr>
                <w:sz w:val="16"/>
              </w:rPr>
            </w:pPr>
            <w:r>
              <w:rPr>
                <w:sz w:val="16"/>
              </w:rPr>
              <w:t>16,717,523</w:t>
            </w:r>
          </w:p>
        </w:tc>
        <w:tc>
          <w:tcPr>
            <w:tcW w:w="62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2.5%</w:t>
            </w:r>
          </w:p>
        </w:tc>
        <w:tc>
          <w:tcPr>
            <w:tcW w:w="5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10.1%</w:t>
            </w:r>
          </w:p>
        </w:tc>
        <w:tc>
          <w:tcPr>
            <w:tcW w:w="8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2696" w:type="dxa"/>
            <w:gridSpan w:val="2"/>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Investment on securities (6)</w:t>
            </w:r>
          </w:p>
        </w:tc>
        <w:tc>
          <w:tcPr>
            <w:tcW w:w="82" w:type="dxa"/>
            <w:tcBorders>
              <w:right w:val="single" w:sz="8" w:space="0" w:color="000000"/>
            </w:tcBorders>
            <w:shd w:fill="FFFFFF" w:val="clear"/>
            <w:tcMar>
              <w:right w:w="28" w:type="dxa"/>
            </w:tcMar>
            <w:vAlign w:val="center"/>
          </w:tcPr>
          <w:p>
            <w:pPr>
              <w:pStyle w:val="TableContents"/>
              <w:bidi w:val="0"/>
              <w:spacing w:before="0" w:after="283"/>
              <w:jc w:val="right"/>
              <w:rPr/>
            </w:pPr>
            <w:r>
              <w:rPr/>
              <w:t> </w:t>
            </w:r>
          </w:p>
        </w:tc>
        <w:tc>
          <w:tcPr>
            <w:tcW w:w="830" w:type="dxa"/>
            <w:tcBorders/>
            <w:shd w:fill="FFFFFF" w:val="clear"/>
            <w:vAlign w:val="center"/>
          </w:tcPr>
          <w:p>
            <w:pPr>
              <w:pStyle w:val="TableContents"/>
              <w:bidi w:val="0"/>
              <w:spacing w:before="0" w:after="283"/>
              <w:jc w:val="right"/>
              <w:rPr>
                <w:sz w:val="16"/>
              </w:rPr>
            </w:pPr>
            <w:r>
              <w:rPr>
                <w:sz w:val="16"/>
              </w:rPr>
              <w:t>11,573,077</w:t>
            </w:r>
          </w:p>
        </w:tc>
        <w:tc>
          <w:tcPr>
            <w:tcW w:w="830" w:type="dxa"/>
            <w:tcBorders/>
            <w:shd w:fill="FFFFFF" w:val="clear"/>
            <w:vAlign w:val="center"/>
          </w:tcPr>
          <w:p>
            <w:pPr>
              <w:pStyle w:val="TableContents"/>
              <w:bidi w:val="0"/>
              <w:spacing w:before="0" w:after="283"/>
              <w:jc w:val="right"/>
              <w:rPr>
                <w:sz w:val="16"/>
              </w:rPr>
            </w:pPr>
            <w:r>
              <w:rPr>
                <w:sz w:val="16"/>
              </w:rPr>
              <w:t>12,599,486</w:t>
            </w:r>
          </w:p>
        </w:tc>
        <w:tc>
          <w:tcPr>
            <w:tcW w:w="830" w:type="dxa"/>
            <w:tcBorders/>
            <w:shd w:fill="FFFFFF" w:val="clear"/>
            <w:vAlign w:val="center"/>
          </w:tcPr>
          <w:p>
            <w:pPr>
              <w:pStyle w:val="TableContents"/>
              <w:bidi w:val="0"/>
              <w:spacing w:before="0" w:after="283"/>
              <w:jc w:val="right"/>
              <w:rPr>
                <w:sz w:val="16"/>
              </w:rPr>
            </w:pPr>
            <w:r>
              <w:rPr>
                <w:sz w:val="16"/>
              </w:rPr>
              <w:t>13,020,928</w:t>
            </w:r>
          </w:p>
        </w:tc>
        <w:tc>
          <w:tcPr>
            <w:tcW w:w="62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3.3%</w:t>
            </w:r>
          </w:p>
        </w:tc>
        <w:tc>
          <w:tcPr>
            <w:tcW w:w="5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12.5%</w:t>
            </w:r>
          </w:p>
        </w:tc>
        <w:tc>
          <w:tcPr>
            <w:tcW w:w="8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2696" w:type="dxa"/>
            <w:gridSpan w:val="2"/>
            <w:tcBorders>
              <w:left w:val="single" w:sz="8" w:space="0" w:color="000000"/>
            </w:tcBorders>
            <w:shd w:fill="FFFFFF" w:val="clear"/>
            <w:tcMar>
              <w:left w:w="28" w:type="dxa"/>
            </w:tcMar>
            <w:vAlign w:val="center"/>
          </w:tcPr>
          <w:p>
            <w:pPr>
              <w:pStyle w:val="TableContents"/>
              <w:bidi w:val="0"/>
              <w:spacing w:before="0" w:after="283"/>
              <w:jc w:val="left"/>
              <w:rPr>
                <w:sz w:val="16"/>
              </w:rPr>
            </w:pPr>
            <w:r>
              <w:rPr>
                <w:sz w:val="16"/>
              </w:rPr>
              <w:t>Total Liabilities</w:t>
            </w:r>
          </w:p>
        </w:tc>
        <w:tc>
          <w:tcPr>
            <w:tcW w:w="82" w:type="dxa"/>
            <w:tcBorders>
              <w:right w:val="single" w:sz="8" w:space="0" w:color="000000"/>
            </w:tcBorders>
            <w:shd w:fill="FFFFFF" w:val="clear"/>
            <w:tcMar>
              <w:right w:w="28" w:type="dxa"/>
            </w:tcMar>
            <w:vAlign w:val="center"/>
          </w:tcPr>
          <w:p>
            <w:pPr>
              <w:pStyle w:val="TableContents"/>
              <w:bidi w:val="0"/>
              <w:spacing w:before="0" w:after="283"/>
              <w:jc w:val="right"/>
              <w:rPr/>
            </w:pPr>
            <w:r>
              <w:rPr/>
              <w:t> </w:t>
            </w:r>
          </w:p>
        </w:tc>
        <w:tc>
          <w:tcPr>
            <w:tcW w:w="830" w:type="dxa"/>
            <w:tcBorders/>
            <w:shd w:fill="FFFFFF" w:val="clear"/>
            <w:vAlign w:val="center"/>
          </w:tcPr>
          <w:p>
            <w:pPr>
              <w:pStyle w:val="TableContents"/>
              <w:bidi w:val="0"/>
              <w:spacing w:before="0" w:after="283"/>
              <w:jc w:val="right"/>
              <w:rPr>
                <w:sz w:val="16"/>
              </w:rPr>
            </w:pPr>
            <w:r>
              <w:rPr>
                <w:sz w:val="16"/>
              </w:rPr>
              <w:t>13,081,833</w:t>
            </w:r>
          </w:p>
        </w:tc>
        <w:tc>
          <w:tcPr>
            <w:tcW w:w="830" w:type="dxa"/>
            <w:tcBorders/>
            <w:shd w:fill="FFFFFF" w:val="clear"/>
            <w:vAlign w:val="center"/>
          </w:tcPr>
          <w:p>
            <w:pPr>
              <w:pStyle w:val="TableContents"/>
              <w:bidi w:val="0"/>
              <w:spacing w:before="0" w:after="283"/>
              <w:jc w:val="right"/>
              <w:rPr>
                <w:sz w:val="16"/>
              </w:rPr>
            </w:pPr>
            <w:r>
              <w:rPr>
                <w:sz w:val="16"/>
              </w:rPr>
              <w:t>13,857,430</w:t>
            </w:r>
          </w:p>
        </w:tc>
        <w:tc>
          <w:tcPr>
            <w:tcW w:w="830" w:type="dxa"/>
            <w:tcBorders/>
            <w:shd w:fill="FFFFFF" w:val="clear"/>
            <w:vAlign w:val="center"/>
          </w:tcPr>
          <w:p>
            <w:pPr>
              <w:pStyle w:val="TableContents"/>
              <w:bidi w:val="0"/>
              <w:spacing w:before="0" w:after="283"/>
              <w:jc w:val="right"/>
              <w:rPr>
                <w:sz w:val="16"/>
              </w:rPr>
            </w:pPr>
            <w:r>
              <w:rPr>
                <w:sz w:val="16"/>
              </w:rPr>
              <w:t>14,008,394</w:t>
            </w:r>
          </w:p>
        </w:tc>
        <w:tc>
          <w:tcPr>
            <w:tcW w:w="620" w:type="dxa"/>
            <w:tcBorders>
              <w:left w:val="single" w:sz="8" w:space="0" w:color="000000"/>
            </w:tcBorders>
            <w:shd w:fill="FFFFFF" w:val="clear"/>
            <w:tcMar>
              <w:left w:w="28" w:type="dxa"/>
            </w:tcMar>
            <w:vAlign w:val="center"/>
          </w:tcPr>
          <w:p>
            <w:pPr>
              <w:pStyle w:val="TableContents"/>
              <w:bidi w:val="0"/>
              <w:spacing w:before="0" w:after="283"/>
              <w:jc w:val="center"/>
              <w:rPr>
                <w:sz w:val="16"/>
              </w:rPr>
            </w:pPr>
            <w:r>
              <w:rPr>
                <w:sz w:val="16"/>
              </w:rPr>
              <w:t>1.1%</w:t>
            </w:r>
          </w:p>
        </w:tc>
        <w:tc>
          <w:tcPr>
            <w:tcW w:w="560"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7.1%</w:t>
            </w:r>
          </w:p>
        </w:tc>
        <w:tc>
          <w:tcPr>
            <w:tcW w:w="8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2516"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sz w:val="16"/>
              </w:rPr>
            </w:pPr>
            <w:r>
              <w:rPr>
                <w:sz w:val="16"/>
              </w:rPr>
              <w:t>Net equity</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2,108,939</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2,444,611</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2,709,129</w:t>
            </w:r>
          </w:p>
        </w:tc>
        <w:tc>
          <w:tcPr>
            <w:tcW w:w="62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center"/>
              <w:rPr>
                <w:sz w:val="16"/>
              </w:rPr>
            </w:pPr>
            <w:r>
              <w:rPr>
                <w:sz w:val="16"/>
              </w:rPr>
              <w:t>10.8%</w:t>
            </w:r>
          </w:p>
        </w:tc>
        <w:tc>
          <w:tcPr>
            <w:tcW w:w="560"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sz w:val="16"/>
              </w:rPr>
            </w:pPr>
            <w:r>
              <w:rPr>
                <w:sz w:val="16"/>
              </w:rPr>
              <w:t>28.5%</w:t>
            </w:r>
          </w:p>
        </w:tc>
        <w:tc>
          <w:tcPr>
            <w:tcW w:w="8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251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251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2490" w:type="dxa"/>
            <w:gridSpan w:val="3"/>
            <w:tcBorders>
              <w:top w:val="single" w:sz="8" w:space="0" w:color="000000"/>
              <w:left w:val="single" w:sz="8" w:space="0" w:color="000000"/>
              <w:right w:val="single" w:sz="8" w:space="0" w:color="000000"/>
            </w:tcBorders>
            <w:shd w:fill="2AD2C9" w:val="clear"/>
            <w:tcMar>
              <w:top w:w="28" w:type="dxa"/>
              <w:left w:w="28" w:type="dxa"/>
              <w:right w:w="60" w:type="dxa"/>
            </w:tcMar>
            <w:vAlign w:val="center"/>
          </w:tcPr>
          <w:p>
            <w:pPr>
              <w:pStyle w:val="TableContents"/>
              <w:bidi w:val="0"/>
              <w:spacing w:before="0" w:after="283"/>
              <w:jc w:val="center"/>
              <w:rPr>
                <w:b/>
                <w:color w:val="FFFFFF"/>
                <w:sz w:val="16"/>
              </w:rPr>
            </w:pPr>
            <w:r>
              <w:rPr>
                <w:b/>
                <w:color w:val="FFFFFF"/>
                <w:sz w:val="16"/>
              </w:rPr>
              <w:t>Quarter</w:t>
            </w:r>
          </w:p>
        </w:tc>
        <w:tc>
          <w:tcPr>
            <w:tcW w:w="1180" w:type="dxa"/>
            <w:gridSpan w:val="2"/>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 change</w:t>
            </w:r>
          </w:p>
        </w:tc>
        <w:tc>
          <w:tcPr>
            <w:tcW w:w="1720" w:type="dxa"/>
            <w:gridSpan w:val="2"/>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As of </w:t>
            </w:r>
          </w:p>
        </w:tc>
        <w:tc>
          <w:tcPr>
            <w:tcW w:w="1145" w:type="dxa"/>
            <w:tcBorders>
              <w:top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b/>
                <w:color w:val="FFFFFF"/>
                <w:sz w:val="16"/>
              </w:rPr>
            </w:pPr>
            <w:r>
              <w:rPr>
                <w:b/>
                <w:color w:val="FFFFFF"/>
                <w:sz w:val="16"/>
              </w:rPr>
              <w:t>% change</w:t>
            </w:r>
          </w:p>
        </w:tc>
      </w:tr>
      <w:tr>
        <w:trPr/>
        <w:tc>
          <w:tcPr>
            <w:tcW w:w="2516" w:type="dxa"/>
            <w:tcBorders>
              <w:bottom w:val="single" w:sz="8" w:space="0" w:color="000000"/>
            </w:tcBorders>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left w:val="single" w:sz="8" w:space="0" w:color="000000"/>
              <w:bottom w:val="single" w:sz="8" w:space="0" w:color="000000"/>
            </w:tcBorders>
            <w:shd w:fill="2AD2C9" w:val="clear"/>
            <w:tcMar>
              <w:left w:w="28" w:type="dxa"/>
              <w:bottom w:w="28" w:type="dxa"/>
            </w:tcMar>
            <w:vAlign w:val="center"/>
          </w:tcPr>
          <w:p>
            <w:pPr>
              <w:pStyle w:val="TableContents"/>
              <w:bidi w:val="0"/>
              <w:spacing w:before="0" w:after="283"/>
              <w:jc w:val="center"/>
              <w:rPr>
                <w:b/>
                <w:color w:val="FFFFFF"/>
                <w:sz w:val="16"/>
              </w:rPr>
            </w:pPr>
            <w:r>
              <w:rPr>
                <w:b/>
                <w:color w:val="FFFFFF"/>
                <w:sz w:val="16"/>
              </w:rPr>
              <w:t>2Q22</w:t>
            </w:r>
          </w:p>
        </w:tc>
        <w:tc>
          <w:tcPr>
            <w:tcW w:w="830"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1Q23</w:t>
            </w:r>
          </w:p>
        </w:tc>
        <w:tc>
          <w:tcPr>
            <w:tcW w:w="830" w:type="dxa"/>
            <w:tcBorders>
              <w:bottom w:val="single" w:sz="8" w:space="0" w:color="000000"/>
              <w:right w:val="single" w:sz="8" w:space="0" w:color="000000"/>
            </w:tcBorders>
            <w:shd w:fill="2AD2C9" w:val="clear"/>
            <w:tcMar>
              <w:bottom w:w="28" w:type="dxa"/>
              <w:right w:w="60" w:type="dxa"/>
            </w:tcMar>
            <w:vAlign w:val="center"/>
          </w:tcPr>
          <w:p>
            <w:pPr>
              <w:pStyle w:val="TableContents"/>
              <w:bidi w:val="0"/>
              <w:spacing w:before="0" w:after="283"/>
              <w:jc w:val="center"/>
              <w:rPr>
                <w:b/>
                <w:color w:val="FFFFFF"/>
                <w:sz w:val="16"/>
              </w:rPr>
            </w:pPr>
            <w:r>
              <w:rPr>
                <w:b/>
                <w:color w:val="FFFFFF"/>
                <w:sz w:val="16"/>
              </w:rPr>
              <w:t>2Q23</w:t>
            </w:r>
          </w:p>
        </w:tc>
        <w:tc>
          <w:tcPr>
            <w:tcW w:w="620"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QoQ</w:t>
            </w:r>
          </w:p>
        </w:tc>
        <w:tc>
          <w:tcPr>
            <w:tcW w:w="560"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YoY</w:t>
            </w:r>
          </w:p>
        </w:tc>
        <w:tc>
          <w:tcPr>
            <w:tcW w:w="860" w:type="dxa"/>
            <w:tcBorders>
              <w:bottom w:val="single" w:sz="8" w:space="0" w:color="000000"/>
            </w:tcBorders>
            <w:shd w:fill="2AD2C9" w:val="clear"/>
            <w:tcMar>
              <w:bottom w:w="28" w:type="dxa"/>
            </w:tcMar>
            <w:vAlign w:val="center"/>
          </w:tcPr>
          <w:p>
            <w:pPr>
              <w:pStyle w:val="TableContents"/>
              <w:bidi w:val="0"/>
              <w:spacing w:before="0" w:after="283"/>
              <w:jc w:val="center"/>
              <w:rPr>
                <w:b/>
                <w:color w:val="FFFFFF"/>
                <w:sz w:val="16"/>
              </w:rPr>
            </w:pPr>
            <w:r>
              <w:rPr>
                <w:b/>
                <w:color w:val="FFFFFF"/>
                <w:sz w:val="16"/>
              </w:rPr>
              <w:t>Jun 22</w:t>
            </w:r>
          </w:p>
        </w:tc>
        <w:tc>
          <w:tcPr>
            <w:tcW w:w="860" w:type="dxa"/>
            <w:tcBorders>
              <w:bottom w:val="single" w:sz="8" w:space="0" w:color="000000"/>
              <w:right w:val="single" w:sz="8" w:space="0" w:color="000000"/>
            </w:tcBorders>
            <w:shd w:fill="2AD2C9" w:val="clear"/>
            <w:tcMar>
              <w:bottom w:w="28" w:type="dxa"/>
              <w:right w:w="60" w:type="dxa"/>
            </w:tcMar>
            <w:vAlign w:val="center"/>
          </w:tcPr>
          <w:p>
            <w:pPr>
              <w:pStyle w:val="TableContents"/>
              <w:bidi w:val="0"/>
              <w:spacing w:before="0" w:after="283"/>
              <w:jc w:val="center"/>
              <w:rPr>
                <w:b/>
                <w:color w:val="FFFFFF"/>
                <w:sz w:val="16"/>
              </w:rPr>
            </w:pPr>
            <w:r>
              <w:rPr>
                <w:b/>
                <w:color w:val="FFFFFF"/>
                <w:sz w:val="16"/>
              </w:rPr>
              <w:t>Jun 23</w:t>
            </w:r>
          </w:p>
        </w:tc>
        <w:tc>
          <w:tcPr>
            <w:tcW w:w="1145" w:type="dxa"/>
            <w:tcBorders>
              <w:bottom w:val="single" w:sz="8" w:space="0" w:color="000000"/>
              <w:right w:val="single" w:sz="8" w:space="0" w:color="000000"/>
            </w:tcBorders>
            <w:shd w:fill="2AD2C9" w:val="clear"/>
            <w:tcMar>
              <w:bottom w:w="28" w:type="dxa"/>
              <w:right w:w="28" w:type="dxa"/>
            </w:tcMar>
            <w:vAlign w:val="center"/>
          </w:tcPr>
          <w:p>
            <w:pPr>
              <w:pStyle w:val="TableContents"/>
              <w:bidi w:val="0"/>
              <w:spacing w:before="0" w:after="283"/>
              <w:jc w:val="center"/>
              <w:rPr>
                <w:b/>
                <w:color w:val="FFFFFF"/>
                <w:sz w:val="16"/>
              </w:rPr>
            </w:pPr>
            <w:r>
              <w:rPr>
                <w:b/>
                <w:color w:val="FFFFFF"/>
                <w:sz w:val="16"/>
              </w:rPr>
              <w:t>Jun 23 / Jun 22</w:t>
            </w:r>
          </w:p>
        </w:tc>
      </w:tr>
      <w:tr>
        <w:trPr/>
        <w:tc>
          <w:tcPr>
            <w:tcW w:w="2696" w:type="dxa"/>
            <w:gridSpan w:val="2"/>
            <w:tcBorders>
              <w:left w:val="single" w:sz="8" w:space="0" w:color="000000"/>
            </w:tcBorders>
            <w:tcMar>
              <w:left w:w="28" w:type="dxa"/>
            </w:tcMar>
            <w:vAlign w:val="center"/>
          </w:tcPr>
          <w:p>
            <w:pPr>
              <w:pStyle w:val="TableContents"/>
              <w:bidi w:val="0"/>
              <w:spacing w:before="0" w:after="283"/>
              <w:jc w:val="left"/>
              <w:rPr>
                <w:sz w:val="16"/>
              </w:rPr>
            </w:pPr>
            <w:r>
              <w:rPr>
                <w:sz w:val="16"/>
              </w:rPr>
              <w:t>Insurance revenue</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sz w:val="16"/>
              </w:rPr>
            </w:pPr>
            <w:r>
              <w:rPr>
                <w:sz w:val="16"/>
              </w:rPr>
              <w:t>737,595</w:t>
            </w:r>
          </w:p>
        </w:tc>
        <w:tc>
          <w:tcPr>
            <w:tcW w:w="830" w:type="dxa"/>
            <w:tcBorders/>
            <w:vAlign w:val="center"/>
          </w:tcPr>
          <w:p>
            <w:pPr>
              <w:pStyle w:val="TableContents"/>
              <w:bidi w:val="0"/>
              <w:spacing w:before="0" w:after="283"/>
              <w:jc w:val="right"/>
              <w:rPr>
                <w:sz w:val="16"/>
              </w:rPr>
            </w:pPr>
            <w:r>
              <w:rPr>
                <w:sz w:val="16"/>
              </w:rPr>
              <w:t>845,402</w:t>
            </w:r>
          </w:p>
        </w:tc>
        <w:tc>
          <w:tcPr>
            <w:tcW w:w="830" w:type="dxa"/>
            <w:tcBorders>
              <w:right w:val="single" w:sz="8" w:space="0" w:color="000000"/>
            </w:tcBorders>
            <w:tcMar>
              <w:right w:w="60" w:type="dxa"/>
            </w:tcMar>
            <w:vAlign w:val="center"/>
          </w:tcPr>
          <w:p>
            <w:pPr>
              <w:pStyle w:val="TableContents"/>
              <w:bidi w:val="0"/>
              <w:spacing w:before="0" w:after="283"/>
              <w:jc w:val="right"/>
              <w:rPr>
                <w:sz w:val="16"/>
              </w:rPr>
            </w:pPr>
            <w:r>
              <w:rPr>
                <w:sz w:val="16"/>
              </w:rPr>
              <w:t>830,385</w:t>
            </w:r>
          </w:p>
        </w:tc>
        <w:tc>
          <w:tcPr>
            <w:tcW w:w="620" w:type="dxa"/>
            <w:tcBorders/>
            <w:shd w:fill="FFFFFF" w:val="clear"/>
            <w:vAlign w:val="center"/>
          </w:tcPr>
          <w:p>
            <w:pPr>
              <w:pStyle w:val="TableContents"/>
              <w:bidi w:val="0"/>
              <w:spacing w:before="0" w:after="283"/>
              <w:jc w:val="center"/>
              <w:rPr>
                <w:sz w:val="16"/>
              </w:rPr>
            </w:pPr>
            <w:r>
              <w:rPr>
                <w:sz w:val="16"/>
              </w:rPr>
              <w:t>-1.8%</w:t>
            </w:r>
          </w:p>
        </w:tc>
        <w:tc>
          <w:tcPr>
            <w:tcW w:w="560" w:type="dxa"/>
            <w:tcBorders/>
            <w:shd w:fill="FFFFFF" w:val="clear"/>
            <w:vAlign w:val="center"/>
          </w:tcPr>
          <w:p>
            <w:pPr>
              <w:pStyle w:val="TableContents"/>
              <w:bidi w:val="0"/>
              <w:spacing w:before="0" w:after="283"/>
              <w:jc w:val="center"/>
              <w:rPr>
                <w:sz w:val="16"/>
              </w:rPr>
            </w:pPr>
            <w:r>
              <w:rPr>
                <w:sz w:val="16"/>
              </w:rPr>
              <w:t>12.6%</w:t>
            </w:r>
          </w:p>
        </w:tc>
        <w:tc>
          <w:tcPr>
            <w:tcW w:w="860"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1,479,355</w:t>
            </w:r>
          </w:p>
        </w:tc>
        <w:tc>
          <w:tcPr>
            <w:tcW w:w="860"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1,675,786</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13.3%</w:t>
            </w:r>
          </w:p>
        </w:tc>
      </w:tr>
      <w:tr>
        <w:trPr/>
        <w:tc>
          <w:tcPr>
            <w:tcW w:w="2696" w:type="dxa"/>
            <w:gridSpan w:val="2"/>
            <w:tcBorders>
              <w:left w:val="single" w:sz="8" w:space="0" w:color="000000"/>
            </w:tcBorders>
            <w:tcMar>
              <w:left w:w="28" w:type="dxa"/>
            </w:tcMar>
            <w:vAlign w:val="center"/>
          </w:tcPr>
          <w:p>
            <w:pPr>
              <w:pStyle w:val="TableContents"/>
              <w:bidi w:val="0"/>
              <w:spacing w:before="0" w:after="283"/>
              <w:jc w:val="left"/>
              <w:rPr>
                <w:sz w:val="16"/>
              </w:rPr>
            </w:pPr>
            <w:r>
              <w:rPr>
                <w:sz w:val="16"/>
              </w:rPr>
              <w:t>Insurance service expenses</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sz w:val="16"/>
              </w:rPr>
            </w:pPr>
            <w:r>
              <w:rPr>
                <w:sz w:val="16"/>
              </w:rPr>
              <w:t>-521,160</w:t>
            </w:r>
          </w:p>
        </w:tc>
        <w:tc>
          <w:tcPr>
            <w:tcW w:w="830" w:type="dxa"/>
            <w:tcBorders/>
            <w:vAlign w:val="center"/>
          </w:tcPr>
          <w:p>
            <w:pPr>
              <w:pStyle w:val="TableContents"/>
              <w:bidi w:val="0"/>
              <w:spacing w:before="0" w:after="283"/>
              <w:jc w:val="right"/>
              <w:rPr>
                <w:sz w:val="16"/>
              </w:rPr>
            </w:pPr>
            <w:r>
              <w:rPr>
                <w:sz w:val="16"/>
              </w:rPr>
              <w:t>-549,012</w:t>
            </w:r>
          </w:p>
        </w:tc>
        <w:tc>
          <w:tcPr>
            <w:tcW w:w="830" w:type="dxa"/>
            <w:tcBorders>
              <w:right w:val="single" w:sz="8" w:space="0" w:color="000000"/>
            </w:tcBorders>
            <w:tcMar>
              <w:right w:w="60" w:type="dxa"/>
            </w:tcMar>
            <w:vAlign w:val="center"/>
          </w:tcPr>
          <w:p>
            <w:pPr>
              <w:pStyle w:val="TableContents"/>
              <w:bidi w:val="0"/>
              <w:spacing w:before="0" w:after="283"/>
              <w:jc w:val="right"/>
              <w:rPr>
                <w:sz w:val="16"/>
              </w:rPr>
            </w:pPr>
            <w:r>
              <w:rPr>
                <w:sz w:val="16"/>
              </w:rPr>
              <w:t>-555,184</w:t>
            </w:r>
          </w:p>
        </w:tc>
        <w:tc>
          <w:tcPr>
            <w:tcW w:w="620" w:type="dxa"/>
            <w:tcBorders/>
            <w:shd w:fill="FFFFFF" w:val="clear"/>
            <w:vAlign w:val="center"/>
          </w:tcPr>
          <w:p>
            <w:pPr>
              <w:pStyle w:val="TableContents"/>
              <w:bidi w:val="0"/>
              <w:spacing w:before="0" w:after="283"/>
              <w:jc w:val="center"/>
              <w:rPr>
                <w:sz w:val="16"/>
              </w:rPr>
            </w:pPr>
            <w:r>
              <w:rPr>
                <w:sz w:val="16"/>
              </w:rPr>
              <w:t>1.1%</w:t>
            </w:r>
          </w:p>
        </w:tc>
        <w:tc>
          <w:tcPr>
            <w:tcW w:w="560" w:type="dxa"/>
            <w:tcBorders/>
            <w:shd w:fill="FFFFFF" w:val="clear"/>
            <w:vAlign w:val="center"/>
          </w:tcPr>
          <w:p>
            <w:pPr>
              <w:pStyle w:val="TableContents"/>
              <w:bidi w:val="0"/>
              <w:spacing w:before="0" w:after="283"/>
              <w:jc w:val="center"/>
              <w:rPr>
                <w:sz w:val="16"/>
              </w:rPr>
            </w:pPr>
            <w:r>
              <w:rPr>
                <w:sz w:val="16"/>
              </w:rPr>
              <w:t>6.5%</w:t>
            </w:r>
          </w:p>
        </w:tc>
        <w:tc>
          <w:tcPr>
            <w:tcW w:w="860" w:type="dxa"/>
            <w:tcBorders>
              <w:left w:val="single" w:sz="8" w:space="0" w:color="000000"/>
            </w:tcBorders>
            <w:tcMar>
              <w:left w:w="28" w:type="dxa"/>
            </w:tcMar>
            <w:vAlign w:val="center"/>
          </w:tcPr>
          <w:p>
            <w:pPr>
              <w:pStyle w:val="TableContents"/>
              <w:bidi w:val="0"/>
              <w:spacing w:before="0" w:after="283"/>
              <w:jc w:val="right"/>
              <w:rPr/>
            </w:pPr>
            <w:r>
              <w:rPr/>
              <w:t> </w:t>
            </w:r>
            <w:r>
              <w:rPr>
                <w:sz w:val="16"/>
              </w:rPr>
              <w:t>-1,053,826</w:t>
            </w:r>
          </w:p>
        </w:tc>
        <w:tc>
          <w:tcPr>
            <w:tcW w:w="860" w:type="dxa"/>
            <w:tcBorders>
              <w:right w:val="single" w:sz="8" w:space="0" w:color="000000"/>
            </w:tcBorders>
            <w:tcMar>
              <w:right w:w="60" w:type="dxa"/>
            </w:tcMar>
            <w:vAlign w:val="center"/>
          </w:tcPr>
          <w:p>
            <w:pPr>
              <w:pStyle w:val="TableContents"/>
              <w:bidi w:val="0"/>
              <w:spacing w:before="0" w:after="283"/>
              <w:jc w:val="right"/>
              <w:rPr/>
            </w:pPr>
            <w:r>
              <w:rPr/>
              <w:t> </w:t>
            </w:r>
            <w:r>
              <w:rPr>
                <w:sz w:val="16"/>
              </w:rPr>
              <w:t>-1,104,196</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4.8%</w:t>
            </w:r>
          </w:p>
        </w:tc>
      </w:tr>
      <w:tr>
        <w:trPr/>
        <w:tc>
          <w:tcPr>
            <w:tcW w:w="2696" w:type="dxa"/>
            <w:gridSpan w:val="2"/>
            <w:tcBorders>
              <w:left w:val="single" w:sz="8" w:space="0" w:color="000000"/>
            </w:tcBorders>
            <w:tcMar>
              <w:left w:w="28" w:type="dxa"/>
            </w:tcMar>
            <w:vAlign w:val="center"/>
          </w:tcPr>
          <w:p>
            <w:pPr>
              <w:pStyle w:val="TableContents"/>
              <w:bidi w:val="0"/>
              <w:spacing w:before="0" w:after="283"/>
              <w:jc w:val="left"/>
              <w:rPr>
                <w:b/>
                <w:sz w:val="16"/>
              </w:rPr>
            </w:pPr>
            <w:r>
              <w:rPr>
                <w:b/>
                <w:sz w:val="16"/>
              </w:rPr>
              <w:t>Insurance Service Result</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sz w:val="16"/>
              </w:rPr>
            </w:pPr>
            <w:r>
              <w:rPr>
                <w:sz w:val="16"/>
              </w:rPr>
              <w:t>216,436</w:t>
            </w:r>
          </w:p>
        </w:tc>
        <w:tc>
          <w:tcPr>
            <w:tcW w:w="830" w:type="dxa"/>
            <w:tcBorders/>
            <w:vAlign w:val="center"/>
          </w:tcPr>
          <w:p>
            <w:pPr>
              <w:pStyle w:val="TableContents"/>
              <w:bidi w:val="0"/>
              <w:spacing w:before="0" w:after="283"/>
              <w:jc w:val="right"/>
              <w:rPr>
                <w:sz w:val="16"/>
              </w:rPr>
            </w:pPr>
            <w:r>
              <w:rPr>
                <w:sz w:val="16"/>
              </w:rPr>
              <w:t>296,390</w:t>
            </w:r>
          </w:p>
        </w:tc>
        <w:tc>
          <w:tcPr>
            <w:tcW w:w="830" w:type="dxa"/>
            <w:tcBorders>
              <w:right w:val="single" w:sz="8" w:space="0" w:color="000000"/>
            </w:tcBorders>
            <w:tcMar>
              <w:right w:w="60" w:type="dxa"/>
            </w:tcMar>
            <w:vAlign w:val="center"/>
          </w:tcPr>
          <w:p>
            <w:pPr>
              <w:pStyle w:val="TableContents"/>
              <w:bidi w:val="0"/>
              <w:spacing w:before="0" w:after="283"/>
              <w:jc w:val="right"/>
              <w:rPr>
                <w:sz w:val="16"/>
              </w:rPr>
            </w:pPr>
            <w:r>
              <w:rPr>
                <w:sz w:val="16"/>
              </w:rPr>
              <w:t>275,201</w:t>
            </w:r>
          </w:p>
        </w:tc>
        <w:tc>
          <w:tcPr>
            <w:tcW w:w="620" w:type="dxa"/>
            <w:tcBorders/>
            <w:shd w:fill="FFFFFF" w:val="clear"/>
            <w:vAlign w:val="center"/>
          </w:tcPr>
          <w:p>
            <w:pPr>
              <w:pStyle w:val="TableContents"/>
              <w:bidi w:val="0"/>
              <w:spacing w:before="0" w:after="283"/>
              <w:jc w:val="center"/>
              <w:rPr>
                <w:sz w:val="16"/>
              </w:rPr>
            </w:pPr>
            <w:r>
              <w:rPr>
                <w:sz w:val="16"/>
              </w:rPr>
              <w:t>-7.1%</w:t>
            </w:r>
          </w:p>
        </w:tc>
        <w:tc>
          <w:tcPr>
            <w:tcW w:w="560" w:type="dxa"/>
            <w:tcBorders/>
            <w:shd w:fill="FFFFFF" w:val="clear"/>
            <w:vAlign w:val="center"/>
          </w:tcPr>
          <w:p>
            <w:pPr>
              <w:pStyle w:val="TableContents"/>
              <w:bidi w:val="0"/>
              <w:spacing w:before="0" w:after="283"/>
              <w:jc w:val="center"/>
              <w:rPr>
                <w:sz w:val="16"/>
              </w:rPr>
            </w:pPr>
            <w:r>
              <w:rPr>
                <w:sz w:val="16"/>
              </w:rPr>
              <w:t>27.2%</w:t>
            </w:r>
          </w:p>
        </w:tc>
        <w:tc>
          <w:tcPr>
            <w:tcW w:w="860" w:type="dxa"/>
            <w:tcBorders>
              <w:left w:val="single" w:sz="8" w:space="0" w:color="000000"/>
            </w:tcBorders>
            <w:tcMar>
              <w:left w:w="28" w:type="dxa"/>
            </w:tcMar>
            <w:vAlign w:val="center"/>
          </w:tcPr>
          <w:p>
            <w:pPr>
              <w:pStyle w:val="TableContents"/>
              <w:bidi w:val="0"/>
              <w:spacing w:before="0" w:after="283"/>
              <w:jc w:val="right"/>
              <w:rPr/>
            </w:pPr>
            <w:r>
              <w:rPr/>
              <w:t> </w:t>
            </w:r>
            <w:r>
              <w:rPr>
                <w:sz w:val="16"/>
              </w:rPr>
              <w:t>425,528</w:t>
            </w:r>
          </w:p>
        </w:tc>
        <w:tc>
          <w:tcPr>
            <w:tcW w:w="860" w:type="dxa"/>
            <w:tcBorders>
              <w:right w:val="single" w:sz="8" w:space="0" w:color="000000"/>
            </w:tcBorders>
            <w:tcMar>
              <w:right w:w="60" w:type="dxa"/>
            </w:tcMar>
            <w:vAlign w:val="center"/>
          </w:tcPr>
          <w:p>
            <w:pPr>
              <w:pStyle w:val="TableContents"/>
              <w:bidi w:val="0"/>
              <w:spacing w:before="0" w:after="283"/>
              <w:jc w:val="right"/>
              <w:rPr/>
            </w:pPr>
            <w:r>
              <w:rPr/>
              <w:t> </w:t>
            </w:r>
            <w:r>
              <w:rPr>
                <w:sz w:val="16"/>
              </w:rPr>
              <w:t>571,591</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34.3%</w:t>
            </w:r>
          </w:p>
        </w:tc>
      </w:tr>
      <w:tr>
        <w:trPr/>
        <w:tc>
          <w:tcPr>
            <w:tcW w:w="2696" w:type="dxa"/>
            <w:gridSpan w:val="2"/>
            <w:tcBorders>
              <w:left w:val="single" w:sz="8" w:space="0" w:color="000000"/>
            </w:tcBorders>
            <w:tcMar>
              <w:left w:w="28" w:type="dxa"/>
            </w:tcMar>
            <w:vAlign w:val="center"/>
          </w:tcPr>
          <w:p>
            <w:pPr>
              <w:pStyle w:val="TableContents"/>
              <w:bidi w:val="0"/>
              <w:spacing w:before="0" w:after="283"/>
              <w:jc w:val="left"/>
              <w:rPr>
                <w:sz w:val="16"/>
              </w:rPr>
            </w:pPr>
            <w:r>
              <w:rPr>
                <w:sz w:val="16"/>
              </w:rPr>
              <w:t>Reinsurance Result</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sz w:val="16"/>
              </w:rPr>
            </w:pPr>
            <w:r>
              <w:rPr>
                <w:sz w:val="16"/>
              </w:rPr>
              <w:t>-126,093</w:t>
            </w:r>
          </w:p>
        </w:tc>
        <w:tc>
          <w:tcPr>
            <w:tcW w:w="830" w:type="dxa"/>
            <w:tcBorders/>
            <w:vAlign w:val="center"/>
          </w:tcPr>
          <w:p>
            <w:pPr>
              <w:pStyle w:val="TableContents"/>
              <w:bidi w:val="0"/>
              <w:spacing w:before="0" w:after="283"/>
              <w:jc w:val="right"/>
              <w:rPr>
                <w:sz w:val="16"/>
              </w:rPr>
            </w:pPr>
            <w:r>
              <w:rPr>
                <w:sz w:val="16"/>
              </w:rPr>
              <w:t>-114,009</w:t>
            </w:r>
          </w:p>
        </w:tc>
        <w:tc>
          <w:tcPr>
            <w:tcW w:w="830" w:type="dxa"/>
            <w:tcBorders>
              <w:right w:val="single" w:sz="8" w:space="0" w:color="000000"/>
            </w:tcBorders>
            <w:tcMar>
              <w:right w:w="60" w:type="dxa"/>
            </w:tcMar>
            <w:vAlign w:val="center"/>
          </w:tcPr>
          <w:p>
            <w:pPr>
              <w:pStyle w:val="TableContents"/>
              <w:bidi w:val="0"/>
              <w:spacing w:before="0" w:after="283"/>
              <w:jc w:val="right"/>
              <w:rPr>
                <w:sz w:val="16"/>
              </w:rPr>
            </w:pPr>
            <w:r>
              <w:rPr>
                <w:sz w:val="16"/>
              </w:rPr>
              <w:t>-96,697</w:t>
            </w:r>
          </w:p>
        </w:tc>
        <w:tc>
          <w:tcPr>
            <w:tcW w:w="620" w:type="dxa"/>
            <w:tcBorders/>
            <w:shd w:fill="FFFFFF" w:val="clear"/>
            <w:vAlign w:val="center"/>
          </w:tcPr>
          <w:p>
            <w:pPr>
              <w:pStyle w:val="TableContents"/>
              <w:bidi w:val="0"/>
              <w:spacing w:before="0" w:after="283"/>
              <w:jc w:val="center"/>
              <w:rPr>
                <w:sz w:val="16"/>
              </w:rPr>
            </w:pPr>
            <w:r>
              <w:rPr>
                <w:sz w:val="16"/>
              </w:rPr>
              <w:t>-15.2%</w:t>
            </w:r>
          </w:p>
        </w:tc>
        <w:tc>
          <w:tcPr>
            <w:tcW w:w="560" w:type="dxa"/>
            <w:tcBorders/>
            <w:shd w:fill="FFFFFF" w:val="clear"/>
            <w:vAlign w:val="center"/>
          </w:tcPr>
          <w:p>
            <w:pPr>
              <w:pStyle w:val="TableContents"/>
              <w:bidi w:val="0"/>
              <w:spacing w:before="0" w:after="283"/>
              <w:jc w:val="center"/>
              <w:rPr>
                <w:sz w:val="16"/>
              </w:rPr>
            </w:pPr>
            <w:r>
              <w:rPr>
                <w:sz w:val="16"/>
              </w:rPr>
              <w:t>-23.3%</w:t>
            </w:r>
          </w:p>
        </w:tc>
        <w:tc>
          <w:tcPr>
            <w:tcW w:w="860" w:type="dxa"/>
            <w:tcBorders>
              <w:left w:val="single" w:sz="8" w:space="0" w:color="000000"/>
            </w:tcBorders>
            <w:tcMar>
              <w:left w:w="28" w:type="dxa"/>
            </w:tcMar>
            <w:vAlign w:val="center"/>
          </w:tcPr>
          <w:p>
            <w:pPr>
              <w:pStyle w:val="TableContents"/>
              <w:bidi w:val="0"/>
              <w:spacing w:before="0" w:after="283"/>
              <w:jc w:val="right"/>
              <w:rPr>
                <w:sz w:val="16"/>
              </w:rPr>
            </w:pPr>
            <w:r>
              <w:rPr>
                <w:sz w:val="16"/>
              </w:rPr>
              <w:t>-228,684</w:t>
            </w:r>
          </w:p>
        </w:tc>
        <w:tc>
          <w:tcPr>
            <w:tcW w:w="860" w:type="dxa"/>
            <w:tcBorders>
              <w:right w:val="single" w:sz="8" w:space="0" w:color="000000"/>
            </w:tcBorders>
            <w:tcMar>
              <w:right w:w="60" w:type="dxa"/>
            </w:tcMar>
            <w:vAlign w:val="center"/>
          </w:tcPr>
          <w:p>
            <w:pPr>
              <w:pStyle w:val="TableContents"/>
              <w:bidi w:val="0"/>
              <w:spacing w:before="0" w:after="283"/>
              <w:jc w:val="right"/>
              <w:rPr>
                <w:sz w:val="16"/>
              </w:rPr>
            </w:pPr>
            <w:r>
              <w:rPr>
                <w:sz w:val="16"/>
              </w:rPr>
              <w:t>-210,706</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-7.9%</w:t>
            </w:r>
          </w:p>
        </w:tc>
      </w:tr>
      <w:tr>
        <w:trPr/>
        <w:tc>
          <w:tcPr>
            <w:tcW w:w="2778" w:type="dxa"/>
            <w:gridSpan w:val="3"/>
            <w:tcBorders>
              <w:left w:val="single" w:sz="8" w:space="0" w:color="000000"/>
            </w:tcBorders>
            <w:tcMar>
              <w:left w:w="28" w:type="dxa"/>
            </w:tcMar>
            <w:vAlign w:val="center"/>
          </w:tcPr>
          <w:p>
            <w:pPr>
              <w:pStyle w:val="TableContents"/>
              <w:bidi w:val="0"/>
              <w:spacing w:before="0" w:after="283"/>
              <w:jc w:val="left"/>
              <w:rPr>
                <w:b/>
                <w:sz w:val="16"/>
              </w:rPr>
            </w:pPr>
            <w:r>
              <w:rPr>
                <w:b/>
                <w:sz w:val="16"/>
              </w:rPr>
              <w:t>Total insurance underwriting result</w:t>
            </w:r>
          </w:p>
        </w:tc>
        <w:tc>
          <w:tcPr>
            <w:tcW w:w="830" w:type="dxa"/>
            <w:tcBorders>
              <w:left w:val="single" w:sz="8" w:space="0" w:color="000000"/>
            </w:tcBorders>
            <w:tcMar>
              <w:left w:w="28" w:type="dxa"/>
            </w:tcMar>
            <w:vAlign w:val="center"/>
          </w:tcPr>
          <w:p>
            <w:pPr>
              <w:pStyle w:val="TableContents"/>
              <w:bidi w:val="0"/>
              <w:spacing w:before="0" w:after="283"/>
              <w:jc w:val="right"/>
              <w:rPr>
                <w:b/>
                <w:sz w:val="16"/>
              </w:rPr>
            </w:pPr>
            <w:r>
              <w:rPr>
                <w:b/>
                <w:sz w:val="16"/>
              </w:rPr>
              <w:t>90,343</w:t>
            </w:r>
          </w:p>
        </w:tc>
        <w:tc>
          <w:tcPr>
            <w:tcW w:w="830" w:type="dxa"/>
            <w:tcBorders/>
            <w:vAlign w:val="center"/>
          </w:tcPr>
          <w:p>
            <w:pPr>
              <w:pStyle w:val="TableContents"/>
              <w:bidi w:val="0"/>
              <w:spacing w:before="0" w:after="283"/>
              <w:jc w:val="right"/>
              <w:rPr/>
            </w:pPr>
            <w:r>
              <w:rPr/>
              <w:t> </w:t>
            </w:r>
            <w:r>
              <w:rPr>
                <w:b/>
                <w:sz w:val="16"/>
              </w:rPr>
              <w:t>182,381</w:t>
            </w:r>
          </w:p>
        </w:tc>
        <w:tc>
          <w:tcPr>
            <w:tcW w:w="830"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178,505</w:t>
            </w:r>
          </w:p>
        </w:tc>
        <w:tc>
          <w:tcPr>
            <w:tcW w:w="620" w:type="dxa"/>
            <w:tcBorders/>
            <w:vAlign w:val="center"/>
          </w:tcPr>
          <w:p>
            <w:pPr>
              <w:pStyle w:val="TableContents"/>
              <w:bidi w:val="0"/>
              <w:spacing w:before="0" w:after="283"/>
              <w:jc w:val="center"/>
              <w:rPr>
                <w:b/>
                <w:sz w:val="16"/>
              </w:rPr>
            </w:pPr>
            <w:r>
              <w:rPr>
                <w:b/>
                <w:sz w:val="16"/>
              </w:rPr>
              <w:t>-2.1%</w:t>
            </w:r>
          </w:p>
        </w:tc>
        <w:tc>
          <w:tcPr>
            <w:tcW w:w="560" w:type="dxa"/>
            <w:tcBorders/>
            <w:vAlign w:val="center"/>
          </w:tcPr>
          <w:p>
            <w:pPr>
              <w:pStyle w:val="TableContents"/>
              <w:bidi w:val="0"/>
              <w:spacing w:before="0" w:after="283"/>
              <w:jc w:val="center"/>
              <w:rPr>
                <w:b/>
                <w:sz w:val="16"/>
              </w:rPr>
            </w:pPr>
            <w:r>
              <w:rPr>
                <w:b/>
                <w:sz w:val="16"/>
              </w:rPr>
              <w:t>97.6%</w:t>
            </w:r>
          </w:p>
        </w:tc>
        <w:tc>
          <w:tcPr>
            <w:tcW w:w="86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196,845</w:t>
            </w:r>
          </w:p>
        </w:tc>
        <w:tc>
          <w:tcPr>
            <w:tcW w:w="860"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360,885</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83.3%</w:t>
            </w:r>
          </w:p>
        </w:tc>
      </w:tr>
      <w:tr>
        <w:trPr/>
        <w:tc>
          <w:tcPr>
            <w:tcW w:w="2778" w:type="dxa"/>
            <w:gridSpan w:val="3"/>
            <w:tcBorders>
              <w:left w:val="single" w:sz="8" w:space="0" w:color="000000"/>
            </w:tcBorders>
            <w:tcMar>
              <w:left w:w="28" w:type="dxa"/>
            </w:tcMar>
            <w:vAlign w:val="center"/>
          </w:tcPr>
          <w:p>
            <w:pPr>
              <w:pStyle w:val="TableContents"/>
              <w:bidi w:val="0"/>
              <w:spacing w:before="0" w:after="283"/>
              <w:jc w:val="left"/>
              <w:rPr>
                <w:sz w:val="16"/>
              </w:rPr>
            </w:pPr>
            <w:r>
              <w:rPr>
                <w:sz w:val="16"/>
              </w:rPr>
              <w:t>Financial result of the insurance activity</w:t>
            </w:r>
          </w:p>
        </w:tc>
        <w:tc>
          <w:tcPr>
            <w:tcW w:w="830" w:type="dxa"/>
            <w:tcBorders>
              <w:left w:val="single" w:sz="8" w:space="0" w:color="000000"/>
            </w:tcBorders>
            <w:tcMar>
              <w:left w:w="28" w:type="dxa"/>
            </w:tcMar>
            <w:vAlign w:val="center"/>
          </w:tcPr>
          <w:p>
            <w:pPr>
              <w:pStyle w:val="TableContents"/>
              <w:bidi w:val="0"/>
              <w:spacing w:before="0" w:after="283"/>
              <w:jc w:val="right"/>
              <w:rPr>
                <w:sz w:val="16"/>
              </w:rPr>
            </w:pPr>
            <w:r>
              <w:rPr>
                <w:sz w:val="16"/>
              </w:rPr>
              <w:t>66,064</w:t>
            </w:r>
          </w:p>
        </w:tc>
        <w:tc>
          <w:tcPr>
            <w:tcW w:w="830" w:type="dxa"/>
            <w:tcBorders/>
            <w:vAlign w:val="center"/>
          </w:tcPr>
          <w:p>
            <w:pPr>
              <w:pStyle w:val="TableContents"/>
              <w:bidi w:val="0"/>
              <w:spacing w:before="0" w:after="283"/>
              <w:jc w:val="right"/>
              <w:rPr>
                <w:sz w:val="16"/>
              </w:rPr>
            </w:pPr>
            <w:r>
              <w:rPr>
                <w:sz w:val="16"/>
              </w:rPr>
              <w:t>97,644</w:t>
            </w:r>
          </w:p>
        </w:tc>
        <w:tc>
          <w:tcPr>
            <w:tcW w:w="830" w:type="dxa"/>
            <w:tcBorders>
              <w:right w:val="single" w:sz="8" w:space="0" w:color="000000"/>
            </w:tcBorders>
            <w:tcMar>
              <w:right w:w="60" w:type="dxa"/>
            </w:tcMar>
            <w:vAlign w:val="center"/>
          </w:tcPr>
          <w:p>
            <w:pPr>
              <w:pStyle w:val="TableContents"/>
              <w:bidi w:val="0"/>
              <w:spacing w:before="0" w:after="283"/>
              <w:jc w:val="right"/>
              <w:rPr>
                <w:sz w:val="16"/>
              </w:rPr>
            </w:pPr>
            <w:r>
              <w:rPr>
                <w:sz w:val="16"/>
              </w:rPr>
              <w:t>81,675</w:t>
            </w:r>
          </w:p>
        </w:tc>
        <w:tc>
          <w:tcPr>
            <w:tcW w:w="620" w:type="dxa"/>
            <w:tcBorders/>
            <w:vAlign w:val="center"/>
          </w:tcPr>
          <w:p>
            <w:pPr>
              <w:pStyle w:val="TableContents"/>
              <w:bidi w:val="0"/>
              <w:spacing w:before="0" w:after="283"/>
              <w:jc w:val="center"/>
              <w:rPr>
                <w:sz w:val="16"/>
              </w:rPr>
            </w:pPr>
            <w:r>
              <w:rPr>
                <w:sz w:val="16"/>
              </w:rPr>
              <w:t>-16.4%</w:t>
            </w:r>
          </w:p>
        </w:tc>
        <w:tc>
          <w:tcPr>
            <w:tcW w:w="560" w:type="dxa"/>
            <w:tcBorders/>
            <w:vAlign w:val="center"/>
          </w:tcPr>
          <w:p>
            <w:pPr>
              <w:pStyle w:val="TableContents"/>
              <w:bidi w:val="0"/>
              <w:spacing w:before="0" w:after="283"/>
              <w:jc w:val="center"/>
              <w:rPr>
                <w:sz w:val="16"/>
              </w:rPr>
            </w:pPr>
            <w:r>
              <w:rPr>
                <w:sz w:val="16"/>
              </w:rPr>
              <w:t>23.6%</w:t>
            </w:r>
          </w:p>
        </w:tc>
        <w:tc>
          <w:tcPr>
            <w:tcW w:w="86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sz w:val="16"/>
              </w:rPr>
              <w:t>125,506</w:t>
            </w:r>
          </w:p>
        </w:tc>
        <w:tc>
          <w:tcPr>
            <w:tcW w:w="860"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sz w:val="16"/>
              </w:rPr>
              <w:t>179,319</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42.9%</w:t>
            </w:r>
          </w:p>
        </w:tc>
      </w:tr>
      <w:tr>
        <w:trPr/>
        <w:tc>
          <w:tcPr>
            <w:tcW w:w="2696" w:type="dxa"/>
            <w:gridSpan w:val="2"/>
            <w:tcBorders>
              <w:left w:val="single" w:sz="8" w:space="0" w:color="000000"/>
            </w:tcBorders>
            <w:tcMar>
              <w:left w:w="28" w:type="dxa"/>
            </w:tcMar>
            <w:vAlign w:val="center"/>
          </w:tcPr>
          <w:p>
            <w:pPr>
              <w:pStyle w:val="TableContents"/>
              <w:bidi w:val="0"/>
              <w:spacing w:before="0" w:after="283"/>
              <w:jc w:val="left"/>
              <w:rPr>
                <w:sz w:val="16"/>
              </w:rPr>
            </w:pPr>
            <w:r>
              <w:rPr>
                <w:sz w:val="16"/>
              </w:rPr>
              <w:t>Other Expenses</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pPr>
            <w:r>
              <w:rPr/>
              <w:t> </w:t>
            </w:r>
            <w:r>
              <w:rPr>
                <w:sz w:val="16"/>
              </w:rPr>
              <w:t>-54,818</w:t>
            </w:r>
          </w:p>
        </w:tc>
        <w:tc>
          <w:tcPr>
            <w:tcW w:w="830" w:type="dxa"/>
            <w:tcBorders/>
            <w:vAlign w:val="center"/>
          </w:tcPr>
          <w:p>
            <w:pPr>
              <w:pStyle w:val="TableContents"/>
              <w:bidi w:val="0"/>
              <w:spacing w:before="0" w:after="283"/>
              <w:jc w:val="right"/>
              <w:rPr>
                <w:sz w:val="16"/>
              </w:rPr>
            </w:pPr>
            <w:r>
              <w:rPr>
                <w:sz w:val="16"/>
              </w:rPr>
              <w:t>-51,002</w:t>
            </w:r>
          </w:p>
        </w:tc>
        <w:tc>
          <w:tcPr>
            <w:tcW w:w="830" w:type="dxa"/>
            <w:tcBorders>
              <w:right w:val="single" w:sz="8" w:space="0" w:color="000000"/>
            </w:tcBorders>
            <w:tcMar>
              <w:right w:w="60" w:type="dxa"/>
            </w:tcMar>
            <w:vAlign w:val="center"/>
          </w:tcPr>
          <w:p>
            <w:pPr>
              <w:pStyle w:val="TableContents"/>
              <w:bidi w:val="0"/>
              <w:spacing w:before="0" w:after="283"/>
              <w:jc w:val="right"/>
              <w:rPr>
                <w:sz w:val="16"/>
              </w:rPr>
            </w:pPr>
            <w:r>
              <w:rPr>
                <w:sz w:val="16"/>
              </w:rPr>
              <w:t>-77,257</w:t>
            </w:r>
          </w:p>
        </w:tc>
        <w:tc>
          <w:tcPr>
            <w:tcW w:w="620" w:type="dxa"/>
            <w:tcBorders/>
            <w:vAlign w:val="center"/>
          </w:tcPr>
          <w:p>
            <w:pPr>
              <w:pStyle w:val="TableContents"/>
              <w:bidi w:val="0"/>
              <w:spacing w:before="0" w:after="283"/>
              <w:jc w:val="center"/>
              <w:rPr>
                <w:sz w:val="16"/>
              </w:rPr>
            </w:pPr>
            <w:r>
              <w:rPr>
                <w:sz w:val="16"/>
              </w:rPr>
              <w:t>51.5%</w:t>
            </w:r>
          </w:p>
        </w:tc>
        <w:tc>
          <w:tcPr>
            <w:tcW w:w="560" w:type="dxa"/>
            <w:tcBorders/>
            <w:vAlign w:val="center"/>
          </w:tcPr>
          <w:p>
            <w:pPr>
              <w:pStyle w:val="TableContents"/>
              <w:bidi w:val="0"/>
              <w:spacing w:before="0" w:after="283"/>
              <w:jc w:val="center"/>
              <w:rPr>
                <w:sz w:val="16"/>
              </w:rPr>
            </w:pPr>
            <w:r>
              <w:rPr>
                <w:sz w:val="16"/>
              </w:rPr>
              <w:t>40.9%</w:t>
            </w:r>
          </w:p>
        </w:tc>
        <w:tc>
          <w:tcPr>
            <w:tcW w:w="860" w:type="dxa"/>
            <w:tcBorders>
              <w:left w:val="single" w:sz="8" w:space="0" w:color="000000"/>
            </w:tcBorders>
            <w:tcMar>
              <w:left w:w="28" w:type="dxa"/>
            </w:tcMar>
            <w:vAlign w:val="center"/>
          </w:tcPr>
          <w:p>
            <w:pPr>
              <w:pStyle w:val="TableContents"/>
              <w:bidi w:val="0"/>
              <w:spacing w:before="0" w:after="283"/>
              <w:jc w:val="right"/>
              <w:rPr>
                <w:sz w:val="16"/>
              </w:rPr>
            </w:pPr>
            <w:r>
              <w:rPr>
                <w:sz w:val="16"/>
              </w:rPr>
              <w:t>-106,881</w:t>
            </w:r>
          </w:p>
        </w:tc>
        <w:tc>
          <w:tcPr>
            <w:tcW w:w="860" w:type="dxa"/>
            <w:tcBorders>
              <w:right w:val="single" w:sz="8" w:space="0" w:color="000000"/>
            </w:tcBorders>
            <w:tcMar>
              <w:right w:w="60" w:type="dxa"/>
            </w:tcMar>
            <w:vAlign w:val="center"/>
          </w:tcPr>
          <w:p>
            <w:pPr>
              <w:pStyle w:val="TableContents"/>
              <w:bidi w:val="0"/>
              <w:spacing w:before="0" w:after="283"/>
              <w:jc w:val="right"/>
              <w:rPr>
                <w:sz w:val="16"/>
              </w:rPr>
            </w:pPr>
            <w:r>
              <w:rPr>
                <w:sz w:val="16"/>
              </w:rPr>
              <w:t>-128,259</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20.0%</w:t>
            </w:r>
          </w:p>
        </w:tc>
      </w:tr>
      <w:tr>
        <w:trPr/>
        <w:tc>
          <w:tcPr>
            <w:tcW w:w="2696" w:type="dxa"/>
            <w:gridSpan w:val="2"/>
            <w:tcBorders>
              <w:left w:val="single" w:sz="8" w:space="0" w:color="000000"/>
            </w:tcBorders>
            <w:tcMar>
              <w:left w:w="28" w:type="dxa"/>
            </w:tcMar>
            <w:vAlign w:val="center"/>
          </w:tcPr>
          <w:p>
            <w:pPr>
              <w:pStyle w:val="TableContents"/>
              <w:bidi w:val="0"/>
              <w:spacing w:before="0" w:after="283"/>
              <w:jc w:val="left"/>
              <w:rPr>
                <w:sz w:val="16"/>
              </w:rPr>
            </w:pPr>
            <w:r>
              <w:rPr>
                <w:sz w:val="16"/>
              </w:rPr>
              <w:t>Other income</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sz w:val="16"/>
              </w:rPr>
            </w:pPr>
            <w:r>
              <w:rPr>
                <w:sz w:val="16"/>
              </w:rPr>
              <w:t>18,189</w:t>
            </w:r>
          </w:p>
        </w:tc>
        <w:tc>
          <w:tcPr>
            <w:tcW w:w="830" w:type="dxa"/>
            <w:tcBorders/>
            <w:vAlign w:val="center"/>
          </w:tcPr>
          <w:p>
            <w:pPr>
              <w:pStyle w:val="TableContents"/>
              <w:bidi w:val="0"/>
              <w:spacing w:before="0" w:after="283"/>
              <w:jc w:val="right"/>
              <w:rPr>
                <w:sz w:val="16"/>
              </w:rPr>
            </w:pPr>
            <w:r>
              <w:rPr>
                <w:sz w:val="16"/>
              </w:rPr>
              <w:t>-20,727</w:t>
            </w:r>
          </w:p>
        </w:tc>
        <w:tc>
          <w:tcPr>
            <w:tcW w:w="830" w:type="dxa"/>
            <w:tcBorders>
              <w:right w:val="single" w:sz="8" w:space="0" w:color="000000"/>
            </w:tcBorders>
            <w:tcMar>
              <w:right w:w="60" w:type="dxa"/>
            </w:tcMar>
            <w:vAlign w:val="center"/>
          </w:tcPr>
          <w:p>
            <w:pPr>
              <w:pStyle w:val="TableContents"/>
              <w:bidi w:val="0"/>
              <w:spacing w:before="0" w:after="283"/>
              <w:jc w:val="right"/>
              <w:rPr>
                <w:sz w:val="16"/>
              </w:rPr>
            </w:pPr>
            <w:r>
              <w:rPr>
                <w:sz w:val="16"/>
              </w:rPr>
              <w:t>30,371</w:t>
            </w:r>
          </w:p>
        </w:tc>
        <w:tc>
          <w:tcPr>
            <w:tcW w:w="620" w:type="dxa"/>
            <w:tcBorders/>
            <w:vAlign w:val="center"/>
          </w:tcPr>
          <w:p>
            <w:pPr>
              <w:pStyle w:val="TableContents"/>
              <w:bidi w:val="0"/>
              <w:spacing w:before="0" w:after="283"/>
              <w:jc w:val="center"/>
              <w:rPr>
                <w:sz w:val="16"/>
              </w:rPr>
            </w:pPr>
            <w:r>
              <w:rPr>
                <w:sz w:val="16"/>
              </w:rPr>
              <w:t>-246.5%</w:t>
            </w:r>
          </w:p>
        </w:tc>
        <w:tc>
          <w:tcPr>
            <w:tcW w:w="560" w:type="dxa"/>
            <w:tcBorders/>
            <w:vAlign w:val="center"/>
          </w:tcPr>
          <w:p>
            <w:pPr>
              <w:pStyle w:val="TableContents"/>
              <w:bidi w:val="0"/>
              <w:spacing w:before="0" w:after="283"/>
              <w:jc w:val="center"/>
              <w:rPr>
                <w:sz w:val="16"/>
              </w:rPr>
            </w:pPr>
            <w:r>
              <w:rPr>
                <w:sz w:val="16"/>
              </w:rPr>
              <w:t>67.0%</w:t>
            </w:r>
          </w:p>
        </w:tc>
        <w:tc>
          <w:tcPr>
            <w:tcW w:w="860"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4,015</w:t>
            </w:r>
          </w:p>
        </w:tc>
        <w:tc>
          <w:tcPr>
            <w:tcW w:w="860"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9,644</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140.2%</w:t>
            </w:r>
          </w:p>
        </w:tc>
      </w:tr>
      <w:tr>
        <w:trPr/>
        <w:tc>
          <w:tcPr>
            <w:tcW w:w="2696" w:type="dxa"/>
            <w:gridSpan w:val="2"/>
            <w:tcBorders>
              <w:left w:val="single" w:sz="8" w:space="0" w:color="000000"/>
            </w:tcBorders>
            <w:tcMar>
              <w:left w:w="28" w:type="dxa"/>
            </w:tcMar>
            <w:vAlign w:val="center"/>
          </w:tcPr>
          <w:p>
            <w:pPr>
              <w:pStyle w:val="TableContents"/>
              <w:bidi w:val="0"/>
              <w:spacing w:before="0" w:after="283"/>
              <w:jc w:val="left"/>
              <w:rPr>
                <w:sz w:val="16"/>
              </w:rPr>
            </w:pPr>
            <w:r>
              <w:rPr>
                <w:sz w:val="16"/>
              </w:rPr>
              <w:t>Translations results</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pPr>
            <w:r>
              <w:rPr/>
              <w:t> </w:t>
            </w:r>
            <w:r>
              <w:rPr>
                <w:sz w:val="16"/>
              </w:rPr>
              <w:t>-1,700</w:t>
            </w:r>
          </w:p>
        </w:tc>
        <w:tc>
          <w:tcPr>
            <w:tcW w:w="830" w:type="dxa"/>
            <w:tcBorders/>
            <w:vAlign w:val="center"/>
          </w:tcPr>
          <w:p>
            <w:pPr>
              <w:pStyle w:val="TableContents"/>
              <w:bidi w:val="0"/>
              <w:spacing w:before="0" w:after="283"/>
              <w:jc w:val="right"/>
              <w:rPr/>
            </w:pPr>
            <w:r>
              <w:rPr/>
              <w:t> </w:t>
            </w:r>
            <w:r>
              <w:rPr>
                <w:sz w:val="16"/>
              </w:rPr>
              <w:t>-1,343</w:t>
            </w:r>
          </w:p>
        </w:tc>
        <w:tc>
          <w:tcPr>
            <w:tcW w:w="830" w:type="dxa"/>
            <w:tcBorders>
              <w:right w:val="single" w:sz="8" w:space="0" w:color="000000"/>
            </w:tcBorders>
            <w:tcMar>
              <w:right w:w="60" w:type="dxa"/>
            </w:tcMar>
            <w:vAlign w:val="center"/>
          </w:tcPr>
          <w:p>
            <w:pPr>
              <w:pStyle w:val="TableContents"/>
              <w:bidi w:val="0"/>
              <w:spacing w:before="0" w:after="283"/>
              <w:jc w:val="right"/>
              <w:rPr/>
            </w:pPr>
            <w:r>
              <w:rPr/>
              <w:t> </w:t>
            </w:r>
            <w:r>
              <w:rPr>
                <w:sz w:val="16"/>
              </w:rPr>
              <w:t>-4,334</w:t>
            </w:r>
          </w:p>
        </w:tc>
        <w:tc>
          <w:tcPr>
            <w:tcW w:w="620" w:type="dxa"/>
            <w:tcBorders/>
            <w:vAlign w:val="center"/>
          </w:tcPr>
          <w:p>
            <w:pPr>
              <w:pStyle w:val="TableContents"/>
              <w:bidi w:val="0"/>
              <w:spacing w:before="0" w:after="283"/>
              <w:jc w:val="center"/>
              <w:rPr>
                <w:sz w:val="16"/>
              </w:rPr>
            </w:pPr>
            <w:r>
              <w:rPr>
                <w:sz w:val="16"/>
              </w:rPr>
              <w:t>222.7%</w:t>
            </w:r>
          </w:p>
        </w:tc>
        <w:tc>
          <w:tcPr>
            <w:tcW w:w="560" w:type="dxa"/>
            <w:tcBorders/>
            <w:vAlign w:val="center"/>
          </w:tcPr>
          <w:p>
            <w:pPr>
              <w:pStyle w:val="TableContents"/>
              <w:bidi w:val="0"/>
              <w:spacing w:before="0" w:after="283"/>
              <w:jc w:val="center"/>
              <w:rPr>
                <w:sz w:val="16"/>
              </w:rPr>
            </w:pPr>
            <w:r>
              <w:rPr>
                <w:sz w:val="16"/>
              </w:rPr>
              <w:t>154.9%</w:t>
            </w:r>
          </w:p>
        </w:tc>
        <w:tc>
          <w:tcPr>
            <w:tcW w:w="860"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1,660</w:t>
            </w:r>
          </w:p>
        </w:tc>
        <w:tc>
          <w:tcPr>
            <w:tcW w:w="860"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-5,677</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-442.0%</w:t>
            </w:r>
          </w:p>
        </w:tc>
      </w:tr>
      <w:tr>
        <w:trPr/>
        <w:tc>
          <w:tcPr>
            <w:tcW w:w="2696" w:type="dxa"/>
            <w:gridSpan w:val="2"/>
            <w:tcBorders>
              <w:left w:val="single" w:sz="8" w:space="0" w:color="000000"/>
            </w:tcBorders>
            <w:tcMar>
              <w:left w:w="28" w:type="dxa"/>
            </w:tcMar>
            <w:vAlign w:val="center"/>
          </w:tcPr>
          <w:p>
            <w:pPr>
              <w:pStyle w:val="TableContents"/>
              <w:bidi w:val="0"/>
              <w:spacing w:before="0" w:after="283"/>
              <w:jc w:val="left"/>
              <w:rPr>
                <w:sz w:val="16"/>
              </w:rPr>
            </w:pPr>
            <w:r>
              <w:rPr>
                <w:sz w:val="16"/>
              </w:rPr>
              <w:t>EPS business deduction</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sz w:val="16"/>
              </w:rPr>
            </w:pPr>
            <w:r>
              <w:rPr>
                <w:sz w:val="16"/>
              </w:rPr>
              <w:t>17,941</w:t>
            </w:r>
          </w:p>
        </w:tc>
        <w:tc>
          <w:tcPr>
            <w:tcW w:w="830" w:type="dxa"/>
            <w:tcBorders/>
            <w:vAlign w:val="center"/>
          </w:tcPr>
          <w:p>
            <w:pPr>
              <w:pStyle w:val="TableContents"/>
              <w:bidi w:val="0"/>
              <w:spacing w:before="0" w:after="283"/>
              <w:jc w:val="right"/>
              <w:rPr>
                <w:sz w:val="16"/>
              </w:rPr>
            </w:pPr>
            <w:r>
              <w:rPr>
                <w:sz w:val="16"/>
              </w:rPr>
              <w:t>30,276</w:t>
            </w:r>
          </w:p>
        </w:tc>
        <w:tc>
          <w:tcPr>
            <w:tcW w:w="830" w:type="dxa"/>
            <w:tcBorders>
              <w:right w:val="single" w:sz="8" w:space="0" w:color="000000"/>
            </w:tcBorders>
            <w:tcMar>
              <w:right w:w="60" w:type="dxa"/>
            </w:tcMar>
            <w:vAlign w:val="center"/>
          </w:tcPr>
          <w:p>
            <w:pPr>
              <w:pStyle w:val="TableContents"/>
              <w:bidi w:val="0"/>
              <w:spacing w:before="0" w:after="283"/>
              <w:jc w:val="right"/>
              <w:rPr>
                <w:sz w:val="16"/>
              </w:rPr>
            </w:pPr>
            <w:r>
              <w:rPr>
                <w:sz w:val="16"/>
              </w:rPr>
              <w:t>17,586</w:t>
            </w:r>
          </w:p>
        </w:tc>
        <w:tc>
          <w:tcPr>
            <w:tcW w:w="620" w:type="dxa"/>
            <w:tcBorders/>
            <w:vAlign w:val="center"/>
          </w:tcPr>
          <w:p>
            <w:pPr>
              <w:pStyle w:val="TableContents"/>
              <w:bidi w:val="0"/>
              <w:spacing w:before="0" w:after="283"/>
              <w:jc w:val="center"/>
              <w:rPr>
                <w:sz w:val="16"/>
              </w:rPr>
            </w:pPr>
            <w:r>
              <w:rPr>
                <w:sz w:val="16"/>
              </w:rPr>
              <w:t>-41.9%</w:t>
            </w:r>
          </w:p>
        </w:tc>
        <w:tc>
          <w:tcPr>
            <w:tcW w:w="560" w:type="dxa"/>
            <w:tcBorders/>
            <w:vAlign w:val="center"/>
          </w:tcPr>
          <w:p>
            <w:pPr>
              <w:pStyle w:val="TableContents"/>
              <w:bidi w:val="0"/>
              <w:spacing w:before="0" w:after="283"/>
              <w:jc w:val="center"/>
              <w:rPr>
                <w:sz w:val="16"/>
              </w:rPr>
            </w:pPr>
            <w:r>
              <w:rPr>
                <w:sz w:val="16"/>
              </w:rPr>
              <w:t>-2.0%</w:t>
            </w:r>
          </w:p>
        </w:tc>
        <w:tc>
          <w:tcPr>
            <w:tcW w:w="860"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32,594</w:t>
            </w:r>
          </w:p>
        </w:tc>
        <w:tc>
          <w:tcPr>
            <w:tcW w:w="860"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47,862</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46.8%</w:t>
            </w:r>
          </w:p>
        </w:tc>
      </w:tr>
      <w:tr>
        <w:trPr/>
        <w:tc>
          <w:tcPr>
            <w:tcW w:w="2778" w:type="dxa"/>
            <w:gridSpan w:val="3"/>
            <w:tcBorders>
              <w:left w:val="single" w:sz="8" w:space="0" w:color="000000"/>
            </w:tcBorders>
            <w:tcMar>
              <w:left w:w="28" w:type="dxa"/>
            </w:tcMar>
            <w:vAlign w:val="center"/>
          </w:tcPr>
          <w:p>
            <w:pPr>
              <w:pStyle w:val="TableContents"/>
              <w:bidi w:val="0"/>
              <w:spacing w:before="0" w:after="283"/>
              <w:jc w:val="left"/>
              <w:rPr>
                <w:sz w:val="16"/>
              </w:rPr>
            </w:pPr>
            <w:r>
              <w:rPr>
                <w:sz w:val="16"/>
              </w:rPr>
              <w:t>Medical Assistance insurance deduction</w:t>
            </w:r>
          </w:p>
        </w:tc>
        <w:tc>
          <w:tcPr>
            <w:tcW w:w="830" w:type="dxa"/>
            <w:tcBorders>
              <w:left w:val="single" w:sz="8" w:space="0" w:color="000000"/>
            </w:tcBorders>
            <w:tcMar>
              <w:left w:w="28" w:type="dxa"/>
            </w:tcMar>
            <w:vAlign w:val="center"/>
          </w:tcPr>
          <w:p>
            <w:pPr>
              <w:pStyle w:val="TableContents"/>
              <w:bidi w:val="0"/>
              <w:spacing w:before="0" w:after="283"/>
              <w:jc w:val="right"/>
              <w:rPr/>
            </w:pPr>
            <w:r>
              <w:rPr/>
              <w:t> </w:t>
            </w:r>
            <w:r>
              <w:rPr>
                <w:sz w:val="16"/>
              </w:rPr>
              <w:t>-10,329</w:t>
            </w:r>
          </w:p>
        </w:tc>
        <w:tc>
          <w:tcPr>
            <w:tcW w:w="830" w:type="dxa"/>
            <w:tcBorders/>
            <w:vAlign w:val="center"/>
          </w:tcPr>
          <w:p>
            <w:pPr>
              <w:pStyle w:val="TableContents"/>
              <w:bidi w:val="0"/>
              <w:spacing w:before="0" w:after="283"/>
              <w:jc w:val="right"/>
              <w:rPr>
                <w:sz w:val="16"/>
              </w:rPr>
            </w:pPr>
            <w:r>
              <w:rPr>
                <w:sz w:val="16"/>
              </w:rPr>
              <w:t>-12,612</w:t>
            </w:r>
          </w:p>
        </w:tc>
        <w:tc>
          <w:tcPr>
            <w:tcW w:w="830" w:type="dxa"/>
            <w:tcBorders>
              <w:right w:val="single" w:sz="8" w:space="0" w:color="000000"/>
            </w:tcBorders>
            <w:tcMar>
              <w:right w:w="60" w:type="dxa"/>
            </w:tcMar>
            <w:vAlign w:val="center"/>
          </w:tcPr>
          <w:p>
            <w:pPr>
              <w:pStyle w:val="TableContents"/>
              <w:bidi w:val="0"/>
              <w:spacing w:before="0" w:after="283"/>
              <w:jc w:val="right"/>
              <w:rPr>
                <w:sz w:val="16"/>
              </w:rPr>
            </w:pPr>
            <w:r>
              <w:rPr>
                <w:sz w:val="16"/>
              </w:rPr>
              <w:t>-16,743</w:t>
            </w:r>
          </w:p>
        </w:tc>
        <w:tc>
          <w:tcPr>
            <w:tcW w:w="620" w:type="dxa"/>
            <w:tcBorders/>
            <w:vAlign w:val="center"/>
          </w:tcPr>
          <w:p>
            <w:pPr>
              <w:pStyle w:val="TableContents"/>
              <w:bidi w:val="0"/>
              <w:spacing w:before="0" w:after="283"/>
              <w:jc w:val="center"/>
              <w:rPr>
                <w:sz w:val="16"/>
              </w:rPr>
            </w:pPr>
            <w:r>
              <w:rPr>
                <w:sz w:val="16"/>
              </w:rPr>
              <w:t>32.8%</w:t>
            </w:r>
          </w:p>
        </w:tc>
        <w:tc>
          <w:tcPr>
            <w:tcW w:w="560" w:type="dxa"/>
            <w:tcBorders/>
            <w:vAlign w:val="center"/>
          </w:tcPr>
          <w:p>
            <w:pPr>
              <w:pStyle w:val="TableContents"/>
              <w:bidi w:val="0"/>
              <w:spacing w:before="0" w:after="283"/>
              <w:jc w:val="center"/>
              <w:rPr>
                <w:sz w:val="16"/>
              </w:rPr>
            </w:pPr>
            <w:r>
              <w:rPr>
                <w:sz w:val="16"/>
              </w:rPr>
              <w:t>62.1%</w:t>
            </w:r>
          </w:p>
        </w:tc>
        <w:tc>
          <w:tcPr>
            <w:tcW w:w="860" w:type="dxa"/>
            <w:tcBorders>
              <w:left w:val="single" w:sz="8" w:space="0" w:color="000000"/>
            </w:tcBorders>
            <w:tcMar>
              <w:left w:w="28" w:type="dxa"/>
            </w:tcMar>
            <w:vAlign w:val="center"/>
          </w:tcPr>
          <w:p>
            <w:pPr>
              <w:pStyle w:val="TableContents"/>
              <w:bidi w:val="0"/>
              <w:spacing w:before="0" w:after="283"/>
              <w:jc w:val="right"/>
              <w:rPr>
                <w:sz w:val="16"/>
              </w:rPr>
            </w:pPr>
            <w:r>
              <w:rPr>
                <w:sz w:val="16"/>
              </w:rPr>
              <w:t>-18,020</w:t>
            </w:r>
          </w:p>
        </w:tc>
        <w:tc>
          <w:tcPr>
            <w:tcW w:w="860" w:type="dxa"/>
            <w:tcBorders>
              <w:right w:val="single" w:sz="8" w:space="0" w:color="000000"/>
            </w:tcBorders>
            <w:tcMar>
              <w:right w:w="60" w:type="dxa"/>
            </w:tcMar>
            <w:vAlign w:val="center"/>
          </w:tcPr>
          <w:p>
            <w:pPr>
              <w:pStyle w:val="TableContents"/>
              <w:bidi w:val="0"/>
              <w:spacing w:before="0" w:after="283"/>
              <w:jc w:val="right"/>
              <w:rPr>
                <w:sz w:val="16"/>
              </w:rPr>
            </w:pPr>
            <w:r>
              <w:rPr>
                <w:sz w:val="16"/>
              </w:rPr>
              <w:t>-29,354</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62.9%</w:t>
            </w:r>
          </w:p>
        </w:tc>
      </w:tr>
      <w:tr>
        <w:trPr/>
        <w:tc>
          <w:tcPr>
            <w:tcW w:w="2516" w:type="dxa"/>
            <w:tcBorders>
              <w:left w:val="single" w:sz="8" w:space="0" w:color="000000"/>
            </w:tcBorders>
            <w:tcMar>
              <w:left w:w="28" w:type="dxa"/>
            </w:tcMar>
            <w:vAlign w:val="center"/>
          </w:tcPr>
          <w:p>
            <w:pPr>
              <w:pStyle w:val="TableContents"/>
              <w:bidi w:val="0"/>
              <w:spacing w:before="0" w:after="283"/>
              <w:jc w:val="left"/>
              <w:rPr>
                <w:sz w:val="16"/>
              </w:rPr>
            </w:pPr>
            <w:r>
              <w:rPr>
                <w:sz w:val="16"/>
              </w:rPr>
              <w:t>Income tax</w:t>
            </w:r>
          </w:p>
        </w:tc>
        <w:tc>
          <w:tcPr>
            <w:tcW w:w="18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pPr>
            <w:r>
              <w:rPr/>
              <w:t> </w:t>
            </w:r>
            <w:r>
              <w:rPr>
                <w:sz w:val="16"/>
              </w:rPr>
              <w:t>-3,510</w:t>
            </w:r>
          </w:p>
        </w:tc>
        <w:tc>
          <w:tcPr>
            <w:tcW w:w="830" w:type="dxa"/>
            <w:tcBorders/>
            <w:vAlign w:val="center"/>
          </w:tcPr>
          <w:p>
            <w:pPr>
              <w:pStyle w:val="TableContents"/>
              <w:bidi w:val="0"/>
              <w:spacing w:before="0" w:after="283"/>
              <w:jc w:val="right"/>
              <w:rPr/>
            </w:pPr>
            <w:r>
              <w:rPr/>
              <w:t> </w:t>
            </w:r>
            <w:r>
              <w:rPr>
                <w:sz w:val="16"/>
              </w:rPr>
              <w:t>-3,200</w:t>
            </w:r>
          </w:p>
        </w:tc>
        <w:tc>
          <w:tcPr>
            <w:tcW w:w="830" w:type="dxa"/>
            <w:tcBorders>
              <w:right w:val="single" w:sz="8" w:space="0" w:color="000000"/>
            </w:tcBorders>
            <w:tcMar>
              <w:right w:w="60" w:type="dxa"/>
            </w:tcMar>
            <w:vAlign w:val="center"/>
          </w:tcPr>
          <w:p>
            <w:pPr>
              <w:pStyle w:val="TableContents"/>
              <w:bidi w:val="0"/>
              <w:spacing w:before="0" w:after="283"/>
              <w:jc w:val="right"/>
              <w:rPr/>
            </w:pPr>
            <w:r>
              <w:rPr/>
              <w:t> </w:t>
            </w:r>
            <w:r>
              <w:rPr>
                <w:sz w:val="16"/>
              </w:rPr>
              <w:t>-3,116</w:t>
            </w:r>
          </w:p>
        </w:tc>
        <w:tc>
          <w:tcPr>
            <w:tcW w:w="620" w:type="dxa"/>
            <w:tcBorders/>
            <w:vAlign w:val="center"/>
          </w:tcPr>
          <w:p>
            <w:pPr>
              <w:pStyle w:val="TableContents"/>
              <w:bidi w:val="0"/>
              <w:spacing w:before="0" w:after="283"/>
              <w:jc w:val="center"/>
              <w:rPr>
                <w:sz w:val="16"/>
              </w:rPr>
            </w:pPr>
            <w:r>
              <w:rPr>
                <w:sz w:val="16"/>
              </w:rPr>
              <w:t>-2.6%</w:t>
            </w:r>
          </w:p>
        </w:tc>
        <w:tc>
          <w:tcPr>
            <w:tcW w:w="560" w:type="dxa"/>
            <w:tcBorders/>
            <w:vAlign w:val="center"/>
          </w:tcPr>
          <w:p>
            <w:pPr>
              <w:pStyle w:val="TableContents"/>
              <w:bidi w:val="0"/>
              <w:spacing w:before="0" w:after="283"/>
              <w:jc w:val="center"/>
              <w:rPr>
                <w:sz w:val="16"/>
              </w:rPr>
            </w:pPr>
            <w:r>
              <w:rPr>
                <w:sz w:val="16"/>
              </w:rPr>
              <w:t>-11.2%</w:t>
            </w:r>
          </w:p>
        </w:tc>
        <w:tc>
          <w:tcPr>
            <w:tcW w:w="860" w:type="dxa"/>
            <w:tcBorders>
              <w:left w:val="single" w:sz="8" w:space="0" w:color="000000"/>
            </w:tcBorders>
            <w:tcMar>
              <w:left w:w="28" w:type="dxa"/>
            </w:tcMar>
            <w:vAlign w:val="center"/>
          </w:tcPr>
          <w:p>
            <w:pPr>
              <w:pStyle w:val="TableContents"/>
              <w:bidi w:val="0"/>
              <w:spacing w:before="0" w:after="283"/>
              <w:jc w:val="right"/>
              <w:rPr>
                <w:sz w:val="16"/>
              </w:rPr>
            </w:pPr>
            <w:r>
              <w:rPr>
                <w:sz w:val="16"/>
              </w:rPr>
              <w:t>-6,194</w:t>
            </w:r>
          </w:p>
        </w:tc>
        <w:tc>
          <w:tcPr>
            <w:tcW w:w="860" w:type="dxa"/>
            <w:tcBorders>
              <w:right w:val="single" w:sz="8" w:space="0" w:color="000000"/>
            </w:tcBorders>
            <w:tcMar>
              <w:right w:w="60" w:type="dxa"/>
            </w:tcMar>
            <w:vAlign w:val="center"/>
          </w:tcPr>
          <w:p>
            <w:pPr>
              <w:pStyle w:val="TableContents"/>
              <w:bidi w:val="0"/>
              <w:spacing w:before="0" w:after="283"/>
              <w:jc w:val="right"/>
              <w:rPr>
                <w:sz w:val="16"/>
              </w:rPr>
            </w:pPr>
            <w:r>
              <w:rPr>
                <w:sz w:val="16"/>
              </w:rPr>
              <w:t>-6,316</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2.0%</w:t>
            </w:r>
          </w:p>
        </w:tc>
      </w:tr>
      <w:tr>
        <w:trPr/>
        <w:tc>
          <w:tcPr>
            <w:tcW w:w="2778" w:type="dxa"/>
            <w:gridSpan w:val="3"/>
            <w:tcBorders>
              <w:left w:val="single" w:sz="8" w:space="0" w:color="000000"/>
            </w:tcBorders>
            <w:tcMar>
              <w:left w:w="28" w:type="dxa"/>
            </w:tcMar>
            <w:vAlign w:val="center"/>
          </w:tcPr>
          <w:p>
            <w:pPr>
              <w:pStyle w:val="TableContents"/>
              <w:bidi w:val="0"/>
              <w:spacing w:before="0" w:after="283"/>
              <w:jc w:val="left"/>
              <w:rPr>
                <w:b/>
                <w:sz w:val="16"/>
              </w:rPr>
            </w:pPr>
            <w:r>
              <w:rPr>
                <w:b/>
                <w:sz w:val="16"/>
              </w:rPr>
              <w:t>Income before minority interest</w:t>
            </w:r>
          </w:p>
        </w:tc>
        <w:tc>
          <w:tcPr>
            <w:tcW w:w="830" w:type="dxa"/>
            <w:tcBorders>
              <w:left w:val="single" w:sz="8" w:space="0" w:color="000000"/>
            </w:tcBorders>
            <w:tcMar>
              <w:left w:w="28" w:type="dxa"/>
            </w:tcMar>
            <w:vAlign w:val="center"/>
          </w:tcPr>
          <w:p>
            <w:pPr>
              <w:pStyle w:val="TableContents"/>
              <w:bidi w:val="0"/>
              <w:spacing w:before="0" w:after="283"/>
              <w:jc w:val="right"/>
              <w:rPr>
                <w:b/>
                <w:sz w:val="16"/>
              </w:rPr>
            </w:pPr>
            <w:r>
              <w:rPr>
                <w:b/>
                <w:sz w:val="16"/>
              </w:rPr>
              <w:t>122,179</w:t>
            </w:r>
          </w:p>
        </w:tc>
        <w:tc>
          <w:tcPr>
            <w:tcW w:w="830" w:type="dxa"/>
            <w:tcBorders/>
            <w:vAlign w:val="center"/>
          </w:tcPr>
          <w:p>
            <w:pPr>
              <w:pStyle w:val="TableContents"/>
              <w:bidi w:val="0"/>
              <w:spacing w:before="0" w:after="283"/>
              <w:jc w:val="right"/>
              <w:rPr/>
            </w:pPr>
            <w:r>
              <w:rPr/>
              <w:t> </w:t>
            </w:r>
            <w:r>
              <w:rPr>
                <w:b/>
                <w:sz w:val="16"/>
              </w:rPr>
              <w:t>221,416</w:t>
            </w:r>
          </w:p>
        </w:tc>
        <w:tc>
          <w:tcPr>
            <w:tcW w:w="830" w:type="dxa"/>
            <w:tcBorders>
              <w:right w:val="single" w:sz="8" w:space="0" w:color="000000"/>
            </w:tcBorders>
            <w:tcMar>
              <w:right w:w="60" w:type="dxa"/>
            </w:tcMar>
            <w:vAlign w:val="center"/>
          </w:tcPr>
          <w:p>
            <w:pPr>
              <w:pStyle w:val="TableContents"/>
              <w:bidi w:val="0"/>
              <w:spacing w:before="0" w:after="283"/>
              <w:jc w:val="right"/>
              <w:rPr/>
            </w:pPr>
            <w:r>
              <w:rPr/>
              <w:t> </w:t>
            </w:r>
            <w:r>
              <w:rPr>
                <w:b/>
                <w:sz w:val="16"/>
              </w:rPr>
              <w:t>206,687</w:t>
            </w:r>
          </w:p>
        </w:tc>
        <w:tc>
          <w:tcPr>
            <w:tcW w:w="620" w:type="dxa"/>
            <w:tcBorders/>
            <w:vAlign w:val="center"/>
          </w:tcPr>
          <w:p>
            <w:pPr>
              <w:pStyle w:val="TableContents"/>
              <w:bidi w:val="0"/>
              <w:spacing w:before="0" w:after="283"/>
              <w:jc w:val="center"/>
              <w:rPr>
                <w:b/>
                <w:sz w:val="16"/>
              </w:rPr>
            </w:pPr>
            <w:r>
              <w:rPr>
                <w:b/>
                <w:sz w:val="16"/>
              </w:rPr>
              <w:t>-6.7%</w:t>
            </w:r>
          </w:p>
        </w:tc>
        <w:tc>
          <w:tcPr>
            <w:tcW w:w="560" w:type="dxa"/>
            <w:tcBorders/>
            <w:vAlign w:val="center"/>
          </w:tcPr>
          <w:p>
            <w:pPr>
              <w:pStyle w:val="TableContents"/>
              <w:bidi w:val="0"/>
              <w:spacing w:before="0" w:after="283"/>
              <w:jc w:val="center"/>
              <w:rPr>
                <w:b/>
                <w:sz w:val="16"/>
              </w:rPr>
            </w:pPr>
            <w:r>
              <w:rPr>
                <w:b/>
                <w:sz w:val="16"/>
              </w:rPr>
              <w:t>69.2%</w:t>
            </w:r>
          </w:p>
        </w:tc>
        <w:tc>
          <w:tcPr>
            <w:tcW w:w="860" w:type="dxa"/>
            <w:tcBorders>
              <w:left w:val="single" w:sz="8" w:space="0" w:color="000000"/>
            </w:tcBorders>
            <w:shd w:fill="FFFFFF" w:val="clear"/>
            <w:tcMar>
              <w:left w:w="28" w:type="dxa"/>
            </w:tcMar>
            <w:vAlign w:val="center"/>
          </w:tcPr>
          <w:p>
            <w:pPr>
              <w:pStyle w:val="TableContents"/>
              <w:bidi w:val="0"/>
              <w:spacing w:before="0" w:after="283"/>
              <w:jc w:val="right"/>
              <w:rPr/>
            </w:pPr>
            <w:r>
              <w:rPr/>
              <w:t> </w:t>
            </w:r>
            <w:r>
              <w:rPr>
                <w:b/>
                <w:sz w:val="16"/>
              </w:rPr>
              <w:t>229,525</w:t>
            </w:r>
          </w:p>
        </w:tc>
        <w:tc>
          <w:tcPr>
            <w:tcW w:w="860" w:type="dxa"/>
            <w:tcBorders>
              <w:right w:val="single" w:sz="8" w:space="0" w:color="000000"/>
            </w:tcBorders>
            <w:shd w:fill="FFFFFF" w:val="clear"/>
            <w:tcMar>
              <w:right w:w="60" w:type="dxa"/>
            </w:tcMar>
            <w:vAlign w:val="center"/>
          </w:tcPr>
          <w:p>
            <w:pPr>
              <w:pStyle w:val="TableContents"/>
              <w:bidi w:val="0"/>
              <w:spacing w:before="0" w:after="283"/>
              <w:jc w:val="right"/>
              <w:rPr/>
            </w:pPr>
            <w:r>
              <w:rPr/>
              <w:t> </w:t>
            </w:r>
            <w:r>
              <w:rPr>
                <w:b/>
                <w:sz w:val="16"/>
              </w:rPr>
              <w:t>428,103</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b/>
                <w:sz w:val="16"/>
              </w:rPr>
            </w:pPr>
            <w:r>
              <w:rPr>
                <w:b/>
                <w:sz w:val="16"/>
              </w:rPr>
              <w:t>86.5%</w:t>
            </w:r>
          </w:p>
        </w:tc>
      </w:tr>
      <w:tr>
        <w:trPr/>
        <w:tc>
          <w:tcPr>
            <w:tcW w:w="2696" w:type="dxa"/>
            <w:gridSpan w:val="2"/>
            <w:tcBorders>
              <w:left w:val="single" w:sz="8" w:space="0" w:color="000000"/>
            </w:tcBorders>
            <w:tcMar>
              <w:left w:w="28" w:type="dxa"/>
            </w:tcMar>
            <w:vAlign w:val="center"/>
          </w:tcPr>
          <w:p>
            <w:pPr>
              <w:pStyle w:val="TableContents"/>
              <w:bidi w:val="0"/>
              <w:spacing w:before="0" w:after="283"/>
              <w:jc w:val="left"/>
              <w:rPr>
                <w:sz w:val="16"/>
              </w:rPr>
            </w:pPr>
            <w:r>
              <w:rPr>
                <w:sz w:val="16"/>
              </w:rPr>
              <w:t>Non-controlling interest</w:t>
            </w:r>
          </w:p>
        </w:tc>
        <w:tc>
          <w:tcPr>
            <w:tcW w:w="82" w:type="dxa"/>
            <w:tcBorders/>
            <w:vAlign w:val="center"/>
          </w:tcPr>
          <w:p>
            <w:pPr>
              <w:pStyle w:val="TableContents"/>
              <w:bidi w:val="0"/>
              <w:spacing w:before="0" w:after="283"/>
              <w:jc w:val="left"/>
              <w:rPr/>
            </w:pPr>
            <w:r>
              <w:rPr/>
              <w:t> </w:t>
            </w:r>
          </w:p>
        </w:tc>
        <w:tc>
          <w:tcPr>
            <w:tcW w:w="830" w:type="dxa"/>
            <w:tcBorders>
              <w:left w:val="single" w:sz="8" w:space="0" w:color="000000"/>
            </w:tcBorders>
            <w:tcMar>
              <w:left w:w="28" w:type="dxa"/>
            </w:tcMar>
            <w:vAlign w:val="center"/>
          </w:tcPr>
          <w:p>
            <w:pPr>
              <w:pStyle w:val="TableContents"/>
              <w:bidi w:val="0"/>
              <w:spacing w:before="0" w:after="283"/>
              <w:jc w:val="right"/>
              <w:rPr/>
            </w:pPr>
            <w:r>
              <w:rPr/>
              <w:t> </w:t>
            </w:r>
            <w:r>
              <w:rPr>
                <w:sz w:val="16"/>
              </w:rPr>
              <w:t>-1,763</w:t>
            </w:r>
          </w:p>
        </w:tc>
        <w:tc>
          <w:tcPr>
            <w:tcW w:w="830" w:type="dxa"/>
            <w:tcBorders/>
            <w:vAlign w:val="center"/>
          </w:tcPr>
          <w:p>
            <w:pPr>
              <w:pStyle w:val="TableContents"/>
              <w:bidi w:val="0"/>
              <w:spacing w:before="0" w:after="283"/>
              <w:jc w:val="right"/>
              <w:rPr/>
            </w:pPr>
            <w:r>
              <w:rPr/>
              <w:t> </w:t>
            </w:r>
            <w:r>
              <w:rPr>
                <w:sz w:val="16"/>
              </w:rPr>
              <w:t>-1,607</w:t>
            </w:r>
          </w:p>
        </w:tc>
        <w:tc>
          <w:tcPr>
            <w:tcW w:w="830" w:type="dxa"/>
            <w:tcBorders>
              <w:right w:val="single" w:sz="8" w:space="0" w:color="000000"/>
            </w:tcBorders>
            <w:tcMar>
              <w:right w:w="60" w:type="dxa"/>
            </w:tcMar>
            <w:vAlign w:val="center"/>
          </w:tcPr>
          <w:p>
            <w:pPr>
              <w:pStyle w:val="TableContents"/>
              <w:bidi w:val="0"/>
              <w:spacing w:before="0" w:after="283"/>
              <w:jc w:val="right"/>
              <w:rPr/>
            </w:pPr>
            <w:r>
              <w:rPr/>
              <w:t> </w:t>
            </w:r>
            <w:r>
              <w:rPr>
                <w:sz w:val="16"/>
              </w:rPr>
              <w:t>-1,401</w:t>
            </w:r>
          </w:p>
        </w:tc>
        <w:tc>
          <w:tcPr>
            <w:tcW w:w="620" w:type="dxa"/>
            <w:tcBorders/>
            <w:vAlign w:val="center"/>
          </w:tcPr>
          <w:p>
            <w:pPr>
              <w:pStyle w:val="TableContents"/>
              <w:bidi w:val="0"/>
              <w:spacing w:before="0" w:after="283"/>
              <w:jc w:val="center"/>
              <w:rPr>
                <w:sz w:val="16"/>
              </w:rPr>
            </w:pPr>
            <w:r>
              <w:rPr>
                <w:sz w:val="16"/>
              </w:rPr>
              <w:t>-12.9%</w:t>
            </w:r>
          </w:p>
        </w:tc>
        <w:tc>
          <w:tcPr>
            <w:tcW w:w="560" w:type="dxa"/>
            <w:tcBorders/>
            <w:vAlign w:val="center"/>
          </w:tcPr>
          <w:p>
            <w:pPr>
              <w:pStyle w:val="TableContents"/>
              <w:bidi w:val="0"/>
              <w:spacing w:before="0" w:after="283"/>
              <w:jc w:val="center"/>
              <w:rPr>
                <w:sz w:val="16"/>
              </w:rPr>
            </w:pPr>
            <w:r>
              <w:rPr>
                <w:sz w:val="16"/>
              </w:rPr>
              <w:t>-20.6%</w:t>
            </w:r>
          </w:p>
        </w:tc>
        <w:tc>
          <w:tcPr>
            <w:tcW w:w="860" w:type="dxa"/>
            <w:tcBorders>
              <w:left w:val="single" w:sz="8" w:space="0" w:color="000000"/>
            </w:tcBorders>
            <w:shd w:fill="FFFFFF" w:val="clear"/>
            <w:tcMar>
              <w:left w:w="28" w:type="dxa"/>
            </w:tcMar>
            <w:vAlign w:val="center"/>
          </w:tcPr>
          <w:p>
            <w:pPr>
              <w:pStyle w:val="TableContents"/>
              <w:bidi w:val="0"/>
              <w:spacing w:before="0" w:after="283"/>
              <w:jc w:val="right"/>
              <w:rPr>
                <w:sz w:val="16"/>
              </w:rPr>
            </w:pPr>
            <w:r>
              <w:rPr>
                <w:sz w:val="16"/>
              </w:rPr>
              <w:t>-3,111</w:t>
            </w:r>
          </w:p>
        </w:tc>
        <w:tc>
          <w:tcPr>
            <w:tcW w:w="860" w:type="dxa"/>
            <w:tcBorders>
              <w:right w:val="single" w:sz="8" w:space="0" w:color="000000"/>
            </w:tcBorders>
            <w:shd w:fill="FFFFFF" w:val="clear"/>
            <w:tcMar>
              <w:right w:w="60" w:type="dxa"/>
            </w:tcMar>
            <w:vAlign w:val="center"/>
          </w:tcPr>
          <w:p>
            <w:pPr>
              <w:pStyle w:val="TableContents"/>
              <w:bidi w:val="0"/>
              <w:spacing w:before="0" w:after="283"/>
              <w:jc w:val="right"/>
              <w:rPr>
                <w:sz w:val="16"/>
              </w:rPr>
            </w:pPr>
            <w:r>
              <w:rPr>
                <w:sz w:val="16"/>
              </w:rPr>
              <w:t>-3,008</w:t>
            </w:r>
          </w:p>
        </w:tc>
        <w:tc>
          <w:tcPr>
            <w:tcW w:w="1145" w:type="dxa"/>
            <w:tcBorders>
              <w:right w:val="single" w:sz="8" w:space="0" w:color="000000"/>
            </w:tcBorders>
            <w:shd w:fill="FFFFFF" w:val="clear"/>
            <w:tcMar>
              <w:right w:w="28" w:type="dxa"/>
            </w:tcMar>
            <w:vAlign w:val="center"/>
          </w:tcPr>
          <w:p>
            <w:pPr>
              <w:pStyle w:val="TableContents"/>
              <w:bidi w:val="0"/>
              <w:spacing w:before="0" w:after="283"/>
              <w:jc w:val="center"/>
              <w:rPr>
                <w:sz w:val="16"/>
              </w:rPr>
            </w:pPr>
            <w:r>
              <w:rPr>
                <w:sz w:val="16"/>
              </w:rPr>
              <w:t>-3.3%</w:t>
            </w:r>
          </w:p>
        </w:tc>
      </w:tr>
      <w:tr>
        <w:trPr/>
        <w:tc>
          <w:tcPr>
            <w:tcW w:w="2516"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b/>
                <w:sz w:val="16"/>
              </w:rPr>
            </w:pPr>
            <w:r>
              <w:rPr>
                <w:b/>
                <w:sz w:val="16"/>
              </w:rPr>
              <w:t>Net income</w:t>
            </w:r>
          </w:p>
        </w:tc>
        <w:tc>
          <w:tcPr>
            <w:tcW w:w="180"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right"/>
              <w:rPr>
                <w:b/>
                <w:sz w:val="16"/>
              </w:rPr>
            </w:pPr>
            <w:r>
              <w:rPr>
                <w:b/>
                <w:sz w:val="16"/>
              </w:rPr>
              <w:t>120,416</w:t>
            </w:r>
          </w:p>
        </w:tc>
        <w:tc>
          <w:tcPr>
            <w:tcW w:w="830" w:type="dxa"/>
            <w:tcBorders>
              <w:bottom w:val="single" w:sz="8" w:space="0" w:color="000000"/>
            </w:tcBorders>
            <w:tcMar>
              <w:bottom w:w="28" w:type="dxa"/>
            </w:tcMar>
            <w:vAlign w:val="center"/>
          </w:tcPr>
          <w:p>
            <w:pPr>
              <w:pStyle w:val="TableContents"/>
              <w:bidi w:val="0"/>
              <w:spacing w:before="0" w:after="283"/>
              <w:jc w:val="right"/>
              <w:rPr/>
            </w:pPr>
            <w:r>
              <w:rPr/>
              <w:t> </w:t>
            </w:r>
            <w:r>
              <w:rPr>
                <w:b/>
                <w:sz w:val="16"/>
              </w:rPr>
              <w:t>219,808</w:t>
            </w:r>
          </w:p>
        </w:tc>
        <w:tc>
          <w:tcPr>
            <w:tcW w:w="830" w:type="dxa"/>
            <w:tcBorders>
              <w:bottom w:val="single" w:sz="8" w:space="0" w:color="000000"/>
              <w:right w:val="single" w:sz="8" w:space="0" w:color="000000"/>
            </w:tcBorders>
            <w:tcMar>
              <w:bottom w:w="28" w:type="dxa"/>
              <w:right w:w="60" w:type="dxa"/>
            </w:tcMar>
            <w:vAlign w:val="center"/>
          </w:tcPr>
          <w:p>
            <w:pPr>
              <w:pStyle w:val="TableContents"/>
              <w:bidi w:val="0"/>
              <w:spacing w:before="0" w:after="283"/>
              <w:jc w:val="right"/>
              <w:rPr/>
            </w:pPr>
            <w:r>
              <w:rPr/>
              <w:t> </w:t>
            </w:r>
            <w:r>
              <w:rPr>
                <w:b/>
                <w:sz w:val="16"/>
              </w:rPr>
              <w:t>205,286</w:t>
            </w:r>
          </w:p>
        </w:tc>
        <w:tc>
          <w:tcPr>
            <w:tcW w:w="62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-6.6%</w:t>
            </w:r>
          </w:p>
        </w:tc>
        <w:tc>
          <w:tcPr>
            <w:tcW w:w="5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70.5%</w:t>
            </w:r>
          </w:p>
        </w:tc>
        <w:tc>
          <w:tcPr>
            <w:tcW w:w="8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right"/>
              <w:rPr/>
            </w:pPr>
            <w:r>
              <w:rPr/>
              <w:t> </w:t>
            </w:r>
            <w:r>
              <w:rPr>
                <w:b/>
                <w:sz w:val="16"/>
              </w:rPr>
              <w:t>226,414</w:t>
            </w:r>
          </w:p>
        </w:tc>
        <w:tc>
          <w:tcPr>
            <w:tcW w:w="860" w:type="dxa"/>
            <w:tcBorders>
              <w:bottom w:val="single" w:sz="8" w:space="0" w:color="000000"/>
              <w:right w:val="single" w:sz="8" w:space="0" w:color="000000"/>
            </w:tcBorders>
            <w:shd w:fill="FFFFFF" w:val="clear"/>
            <w:tcMar>
              <w:bottom w:w="28" w:type="dxa"/>
              <w:right w:w="60" w:type="dxa"/>
            </w:tcMar>
            <w:vAlign w:val="center"/>
          </w:tcPr>
          <w:p>
            <w:pPr>
              <w:pStyle w:val="TableContents"/>
              <w:bidi w:val="0"/>
              <w:spacing w:before="0" w:after="283"/>
              <w:jc w:val="right"/>
              <w:rPr/>
            </w:pPr>
            <w:r>
              <w:rPr/>
              <w:t> </w:t>
            </w:r>
            <w:r>
              <w:rPr>
                <w:b/>
                <w:sz w:val="16"/>
              </w:rPr>
              <w:t>425,094</w:t>
            </w:r>
          </w:p>
        </w:tc>
        <w:tc>
          <w:tcPr>
            <w:tcW w:w="1145"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center"/>
              <w:rPr>
                <w:b/>
                <w:sz w:val="16"/>
              </w:rPr>
            </w:pPr>
            <w:r>
              <w:rPr>
                <w:b/>
                <w:sz w:val="16"/>
              </w:rPr>
              <w:t>87.8%</w:t>
            </w:r>
          </w:p>
        </w:tc>
      </w:tr>
    </w:tbl>
    <w:p>
      <w:pPr>
        <w:pStyle w:val="TextBody"/>
        <w:bidi w:val="0"/>
        <w:spacing w:before="0" w:after="0"/>
        <w:ind w:left="72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*Financial statements without consolidation adjustments.</w:t>
        <w:br/>
        <w:t>(1) Excluding investments in real estate.</w:t>
      </w:r>
    </w:p>
    <w:p>
      <w:pPr>
        <w:pStyle w:val="TextBody"/>
        <w:bidi w:val="0"/>
        <w:spacing w:before="0" w:after="0"/>
        <w:ind w:left="851"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1Q15 and on, Grupo Pacifico’s financial statements reflect the agreement with Banmedica (in equal parts) of the businesses of: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private health insurance managed by Grupo Pacifico and included in its Financial Statements in each of the accounting lines;</w:t>
            </w:r>
          </w:p>
        </w:tc>
      </w:tr>
    </w:tbl>
    <w:tbl>
      <w:tblPr>
        <w:tblW w:w="5000" w:type="pct"/>
        <w:jc w:val="left"/>
        <w:tblInd w:w="0" w:type="dxa"/>
        <w:tblLayout w:type="fixed"/>
        <w:tblCellMar>
          <w:top w:w="0" w:type="dxa"/>
          <w:left w:w="0" w:type="dxa"/>
          <w:bottom w:w="0" w:type="dxa"/>
          <w:right w:w="0" w:type="dxa"/>
        </w:tblCellMar>
      </w:tblPr>
      <w:tblGrid>
        <w:gridCol w:w="66"/>
        <w:gridCol w:w="296"/>
        <w:gridCol w:w="9843"/>
      </w:tblGrid>
      <w:tr>
        <w:trPr/>
        <w:tc>
          <w:tcPr>
            <w:tcW w:w="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w:t>
            </w:r>
          </w:p>
        </w:tc>
        <w:tc>
          <w:tcPr>
            <w:tcW w:w="98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corporate health insurance (dependent workers); and</w:t>
            </w:r>
          </w:p>
        </w:tc>
      </w:tr>
    </w:tbl>
    <w:tbl>
      <w:tblPr>
        <w:tblW w:w="5000" w:type="pct"/>
        <w:jc w:val="left"/>
        <w:tblInd w:w="0" w:type="dxa"/>
        <w:tblLayout w:type="fixed"/>
        <w:tblCellMar>
          <w:top w:w="0" w:type="dxa"/>
          <w:left w:w="0" w:type="dxa"/>
          <w:bottom w:w="0" w:type="dxa"/>
          <w:right w:w="0" w:type="dxa"/>
        </w:tblCellMar>
      </w:tblPr>
      <w:tblGrid>
        <w:gridCol w:w="185"/>
        <w:gridCol w:w="831"/>
        <w:gridCol w:w="9189"/>
      </w:tblGrid>
      <w:tr>
        <w:trPr/>
        <w:tc>
          <w:tcPr>
            <w:tcW w:w="1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pPr>
            <w:r>
              <w:rPr/>
              <w:t>●</w:t>
            </w:r>
          </w:p>
        </w:tc>
        <w:tc>
          <w:tcPr>
            <w:tcW w:w="9189"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medical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explained before, corporate health insurance and medical services businesses are consolidated by Banmedica. The following table reflects the consolidated results from which Grupo Pacifico receives the 50%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74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41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pPr>
            <w:r>
              <w:rPr/>
              <w:drawing>
                <wp:inline distT="0" distB="0" distL="0" distR="0">
                  <wp:extent cx="1428750" cy="171450"/>
                  <wp:effectExtent l="0" t="0" r="0" b="0"/>
                  <wp:docPr id="19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41" descr=""/>
                          <pic:cNvPicPr>
                            <a:picLocks noChangeAspect="1" noChangeArrowheads="1"/>
                          </pic:cNvPicPr>
                        </pic:nvPicPr>
                        <pic:blipFill>
                          <a:blip r:embed="rId160"/>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color w:val="E93CAC"/>
                <w:sz w:val="22"/>
              </w:rPr>
            </w:pPr>
            <w:r>
              <w:rPr>
                <w:rFonts w:ascii="Arial;Helvetica;Sans-Serif" w:hAnsi="Arial;Helvetica;Sans-Serif"/>
                <w:b/>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olor w:val="FFFFFF"/>
              </w:rPr>
            </w:pPr>
            <w:r>
              <w:rPr>
                <w:color w:val="FFFFFF"/>
              </w:rPr>
              <w:t> </w:t>
            </w:r>
          </w:p>
        </w:tc>
        <w:tc>
          <w:tcPr>
            <w:tcW w:w="65" w:type="dxa"/>
            <w:tcBorders/>
            <w:shd w:fill="000000" w:val="clear"/>
            <w:vAlign w:val="center"/>
          </w:tcPr>
          <w:p>
            <w:pPr>
              <w:pStyle w:val="TableContents"/>
              <w:bidi w:val="0"/>
              <w:spacing w:before="0" w:after="283"/>
              <w:jc w:val="left"/>
              <w:rPr>
                <w:color w:val="FFFFFF"/>
              </w:rPr>
            </w:pPr>
            <w:r>
              <w:rPr>
                <w:color w:val="FFFFFF"/>
              </w:rPr>
              <w:t> </w:t>
            </w:r>
          </w:p>
        </w:tc>
        <w:tc>
          <w:tcPr>
            <w:tcW w:w="2555" w:type="dxa"/>
            <w:tcBorders/>
            <w:shd w:fill="000000" w:val="clear"/>
            <w:vAlign w:val="center"/>
          </w:tcPr>
          <w:p>
            <w:pPr>
              <w:pStyle w:val="TableContents"/>
              <w:bidi w:val="0"/>
              <w:spacing w:before="0" w:after="283"/>
              <w:jc w:val="left"/>
              <w:rPr>
                <w:color w:val="FFFFFF"/>
              </w:rPr>
            </w:pPr>
            <w:r>
              <w:rPr>
                <w:color w:val="FFFFFF"/>
              </w:rPr>
              <w:t> </w:t>
            </w:r>
          </w:p>
        </w:tc>
        <w:tc>
          <w:tcPr>
            <w:tcW w:w="4115" w:type="dxa"/>
            <w:tcBorders/>
            <w:shd w:fill="000000" w:val="clear"/>
            <w:vAlign w:val="center"/>
          </w:tcPr>
          <w:p>
            <w:pPr>
              <w:pStyle w:val="TableContents"/>
              <w:bidi w:val="0"/>
              <w:spacing w:before="0" w:after="283"/>
              <w:jc w:val="left"/>
              <w:rPr/>
            </w:pPr>
            <w:r>
              <w:rPr/>
              <w:t> </w:t>
            </w:r>
          </w:p>
        </w:tc>
      </w:tr>
    </w:tbl>
    <w:tbl>
      <w:tblPr>
        <w:tblW w:w="1550" w:type="dxa"/>
        <w:jc w:val="left"/>
        <w:tblInd w:w="0" w:type="dxa"/>
        <w:tblLayout w:type="fixed"/>
        <w:tblCellMar>
          <w:top w:w="0" w:type="dxa"/>
          <w:left w:w="0" w:type="dxa"/>
          <w:bottom w:w="0" w:type="dxa"/>
          <w:right w:w="0" w:type="dxa"/>
        </w:tblCellMar>
      </w:tblPr>
      <w:tblGrid>
        <w:gridCol w:w="1550"/>
      </w:tblGrid>
      <w:tr>
        <w:trPr/>
        <w:tc>
          <w:tcPr>
            <w:tcW w:w="1550" w:type="dxa"/>
            <w:tcBorders/>
            <w:shd w:fill="E93CAC" w:val="clear"/>
            <w:vAlign w:val="center"/>
          </w:tcPr>
          <w:p>
            <w:pPr>
              <w:pStyle w:val="TableContents"/>
              <w:bidi w:val="0"/>
              <w:spacing w:before="0" w:after="283"/>
              <w:jc w:val="left"/>
              <w:rPr>
                <w:rFonts w:ascii="Arial;Helvetica;Sans-Serif" w:hAnsi="Arial;Helvetica;Sans-Serif"/>
                <w:b/>
                <w:color w:val="FFFFFF"/>
                <w:sz w:val="24"/>
              </w:rPr>
            </w:pPr>
            <w:r>
              <w:rPr>
                <w:rFonts w:ascii="Arial;Helvetica;Sans-Serif" w:hAnsi="Arial;Helvetica;Sans-Serif"/>
                <w:b/>
                <w:color w:val="FFFFFF"/>
                <w:sz w:val="24"/>
              </w:rPr>
              <w:t>12. Appendix</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Corporate health insurance and Medical services (1)</w:t>
      </w:r>
    </w:p>
    <w:p>
      <w:pPr>
        <w:pStyle w:val="TextBody"/>
        <w:bidi w:val="0"/>
        <w:spacing w:before="0" w:after="0"/>
        <w:jc w:val="center"/>
        <w:rPr>
          <w:rFonts w:ascii="Times New Roman;Times;Serif" w:hAnsi="Times New Roman;Times;Serif"/>
          <w:b w:val="false"/>
          <w:i w:val="false"/>
          <w:caps w:val="false"/>
          <w:smallCaps w:val="false"/>
          <w:color w:val="FF0000"/>
          <w:sz w:val="18"/>
        </w:rPr>
      </w:pPr>
      <w:r>
        <w:rPr>
          <w:rFonts w:ascii="Arial;Helvetica;Sans-Serif" w:hAnsi="Arial;Helvetica;Sans-Serif"/>
          <w:b w:val="false"/>
          <w:i w:val="false"/>
          <w:caps w:val="false"/>
          <w:smallCaps w:val="false"/>
          <w:color w:val="000000"/>
          <w:sz w:val="20"/>
        </w:rPr>
        <w:t>(S/ in thousands )</w:t>
      </w:r>
      <w:r>
        <w:rPr>
          <w:rFonts w:ascii="Times New Roman;Times;Serif" w:hAnsi="Times New Roman;Times;Serif"/>
          <w:b w:val="false"/>
          <w:i w:val="false"/>
          <w:caps w:val="false"/>
          <w:smallCaps w:val="false"/>
          <w:color w:val="FF0000"/>
          <w:sz w:val="18"/>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9090" w:type="dxa"/>
        <w:jc w:val="left"/>
        <w:tblInd w:w="0" w:type="dxa"/>
        <w:tblLayout w:type="fixed"/>
        <w:tblCellMar>
          <w:top w:w="0" w:type="dxa"/>
          <w:left w:w="0" w:type="dxa"/>
          <w:bottom w:w="0" w:type="dxa"/>
          <w:right w:w="28" w:type="dxa"/>
        </w:tblCellMar>
      </w:tblPr>
      <w:tblGrid>
        <w:gridCol w:w="2810"/>
        <w:gridCol w:w="725"/>
        <w:gridCol w:w="725"/>
        <w:gridCol w:w="725"/>
        <w:gridCol w:w="635"/>
        <w:gridCol w:w="815"/>
        <w:gridCol w:w="725"/>
        <w:gridCol w:w="725"/>
        <w:gridCol w:w="1205"/>
      </w:tblGrid>
      <w:tr>
        <w:trPr/>
        <w:tc>
          <w:tcPr>
            <w:tcW w:w="2810" w:type="dxa"/>
            <w:tcBorders>
              <w:right w:val="single" w:sz="8" w:space="0" w:color="000000"/>
            </w:tcBorders>
            <w:shd w:fill="FFFFFF" w:val="clear"/>
            <w:vAlign w:val="center"/>
          </w:tcPr>
          <w:p>
            <w:pPr>
              <w:pStyle w:val="TableContents"/>
              <w:bidi w:val="0"/>
              <w:spacing w:before="0" w:after="283"/>
              <w:jc w:val="center"/>
              <w:rPr/>
            </w:pPr>
            <w:r>
              <w:rPr/>
              <w:t> </w:t>
            </w:r>
          </w:p>
        </w:tc>
        <w:tc>
          <w:tcPr>
            <w:tcW w:w="2175" w:type="dxa"/>
            <w:gridSpan w:val="3"/>
            <w:tcBorders>
              <w:top w:val="single" w:sz="8" w:space="0" w:color="000000"/>
              <w:right w:val="single" w:sz="8" w:space="0" w:color="000000"/>
            </w:tcBorders>
            <w:shd w:fill="3BC6CD" w:val="clear"/>
            <w:tcMar>
              <w:top w:w="28" w:type="dxa"/>
              <w:right w:w="6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Quarter</w:t>
            </w:r>
          </w:p>
        </w:tc>
        <w:tc>
          <w:tcPr>
            <w:tcW w:w="1450" w:type="dxa"/>
            <w:gridSpan w:val="2"/>
            <w:tcBorders>
              <w:top w:val="single" w:sz="8" w:space="0" w:color="000000"/>
              <w:right w:val="single" w:sz="8" w:space="0" w:color="000000"/>
            </w:tcBorders>
            <w:shd w:fill="3BC6CD" w:val="clear"/>
            <w:tcMar>
              <w:top w:w="28" w:type="dxa"/>
            </w:tcMar>
            <w:vAlign w:val="center"/>
          </w:tcPr>
          <w:p>
            <w:pPr>
              <w:pStyle w:val="TableContents"/>
              <w:bidi w:val="0"/>
              <w:spacing w:before="0" w:after="283"/>
              <w:jc w:val="center"/>
              <w:rPr>
                <w:color w:val="FFFFFF"/>
              </w:rPr>
            </w:pPr>
            <w:r>
              <w:rPr>
                <w:color w:val="FFFFFF"/>
              </w:rPr>
              <w:t> </w:t>
            </w:r>
            <w:r>
              <w:rPr>
                <w:rFonts w:ascii="Arial;Helvetica;Sans-Serif" w:hAnsi="Arial;Helvetica;Sans-Serif"/>
                <w:b/>
                <w:color w:val="FFFFFF"/>
                <w:sz w:val="16"/>
              </w:rPr>
              <w:t>% change</w:t>
            </w:r>
          </w:p>
        </w:tc>
        <w:tc>
          <w:tcPr>
            <w:tcW w:w="1450" w:type="dxa"/>
            <w:gridSpan w:val="2"/>
            <w:tcBorders>
              <w:top w:val="single" w:sz="8" w:space="0" w:color="000000"/>
              <w:right w:val="single" w:sz="8" w:space="0" w:color="000000"/>
            </w:tcBorders>
            <w:shd w:fill="3BC6CD" w:val="clear"/>
            <w:tcMar>
              <w:top w:w="28" w:type="dxa"/>
              <w:right w:w="60" w:type="dxa"/>
            </w:tcMar>
            <w:vAlign w:val="center"/>
          </w:tcPr>
          <w:p>
            <w:pPr>
              <w:pStyle w:val="TableContents"/>
              <w:bidi w:val="0"/>
              <w:spacing w:before="0" w:after="283"/>
              <w:jc w:val="center"/>
              <w:rPr>
                <w:color w:val="FFFFFF"/>
              </w:rPr>
            </w:pPr>
            <w:r>
              <w:rPr>
                <w:color w:val="FFFFFF"/>
              </w:rPr>
              <w:t> </w:t>
            </w:r>
            <w:r>
              <w:rPr>
                <w:rFonts w:ascii="Arial;Helvetica;Sans-Serif" w:hAnsi="Arial;Helvetica;Sans-Serif"/>
                <w:b/>
                <w:color w:val="FFFFFF"/>
                <w:sz w:val="16"/>
              </w:rPr>
              <w:t>As of</w:t>
            </w:r>
          </w:p>
        </w:tc>
        <w:tc>
          <w:tcPr>
            <w:tcW w:w="1205" w:type="dxa"/>
            <w:tcBorders>
              <w:top w:val="single" w:sz="8" w:space="0" w:color="000000"/>
              <w:right w:val="single" w:sz="8" w:space="0" w:color="000000"/>
            </w:tcBorders>
            <w:shd w:fill="3BC6CD" w:val="clear"/>
            <w:tcMar>
              <w:top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r>
      <w:tr>
        <w:trPr/>
        <w:tc>
          <w:tcPr>
            <w:tcW w:w="2810" w:type="dxa"/>
            <w:tcBorders>
              <w:right w:val="single" w:sz="8" w:space="0" w:color="000000"/>
            </w:tcBorders>
            <w:shd w:fill="FFFFFF" w:val="clear"/>
            <w:vAlign w:val="center"/>
          </w:tcPr>
          <w:p>
            <w:pPr>
              <w:pStyle w:val="TableContents"/>
              <w:bidi w:val="0"/>
              <w:spacing w:before="0" w:after="283"/>
              <w:jc w:val="center"/>
              <w:rPr/>
            </w:pPr>
            <w:r>
              <w:rPr/>
              <w:t> </w:t>
            </w:r>
          </w:p>
        </w:tc>
        <w:tc>
          <w:tcPr>
            <w:tcW w:w="725" w:type="dxa"/>
            <w:tcBorders/>
            <w:shd w:fill="3BC6CD" w:val="clear"/>
            <w:tcMar>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2Q22</w:t>
            </w:r>
          </w:p>
        </w:tc>
        <w:tc>
          <w:tcPr>
            <w:tcW w:w="725" w:type="dxa"/>
            <w:tcBorders/>
            <w:shd w:fill="3BC6CD" w:val="clear"/>
            <w:tcMar>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1Q23</w:t>
            </w:r>
          </w:p>
        </w:tc>
        <w:tc>
          <w:tcPr>
            <w:tcW w:w="725" w:type="dxa"/>
            <w:tcBorders>
              <w:right w:val="single" w:sz="8" w:space="0" w:color="000000"/>
            </w:tcBorders>
            <w:shd w:fill="3BC6CD" w:val="clear"/>
            <w:tcMar>
              <w:right w:w="6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2Q23</w:t>
            </w:r>
          </w:p>
        </w:tc>
        <w:tc>
          <w:tcPr>
            <w:tcW w:w="635" w:type="dxa"/>
            <w:tcBorders/>
            <w:shd w:fill="3BC6CD" w:val="clear"/>
            <w:tcMar>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QoQ</w:t>
            </w:r>
          </w:p>
        </w:tc>
        <w:tc>
          <w:tcPr>
            <w:tcW w:w="815" w:type="dxa"/>
            <w:tcBorders>
              <w:right w:val="single" w:sz="8" w:space="0" w:color="000000"/>
            </w:tcBorders>
            <w:shd w:fill="3BC6CD"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YoY</w:t>
            </w:r>
          </w:p>
        </w:tc>
        <w:tc>
          <w:tcPr>
            <w:tcW w:w="725" w:type="dxa"/>
            <w:tcBorders/>
            <w:shd w:fill="3BC6CD" w:val="clear"/>
            <w:tcMar>
              <w:right w:w="0" w:type="dxa"/>
            </w:tcMar>
            <w:vAlign w:val="center"/>
          </w:tcPr>
          <w:p>
            <w:pPr>
              <w:pStyle w:val="TableContents"/>
              <w:bidi w:val="0"/>
              <w:spacing w:before="0" w:after="283"/>
              <w:jc w:val="center"/>
              <w:rPr>
                <w:color w:val="FFFFFF"/>
              </w:rPr>
            </w:pPr>
            <w:r>
              <w:rPr>
                <w:color w:val="FFFFFF"/>
              </w:rPr>
              <w:t> </w:t>
            </w:r>
            <w:r>
              <w:rPr>
                <w:rFonts w:ascii="Arial;Helvetica;Sans-Serif" w:hAnsi="Arial;Helvetica;Sans-Serif"/>
                <w:b/>
                <w:color w:val="FFFFFF"/>
                <w:sz w:val="16"/>
              </w:rPr>
              <w:t>Jun 22 </w:t>
            </w:r>
          </w:p>
        </w:tc>
        <w:tc>
          <w:tcPr>
            <w:tcW w:w="725" w:type="dxa"/>
            <w:tcBorders>
              <w:right w:val="single" w:sz="8" w:space="0" w:color="000000"/>
            </w:tcBorders>
            <w:shd w:fill="3BC6CD" w:val="clear"/>
            <w:tcMar>
              <w:right w:w="60" w:type="dxa"/>
            </w:tcMar>
            <w:vAlign w:val="center"/>
          </w:tcPr>
          <w:p>
            <w:pPr>
              <w:pStyle w:val="TableContents"/>
              <w:bidi w:val="0"/>
              <w:spacing w:before="0" w:after="283"/>
              <w:jc w:val="center"/>
              <w:rPr>
                <w:color w:val="FFFFFF"/>
              </w:rPr>
            </w:pPr>
            <w:r>
              <w:rPr>
                <w:color w:val="FFFFFF"/>
              </w:rPr>
              <w:t> </w:t>
            </w:r>
            <w:r>
              <w:rPr>
                <w:rFonts w:ascii="Arial;Helvetica;Sans-Serif" w:hAnsi="Arial;Helvetica;Sans-Serif"/>
                <w:b/>
                <w:color w:val="FFFFFF"/>
                <w:sz w:val="16"/>
              </w:rPr>
              <w:t>Jun 23 </w:t>
            </w:r>
          </w:p>
        </w:tc>
        <w:tc>
          <w:tcPr>
            <w:tcW w:w="1205" w:type="dxa"/>
            <w:tcBorders>
              <w:right w:val="single" w:sz="8" w:space="0" w:color="000000"/>
            </w:tcBorders>
            <w:shd w:fill="3BC6CD"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23 / Jun 22</w:t>
            </w:r>
          </w:p>
        </w:tc>
      </w:tr>
      <w:tr>
        <w:trPr/>
        <w:tc>
          <w:tcPr>
            <w:tcW w:w="2810" w:type="dxa"/>
            <w:tcBorders>
              <w:top w:val="single" w:sz="8" w:space="0" w:color="000000"/>
              <w:left w:val="single" w:sz="8" w:space="0" w:color="000000"/>
              <w:right w:val="single" w:sz="8" w:space="0" w:color="000000"/>
            </w:tcBorders>
            <w:shd w:fill="FFFFFF" w:val="clear"/>
            <w:tcMar>
              <w:top w:w="28" w:type="dxa"/>
              <w:left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Results</w:t>
            </w:r>
          </w:p>
        </w:tc>
        <w:tc>
          <w:tcPr>
            <w:tcW w:w="725" w:type="dxa"/>
            <w:tcBorders>
              <w:top w:val="single" w:sz="8" w:space="0" w:color="000000"/>
            </w:tcBorders>
            <w:tcMar>
              <w:top w:w="28" w:type="dxa"/>
              <w:right w:w="0" w:type="dxa"/>
            </w:tcMar>
            <w:vAlign w:val="center"/>
          </w:tcPr>
          <w:p>
            <w:pPr>
              <w:pStyle w:val="TableContents"/>
              <w:bidi w:val="0"/>
              <w:spacing w:before="0" w:after="283"/>
              <w:jc w:val="right"/>
              <w:rPr/>
            </w:pPr>
            <w:r>
              <w:rPr/>
              <w:t> </w:t>
            </w:r>
          </w:p>
        </w:tc>
        <w:tc>
          <w:tcPr>
            <w:tcW w:w="725" w:type="dxa"/>
            <w:tcBorders>
              <w:top w:val="single" w:sz="8" w:space="0" w:color="000000"/>
            </w:tcBorders>
            <w:tcMar>
              <w:top w:w="28" w:type="dxa"/>
              <w:right w:w="0" w:type="dxa"/>
            </w:tcMar>
            <w:vAlign w:val="center"/>
          </w:tcPr>
          <w:p>
            <w:pPr>
              <w:pStyle w:val="TableContents"/>
              <w:bidi w:val="0"/>
              <w:spacing w:before="0" w:after="283"/>
              <w:jc w:val="right"/>
              <w:rPr/>
            </w:pPr>
            <w:r>
              <w:rPr/>
              <w:t> </w:t>
            </w:r>
          </w:p>
        </w:tc>
        <w:tc>
          <w:tcPr>
            <w:tcW w:w="725" w:type="dxa"/>
            <w:tcBorders>
              <w:top w:val="single" w:sz="8" w:space="0" w:color="000000"/>
              <w:right w:val="single" w:sz="8" w:space="0" w:color="000000"/>
            </w:tcBorders>
            <w:tcMar>
              <w:top w:w="28" w:type="dxa"/>
              <w:right w:w="60" w:type="dxa"/>
            </w:tcMar>
            <w:vAlign w:val="center"/>
          </w:tcPr>
          <w:p>
            <w:pPr>
              <w:pStyle w:val="TableContents"/>
              <w:bidi w:val="0"/>
              <w:spacing w:before="0" w:after="283"/>
              <w:jc w:val="right"/>
              <w:rPr/>
            </w:pPr>
            <w:r>
              <w:rPr/>
              <w:t> </w:t>
            </w:r>
          </w:p>
        </w:tc>
        <w:tc>
          <w:tcPr>
            <w:tcW w:w="635" w:type="dxa"/>
            <w:tcBorders>
              <w:top w:val="single" w:sz="8" w:space="0" w:color="000000"/>
            </w:tcBorders>
            <w:shd w:fill="FFFFFF" w:val="clear"/>
            <w:tcMar>
              <w:top w:w="28" w:type="dxa"/>
              <w:right w:w="0" w:type="dxa"/>
            </w:tcMar>
            <w:vAlign w:val="center"/>
          </w:tcPr>
          <w:p>
            <w:pPr>
              <w:pStyle w:val="TableContents"/>
              <w:bidi w:val="0"/>
              <w:spacing w:before="0" w:after="283"/>
              <w:jc w:val="right"/>
              <w:rPr/>
            </w:pPr>
            <w:r>
              <w:rPr/>
              <w:t> </w:t>
            </w:r>
          </w:p>
        </w:tc>
        <w:tc>
          <w:tcPr>
            <w:tcW w:w="815" w:type="dxa"/>
            <w:tcBorders>
              <w:top w:val="single" w:sz="8" w:space="0" w:color="000000"/>
              <w:right w:val="single" w:sz="8" w:space="0" w:color="000000"/>
            </w:tcBorders>
            <w:shd w:fill="FFFFFF" w:val="clear"/>
            <w:tcMar>
              <w:top w:w="28" w:type="dxa"/>
            </w:tcMar>
            <w:vAlign w:val="center"/>
          </w:tcPr>
          <w:p>
            <w:pPr>
              <w:pStyle w:val="TableContents"/>
              <w:bidi w:val="0"/>
              <w:spacing w:before="0" w:after="283"/>
              <w:jc w:val="right"/>
              <w:rPr/>
            </w:pPr>
            <w:r>
              <w:rPr/>
              <w:t> </w:t>
            </w:r>
          </w:p>
        </w:tc>
        <w:tc>
          <w:tcPr>
            <w:tcW w:w="725" w:type="dxa"/>
            <w:tcBorders>
              <w:top w:val="single" w:sz="8" w:space="0" w:color="000000"/>
            </w:tcBorders>
            <w:tcMar>
              <w:top w:w="28" w:type="dxa"/>
              <w:right w:w="0" w:type="dxa"/>
            </w:tcMar>
            <w:vAlign w:val="center"/>
          </w:tcPr>
          <w:p>
            <w:pPr>
              <w:pStyle w:val="TableContents"/>
              <w:bidi w:val="0"/>
              <w:spacing w:before="0" w:after="283"/>
              <w:jc w:val="right"/>
              <w:rPr/>
            </w:pPr>
            <w:r>
              <w:rPr/>
              <w:t> </w:t>
            </w:r>
          </w:p>
        </w:tc>
        <w:tc>
          <w:tcPr>
            <w:tcW w:w="725" w:type="dxa"/>
            <w:tcBorders>
              <w:top w:val="single" w:sz="8" w:space="0" w:color="000000"/>
              <w:right w:val="single" w:sz="8" w:space="0" w:color="000000"/>
            </w:tcBorders>
            <w:tcMar>
              <w:top w:w="28" w:type="dxa"/>
              <w:right w:w="60" w:type="dxa"/>
            </w:tcMar>
            <w:vAlign w:val="center"/>
          </w:tcPr>
          <w:p>
            <w:pPr>
              <w:pStyle w:val="TableContents"/>
              <w:bidi w:val="0"/>
              <w:spacing w:before="0" w:after="283"/>
              <w:jc w:val="right"/>
              <w:rPr/>
            </w:pPr>
            <w:r>
              <w:rPr/>
              <w:t> </w:t>
            </w:r>
          </w:p>
        </w:tc>
        <w:tc>
          <w:tcPr>
            <w:tcW w:w="1205" w:type="dxa"/>
            <w:tcBorders>
              <w:top w:val="single" w:sz="8" w:space="0" w:color="000000"/>
              <w:right w:val="single" w:sz="8" w:space="0" w:color="000000"/>
            </w:tcBorders>
            <w:shd w:fill="FFFFFF" w:val="clear"/>
            <w:tcMar>
              <w:top w:w="28" w:type="dxa"/>
            </w:tcMar>
            <w:vAlign w:val="center"/>
          </w:tcPr>
          <w:p>
            <w:pPr>
              <w:pStyle w:val="TableContents"/>
              <w:bidi w:val="0"/>
              <w:spacing w:before="0" w:after="283"/>
              <w:jc w:val="right"/>
              <w:rPr/>
            </w:pPr>
            <w:r>
              <w:rPr/>
              <w:t> </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earned premiums</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315,592</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340,905</w:t>
            </w:r>
          </w:p>
        </w:tc>
        <w:tc>
          <w:tcPr>
            <w:tcW w:w="725" w:type="dxa"/>
            <w:tcBorders>
              <w:right w:val="single" w:sz="8" w:space="0" w:color="000000"/>
            </w:tcBorders>
            <w:tcMar>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325,488</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3.1%</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629,954</w:t>
            </w:r>
          </w:p>
        </w:tc>
        <w:tc>
          <w:tcPr>
            <w:tcW w:w="725" w:type="dxa"/>
            <w:tcBorders>
              <w:right w:val="single" w:sz="8" w:space="0" w:color="000000"/>
            </w:tcBorders>
            <w:tcMar>
              <w:right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666,393</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5.8%</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claims </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(266,259)</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(259,039)</w:t>
            </w:r>
          </w:p>
        </w:tc>
        <w:tc>
          <w:tcPr>
            <w:tcW w:w="725" w:type="dxa"/>
            <w:tcBorders>
              <w:righ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(277,753)</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7.2%</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4.3%</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(542,341)</w:t>
            </w:r>
          </w:p>
        </w:tc>
        <w:tc>
          <w:tcPr>
            <w:tcW w:w="725" w:type="dxa"/>
            <w:tcBorders>
              <w:righ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(536,792)</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fees</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(13,395)</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(14,627)</w:t>
            </w:r>
          </w:p>
        </w:tc>
        <w:tc>
          <w:tcPr>
            <w:tcW w:w="725" w:type="dxa"/>
            <w:tcBorders>
              <w:righ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(14,344)</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-1.9%</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7.1%</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(27,065)</w:t>
            </w:r>
          </w:p>
        </w:tc>
        <w:tc>
          <w:tcPr>
            <w:tcW w:w="725" w:type="dxa"/>
            <w:tcBorders>
              <w:righ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(28,971)</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underwriting expenses</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(2,505)</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(2,995)</w:t>
            </w:r>
          </w:p>
        </w:tc>
        <w:tc>
          <w:tcPr>
            <w:tcW w:w="725" w:type="dxa"/>
            <w:tcBorders>
              <w:righ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(2,903)</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-3.1%</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15.9%</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(5,768)</w:t>
            </w:r>
          </w:p>
        </w:tc>
        <w:tc>
          <w:tcPr>
            <w:tcW w:w="725" w:type="dxa"/>
            <w:tcBorders>
              <w:righ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(5,898)</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2.3%</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Underwriting result </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b/>
                <w:sz w:val="16"/>
              </w:rPr>
              <w:t>33,434</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b/>
                <w:sz w:val="16"/>
              </w:rPr>
              <w:t>64,243</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r>
              <w:rPr>
                <w:rFonts w:ascii="Arial;Helvetica;Sans-Serif" w:hAnsi="Arial;Helvetica;Sans-Serif"/>
                <w:b/>
                <w:sz w:val="16"/>
              </w:rPr>
              <w:t>30,488</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-52.5%</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-8.8%</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b/>
                <w:sz w:val="16"/>
              </w:rPr>
              <w:t>54,780</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r>
              <w:rPr>
                <w:rFonts w:ascii="Arial;Helvetica;Sans-Serif" w:hAnsi="Arial;Helvetica;Sans-Serif"/>
                <w:b/>
                <w:sz w:val="16"/>
              </w:rPr>
              <w:t>94,731</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72.9%</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center"/>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p>
        </w:tc>
        <w:tc>
          <w:tcPr>
            <w:tcW w:w="635" w:type="dxa"/>
            <w:tcBorders/>
            <w:shd w:fill="FFFFFF" w:val="clear"/>
            <w:tcMar>
              <w:right w:w="0" w:type="dxa"/>
            </w:tcMar>
            <w:vAlign w:val="center"/>
          </w:tcPr>
          <w:p>
            <w:pPr>
              <w:pStyle w:val="TableContents"/>
              <w:bidi w:val="0"/>
              <w:spacing w:before="0" w:after="283"/>
              <w:jc w:val="center"/>
              <w:rPr/>
            </w:pPr>
            <w:r>
              <w:rPr/>
              <w:t> </w:t>
            </w:r>
          </w:p>
        </w:tc>
        <w:tc>
          <w:tcPr>
            <w:tcW w:w="815" w:type="dxa"/>
            <w:tcBorders>
              <w:right w:val="single" w:sz="8" w:space="0" w:color="000000"/>
            </w:tcBorders>
            <w:shd w:fill="FFFFFF" w:val="clear"/>
            <w:vAlign w:val="center"/>
          </w:tcPr>
          <w:p>
            <w:pPr>
              <w:pStyle w:val="TableContents"/>
              <w:bidi w:val="0"/>
              <w:spacing w:before="0" w:after="283"/>
              <w:jc w:val="center"/>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p>
        </w:tc>
        <w:tc>
          <w:tcPr>
            <w:tcW w:w="1205" w:type="dxa"/>
            <w:tcBorders>
              <w:right w:val="single" w:sz="8" w:space="0" w:color="000000"/>
            </w:tcBorders>
            <w:shd w:fill="FFFFFF" w:val="clear"/>
            <w:vAlign w:val="center"/>
          </w:tcPr>
          <w:p>
            <w:pPr>
              <w:pStyle w:val="TableContents"/>
              <w:bidi w:val="0"/>
              <w:spacing w:before="0" w:after="283"/>
              <w:jc w:val="center"/>
              <w:rPr/>
            </w:pPr>
            <w:r>
              <w:rPr/>
              <w:t> </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financial income</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1,759</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4,133</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r>
              <w:rPr>
                <w:rFonts w:ascii="Arial;Helvetica;Sans-Serif" w:hAnsi="Arial;Helvetica;Sans-Serif"/>
                <w:sz w:val="16"/>
              </w:rPr>
              <w:t>3,653</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-11.6%</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107.7%</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3,642</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r>
              <w:rPr>
                <w:rFonts w:ascii="Arial;Helvetica;Sans-Serif" w:hAnsi="Arial;Helvetica;Sans-Serif"/>
                <w:sz w:val="16"/>
              </w:rPr>
              <w:t>7,786</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113.8%</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Total expenses</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(20,251)</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(22,469)</w:t>
            </w:r>
          </w:p>
        </w:tc>
        <w:tc>
          <w:tcPr>
            <w:tcW w:w="725" w:type="dxa"/>
            <w:tcBorders>
              <w:righ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(20,237)</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-9.9%</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-0.1%</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(39,122)</w:t>
            </w:r>
          </w:p>
        </w:tc>
        <w:tc>
          <w:tcPr>
            <w:tcW w:w="725" w:type="dxa"/>
            <w:tcBorders>
              <w:righ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(42,706)</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9.2%</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Other income</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40</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2,709</w:t>
            </w:r>
          </w:p>
        </w:tc>
        <w:tc>
          <w:tcPr>
            <w:tcW w:w="725" w:type="dxa"/>
            <w:tcBorders>
              <w:righ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(5,791)</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-313.8%</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-14498.2%</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1,266</w:t>
            </w:r>
          </w:p>
        </w:tc>
        <w:tc>
          <w:tcPr>
            <w:tcW w:w="725" w:type="dxa"/>
            <w:tcBorders>
              <w:righ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(3,083)</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-343.5%</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Traslations results</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1,784</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(1,180)</w:t>
            </w:r>
          </w:p>
        </w:tc>
        <w:tc>
          <w:tcPr>
            <w:tcW w:w="725" w:type="dxa"/>
            <w:tcBorders>
              <w:righ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(2,417)</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104.8%</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-235.5%</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(2,613)</w:t>
            </w:r>
          </w:p>
        </w:tc>
        <w:tc>
          <w:tcPr>
            <w:tcW w:w="725" w:type="dxa"/>
            <w:tcBorders>
              <w:righ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(3,597)</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37.6%</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Income tax</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(6,114)</w:t>
            </w:r>
          </w:p>
        </w:tc>
        <w:tc>
          <w:tcPr>
            <w:tcW w:w="725"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(15,249)</w:t>
            </w:r>
          </w:p>
        </w:tc>
        <w:tc>
          <w:tcPr>
            <w:tcW w:w="725" w:type="dxa"/>
            <w:tcBorders>
              <w:righ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(4,295)</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-71.8%</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-29.8%</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sz w:val="16"/>
              </w:rPr>
              <w:t>(6,537)</w:t>
            </w:r>
          </w:p>
        </w:tc>
        <w:tc>
          <w:tcPr>
            <w:tcW w:w="725" w:type="dxa"/>
            <w:tcBorders>
              <w:righ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(19,544)</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199.0%</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p>
        </w:tc>
        <w:tc>
          <w:tcPr>
            <w:tcW w:w="635" w:type="dxa"/>
            <w:tcBorders/>
            <w:shd w:fill="FFFFFF" w:val="clear"/>
            <w:tcMar>
              <w:right w:w="0" w:type="dxa"/>
            </w:tcMar>
            <w:vAlign w:val="center"/>
          </w:tcPr>
          <w:p>
            <w:pPr>
              <w:pStyle w:val="TableContents"/>
              <w:bidi w:val="0"/>
              <w:spacing w:before="0" w:after="283"/>
              <w:jc w:val="center"/>
              <w:rPr/>
            </w:pPr>
            <w:r>
              <w:rPr/>
              <w:t> </w:t>
            </w:r>
          </w:p>
        </w:tc>
        <w:tc>
          <w:tcPr>
            <w:tcW w:w="815" w:type="dxa"/>
            <w:tcBorders>
              <w:right w:val="single" w:sz="8" w:space="0" w:color="000000"/>
            </w:tcBorders>
            <w:shd w:fill="FFFFFF" w:val="clear"/>
            <w:vAlign w:val="center"/>
          </w:tcPr>
          <w:p>
            <w:pPr>
              <w:pStyle w:val="TableContents"/>
              <w:bidi w:val="0"/>
              <w:spacing w:before="0" w:after="283"/>
              <w:jc w:val="center"/>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p>
        </w:tc>
        <w:tc>
          <w:tcPr>
            <w:tcW w:w="1205" w:type="dxa"/>
            <w:tcBorders>
              <w:right w:val="single" w:sz="8" w:space="0" w:color="000000"/>
            </w:tcBorders>
            <w:shd w:fill="FFFFFF" w:val="clear"/>
            <w:vAlign w:val="center"/>
          </w:tcPr>
          <w:p>
            <w:pPr>
              <w:pStyle w:val="TableContents"/>
              <w:bidi w:val="0"/>
              <w:spacing w:before="0" w:after="283"/>
              <w:jc w:val="center"/>
              <w:rPr/>
            </w:pPr>
            <w:r>
              <w:rPr/>
              <w:t> </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Net income before Medical services</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b/>
                <w:sz w:val="16"/>
              </w:rPr>
              <w:t>10,652</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b/>
                <w:sz w:val="16"/>
              </w:rPr>
              <w:t>32,187</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r>
              <w:rPr>
                <w:rFonts w:ascii="Arial;Helvetica;Sans-Serif" w:hAnsi="Arial;Helvetica;Sans-Serif"/>
                <w:b/>
                <w:sz w:val="16"/>
              </w:rPr>
              <w:t>1,401</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-95.6%</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-86.9%</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b/>
                <w:sz w:val="16"/>
              </w:rPr>
              <w:t>11,415</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r>
              <w:rPr>
                <w:rFonts w:ascii="Arial;Helvetica;Sans-Serif" w:hAnsi="Arial;Helvetica;Sans-Serif"/>
                <w:b/>
                <w:sz w:val="16"/>
              </w:rPr>
              <w:t>33,587</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194.2%</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center"/>
              <w:rPr>
                <w:color w:val="FFFFFF"/>
              </w:rPr>
            </w:pPr>
            <w:r>
              <w:rPr>
                <w:color w:val="FFFFFF"/>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p>
        </w:tc>
        <w:tc>
          <w:tcPr>
            <w:tcW w:w="635" w:type="dxa"/>
            <w:tcBorders/>
            <w:shd w:fill="FFFFFF" w:val="clear"/>
            <w:tcMar>
              <w:right w:w="0" w:type="dxa"/>
            </w:tcMar>
            <w:vAlign w:val="center"/>
          </w:tcPr>
          <w:p>
            <w:pPr>
              <w:pStyle w:val="TableContents"/>
              <w:bidi w:val="0"/>
              <w:spacing w:before="0" w:after="283"/>
              <w:jc w:val="center"/>
              <w:rPr/>
            </w:pPr>
            <w:r>
              <w:rPr/>
              <w:t> </w:t>
            </w:r>
          </w:p>
        </w:tc>
        <w:tc>
          <w:tcPr>
            <w:tcW w:w="815" w:type="dxa"/>
            <w:tcBorders>
              <w:right w:val="single" w:sz="8" w:space="0" w:color="000000"/>
            </w:tcBorders>
            <w:shd w:fill="FFFFFF" w:val="clear"/>
            <w:vAlign w:val="center"/>
          </w:tcPr>
          <w:p>
            <w:pPr>
              <w:pStyle w:val="TableContents"/>
              <w:bidi w:val="0"/>
              <w:spacing w:before="0" w:after="283"/>
              <w:jc w:val="center"/>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p>
        </w:tc>
        <w:tc>
          <w:tcPr>
            <w:tcW w:w="1205" w:type="dxa"/>
            <w:tcBorders>
              <w:right w:val="single" w:sz="8" w:space="0" w:color="000000"/>
            </w:tcBorders>
            <w:shd w:fill="FFFFFF" w:val="clear"/>
            <w:vAlign w:val="center"/>
          </w:tcPr>
          <w:p>
            <w:pPr>
              <w:pStyle w:val="TableContents"/>
              <w:bidi w:val="0"/>
              <w:spacing w:before="0" w:after="283"/>
              <w:jc w:val="center"/>
              <w:rPr/>
            </w:pPr>
            <w:r>
              <w:rPr/>
              <w:t> </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Net income of Medical services</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b/>
                <w:sz w:val="16"/>
              </w:rPr>
              <w:t>25,076</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b/>
                <w:sz w:val="16"/>
              </w:rPr>
              <w:t>28,462</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r>
              <w:rPr>
                <w:rFonts w:ascii="Arial;Helvetica;Sans-Serif" w:hAnsi="Arial;Helvetica;Sans-Serif"/>
                <w:b/>
                <w:sz w:val="16"/>
              </w:rPr>
              <w:t>33,467</w:t>
            </w:r>
          </w:p>
        </w:tc>
        <w:tc>
          <w:tcPr>
            <w:tcW w:w="635" w:type="dxa"/>
            <w:tcBorders/>
            <w:shd w:fill="FFFFFF" w:val="clear"/>
            <w:tcMar>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17.6%</w:t>
            </w:r>
          </w:p>
        </w:tc>
        <w:tc>
          <w:tcPr>
            <w:tcW w:w="81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33.5%</w:t>
            </w:r>
          </w:p>
        </w:tc>
        <w:tc>
          <w:tcPr>
            <w:tcW w:w="725" w:type="dxa"/>
            <w:tcBorders/>
            <w:tcMar>
              <w:right w:w="0" w:type="dxa"/>
            </w:tcMar>
            <w:vAlign w:val="center"/>
          </w:tcPr>
          <w:p>
            <w:pPr>
              <w:pStyle w:val="TableContents"/>
              <w:bidi w:val="0"/>
              <w:spacing w:before="0" w:after="283"/>
              <w:jc w:val="right"/>
              <w:rPr/>
            </w:pPr>
            <w:r>
              <w:rPr/>
              <w:t> </w:t>
            </w:r>
            <w:r>
              <w:rPr>
                <w:rFonts w:ascii="Arial;Helvetica;Sans-Serif" w:hAnsi="Arial;Helvetica;Sans-Serif"/>
                <w:b/>
                <w:sz w:val="16"/>
              </w:rPr>
              <w:t>53,535</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r>
              <w:rPr>
                <w:rFonts w:ascii="Arial;Helvetica;Sans-Serif" w:hAnsi="Arial;Helvetica;Sans-Serif"/>
                <w:b/>
                <w:sz w:val="16"/>
              </w:rPr>
              <w:t>61,930</w:t>
            </w:r>
          </w:p>
        </w:tc>
        <w:tc>
          <w:tcPr>
            <w:tcW w:w="1205" w:type="dxa"/>
            <w:tcBorders>
              <w:right w:val="single" w:sz="8" w:space="0" w:color="000000"/>
            </w:tcBorders>
            <w:shd w:fill="FFFFFF"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15.7%</w:t>
            </w:r>
          </w:p>
        </w:tc>
      </w:tr>
      <w:tr>
        <w:trPr/>
        <w:tc>
          <w:tcPr>
            <w:tcW w:w="2810" w:type="dxa"/>
            <w:tcBorders>
              <w:left w:val="single" w:sz="8" w:space="0" w:color="000000"/>
              <w:right w:val="single" w:sz="8" w:space="0" w:color="000000"/>
            </w:tcBorders>
            <w:shd w:fill="FFFFFF" w:val="clear"/>
            <w:tcMar>
              <w:left w:w="28" w:type="dxa"/>
            </w:tcMar>
            <w:vAlign w:val="center"/>
          </w:tcPr>
          <w:p>
            <w:pPr>
              <w:pStyle w:val="TableContents"/>
              <w:bidi w:val="0"/>
              <w:spacing w:before="0" w:after="283"/>
              <w:jc w:val="center"/>
              <w:rPr>
                <w:color w:val="FFFFFF"/>
              </w:rPr>
            </w:pPr>
            <w:r>
              <w:rPr>
                <w:color w:val="FFFFFF"/>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p>
        </w:tc>
        <w:tc>
          <w:tcPr>
            <w:tcW w:w="635" w:type="dxa"/>
            <w:tcBorders/>
            <w:shd w:fill="FFFFFF" w:val="clear"/>
            <w:tcMar>
              <w:right w:w="0" w:type="dxa"/>
            </w:tcMar>
            <w:vAlign w:val="center"/>
          </w:tcPr>
          <w:p>
            <w:pPr>
              <w:pStyle w:val="TableContents"/>
              <w:bidi w:val="0"/>
              <w:spacing w:before="0" w:after="283"/>
              <w:jc w:val="center"/>
              <w:rPr/>
            </w:pPr>
            <w:r>
              <w:rPr/>
              <w:t> </w:t>
            </w:r>
          </w:p>
        </w:tc>
        <w:tc>
          <w:tcPr>
            <w:tcW w:w="815" w:type="dxa"/>
            <w:tcBorders>
              <w:right w:val="single" w:sz="8" w:space="0" w:color="000000"/>
            </w:tcBorders>
            <w:shd w:fill="FFFFFF" w:val="clear"/>
            <w:vAlign w:val="center"/>
          </w:tcPr>
          <w:p>
            <w:pPr>
              <w:pStyle w:val="TableContents"/>
              <w:bidi w:val="0"/>
              <w:spacing w:before="0" w:after="283"/>
              <w:jc w:val="center"/>
              <w:rPr/>
            </w:pPr>
            <w:r>
              <w:rPr/>
              <w:t> </w:t>
            </w:r>
          </w:p>
        </w:tc>
        <w:tc>
          <w:tcPr>
            <w:tcW w:w="725" w:type="dxa"/>
            <w:tcBorders/>
            <w:tcMar>
              <w:right w:w="0" w:type="dxa"/>
            </w:tcMar>
            <w:vAlign w:val="center"/>
          </w:tcPr>
          <w:p>
            <w:pPr>
              <w:pStyle w:val="TableContents"/>
              <w:bidi w:val="0"/>
              <w:spacing w:before="0" w:after="283"/>
              <w:jc w:val="right"/>
              <w:rPr/>
            </w:pPr>
            <w:r>
              <w:rPr/>
              <w:t> </w:t>
            </w:r>
          </w:p>
        </w:tc>
        <w:tc>
          <w:tcPr>
            <w:tcW w:w="725" w:type="dxa"/>
            <w:tcBorders>
              <w:right w:val="single" w:sz="8" w:space="0" w:color="000000"/>
            </w:tcBorders>
            <w:tcMar>
              <w:right w:w="60" w:type="dxa"/>
            </w:tcMar>
            <w:vAlign w:val="center"/>
          </w:tcPr>
          <w:p>
            <w:pPr>
              <w:pStyle w:val="TableContents"/>
              <w:bidi w:val="0"/>
              <w:spacing w:before="0" w:after="283"/>
              <w:jc w:val="right"/>
              <w:rPr/>
            </w:pPr>
            <w:r>
              <w:rPr/>
              <w:t> </w:t>
            </w:r>
          </w:p>
        </w:tc>
        <w:tc>
          <w:tcPr>
            <w:tcW w:w="1205" w:type="dxa"/>
            <w:tcBorders>
              <w:right w:val="single" w:sz="8" w:space="0" w:color="000000"/>
            </w:tcBorders>
            <w:shd w:fill="FFFFFF" w:val="clear"/>
            <w:vAlign w:val="center"/>
          </w:tcPr>
          <w:p>
            <w:pPr>
              <w:pStyle w:val="TableContents"/>
              <w:bidi w:val="0"/>
              <w:spacing w:before="0" w:after="283"/>
              <w:jc w:val="center"/>
              <w:rPr/>
            </w:pPr>
            <w:r>
              <w:rPr/>
              <w:t> </w:t>
            </w:r>
          </w:p>
        </w:tc>
      </w:tr>
      <w:tr>
        <w:trPr/>
        <w:tc>
          <w:tcPr>
            <w:tcW w:w="2810" w:type="dxa"/>
            <w:tcBorders>
              <w:left w:val="single" w:sz="8" w:space="0" w:color="000000"/>
              <w:bottom w:val="single" w:sz="8" w:space="0" w:color="000000"/>
              <w:right w:val="single" w:sz="8" w:space="0" w:color="000000"/>
            </w:tcBorders>
            <w:shd w:fill="FFFFFF" w:val="clear"/>
            <w:tcMar>
              <w:left w:w="28"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Net income</w:t>
            </w:r>
          </w:p>
        </w:tc>
        <w:tc>
          <w:tcPr>
            <w:tcW w:w="725" w:type="dxa"/>
            <w:tcBorders>
              <w:bottom w:val="single" w:sz="8" w:space="0" w:color="000000"/>
            </w:tcBorders>
            <w:tcMar>
              <w:bottom w:w="28" w:type="dxa"/>
              <w:right w:w="0" w:type="dxa"/>
            </w:tcMar>
            <w:vAlign w:val="center"/>
          </w:tcPr>
          <w:p>
            <w:pPr>
              <w:pStyle w:val="TableContents"/>
              <w:bidi w:val="0"/>
              <w:spacing w:before="0" w:after="283"/>
              <w:jc w:val="right"/>
              <w:rPr/>
            </w:pPr>
            <w:r>
              <w:rPr/>
              <w:t> </w:t>
            </w:r>
            <w:r>
              <w:rPr>
                <w:rFonts w:ascii="Arial;Helvetica;Sans-Serif" w:hAnsi="Arial;Helvetica;Sans-Serif"/>
                <w:b/>
                <w:sz w:val="16"/>
              </w:rPr>
              <w:t>35,728</w:t>
            </w:r>
          </w:p>
        </w:tc>
        <w:tc>
          <w:tcPr>
            <w:tcW w:w="725" w:type="dxa"/>
            <w:tcBorders>
              <w:bottom w:val="single" w:sz="8" w:space="0" w:color="000000"/>
            </w:tcBorders>
            <w:tcMar>
              <w:bottom w:w="28" w:type="dxa"/>
              <w:right w:w="0" w:type="dxa"/>
            </w:tcMar>
            <w:vAlign w:val="center"/>
          </w:tcPr>
          <w:p>
            <w:pPr>
              <w:pStyle w:val="TableContents"/>
              <w:bidi w:val="0"/>
              <w:spacing w:before="0" w:after="283"/>
              <w:jc w:val="right"/>
              <w:rPr/>
            </w:pPr>
            <w:r>
              <w:rPr/>
              <w:t> </w:t>
            </w:r>
            <w:r>
              <w:rPr>
                <w:rFonts w:ascii="Arial;Helvetica;Sans-Serif" w:hAnsi="Arial;Helvetica;Sans-Serif"/>
                <w:b/>
                <w:sz w:val="16"/>
              </w:rPr>
              <w:t>60,649</w:t>
            </w:r>
          </w:p>
        </w:tc>
        <w:tc>
          <w:tcPr>
            <w:tcW w:w="725" w:type="dxa"/>
            <w:tcBorders>
              <w:bottom w:val="single" w:sz="8" w:space="0" w:color="000000"/>
              <w:right w:val="single" w:sz="8" w:space="0" w:color="000000"/>
            </w:tcBorders>
            <w:tcMar>
              <w:bottom w:w="28" w:type="dxa"/>
              <w:right w:w="60" w:type="dxa"/>
            </w:tcMar>
            <w:vAlign w:val="center"/>
          </w:tcPr>
          <w:p>
            <w:pPr>
              <w:pStyle w:val="TableContents"/>
              <w:bidi w:val="0"/>
              <w:spacing w:before="0" w:after="283"/>
              <w:jc w:val="right"/>
              <w:rPr/>
            </w:pPr>
            <w:r>
              <w:rPr/>
              <w:t> </w:t>
            </w:r>
            <w:r>
              <w:rPr>
                <w:rFonts w:ascii="Arial;Helvetica;Sans-Serif" w:hAnsi="Arial;Helvetica;Sans-Serif"/>
                <w:b/>
                <w:sz w:val="16"/>
              </w:rPr>
              <w:t>34,868</w:t>
            </w:r>
          </w:p>
        </w:tc>
        <w:tc>
          <w:tcPr>
            <w:tcW w:w="635" w:type="dxa"/>
            <w:tcBorders>
              <w:bottom w:val="single" w:sz="8" w:space="0" w:color="000000"/>
            </w:tcBorders>
            <w:shd w:fill="FFFFFF" w:val="clear"/>
            <w:tcMar>
              <w:bottom w:w="28" w:type="dxa"/>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-42.5%</w:t>
            </w:r>
          </w:p>
        </w:tc>
        <w:tc>
          <w:tcPr>
            <w:tcW w:w="815" w:type="dxa"/>
            <w:tcBorders>
              <w:bottom w:val="single" w:sz="8" w:space="0" w:color="000000"/>
              <w:right w:val="single" w:sz="8" w:space="0" w:color="000000"/>
            </w:tcBorders>
            <w:shd w:fill="FFFFFF" w:val="clear"/>
            <w:tcMar>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-2.4%</w:t>
            </w:r>
          </w:p>
        </w:tc>
        <w:tc>
          <w:tcPr>
            <w:tcW w:w="725" w:type="dxa"/>
            <w:tcBorders>
              <w:bottom w:val="single" w:sz="8" w:space="0" w:color="000000"/>
            </w:tcBorders>
            <w:tcMar>
              <w:bottom w:w="28" w:type="dxa"/>
              <w:right w:w="0" w:type="dxa"/>
            </w:tcMar>
            <w:vAlign w:val="center"/>
          </w:tcPr>
          <w:p>
            <w:pPr>
              <w:pStyle w:val="TableContents"/>
              <w:bidi w:val="0"/>
              <w:spacing w:before="0" w:after="283"/>
              <w:jc w:val="right"/>
              <w:rPr/>
            </w:pPr>
            <w:r>
              <w:rPr/>
              <w:t> </w:t>
            </w:r>
            <w:r>
              <w:rPr>
                <w:rFonts w:ascii="Arial;Helvetica;Sans-Serif" w:hAnsi="Arial;Helvetica;Sans-Serif"/>
                <w:b/>
                <w:sz w:val="16"/>
              </w:rPr>
              <w:t>64,951</w:t>
            </w:r>
          </w:p>
        </w:tc>
        <w:tc>
          <w:tcPr>
            <w:tcW w:w="725" w:type="dxa"/>
            <w:tcBorders>
              <w:bottom w:val="single" w:sz="8" w:space="0" w:color="000000"/>
              <w:right w:val="single" w:sz="8" w:space="0" w:color="000000"/>
            </w:tcBorders>
            <w:tcMar>
              <w:bottom w:w="28" w:type="dxa"/>
              <w:right w:w="60" w:type="dxa"/>
            </w:tcMar>
            <w:vAlign w:val="center"/>
          </w:tcPr>
          <w:p>
            <w:pPr>
              <w:pStyle w:val="TableContents"/>
              <w:bidi w:val="0"/>
              <w:spacing w:before="0" w:after="283"/>
              <w:jc w:val="right"/>
              <w:rPr/>
            </w:pPr>
            <w:r>
              <w:rPr/>
              <w:t> </w:t>
            </w:r>
            <w:r>
              <w:rPr>
                <w:rFonts w:ascii="Arial;Helvetica;Sans-Serif" w:hAnsi="Arial;Helvetica;Sans-Serif"/>
                <w:b/>
                <w:sz w:val="16"/>
              </w:rPr>
              <w:t>95,517</w:t>
            </w:r>
          </w:p>
        </w:tc>
        <w:tc>
          <w:tcPr>
            <w:tcW w:w="1205" w:type="dxa"/>
            <w:tcBorders>
              <w:bottom w:val="single" w:sz="8" w:space="0" w:color="000000"/>
              <w:right w:val="single" w:sz="8" w:space="0" w:color="000000"/>
            </w:tcBorders>
            <w:shd w:fill="FFFFFF" w:val="clear"/>
            <w:tcMar>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47.1%</w:t>
            </w:r>
          </w:p>
        </w:tc>
      </w:tr>
    </w:tbl>
    <w:p>
      <w:pPr>
        <w:pStyle w:val="TextBody"/>
        <w:bidi w:val="0"/>
        <w:spacing w:before="0" w:after="0"/>
        <w:ind w:left="0"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(1) Reported under IFRS 4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75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41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pPr>
            <w:r>
              <w:rPr/>
              <w:drawing>
                <wp:inline distT="0" distB="0" distL="0" distR="0">
                  <wp:extent cx="1428750" cy="171450"/>
                  <wp:effectExtent l="0" t="0" r="0" b="0"/>
                  <wp:docPr id="20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42" descr=""/>
                          <pic:cNvPicPr>
                            <a:picLocks noChangeAspect="1" noChangeArrowheads="1"/>
                          </pic:cNvPicPr>
                        </pic:nvPicPr>
                        <pic:blipFill>
                          <a:blip r:embed="rId161"/>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i w:val="false"/>
                <w:caps w:val="false"/>
                <w:smallCaps w:val="false"/>
                <w:color w:val="E93CAC"/>
                <w:sz w:val="22"/>
              </w:rPr>
            </w:pPr>
            <w:r>
              <w:rPr>
                <w:rFonts w:ascii="Arial;Helvetica;Sans-Serif" w:hAnsi="Arial;Helvetica;Sans-Serif"/>
                <w:b/>
                <w:i w:val="false"/>
                <w:caps w:val="false"/>
                <w:smallCaps w:val="false"/>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4115" w:type="dxa"/>
            <w:tcBorders/>
            <w:shd w:fill="000000" w:val="clear"/>
            <w:vAlign w:val="center"/>
          </w:tcPr>
          <w:p>
            <w:pPr>
              <w:pStyle w:val="TableContents"/>
              <w:bidi w:val="0"/>
              <w:spacing w:before="0" w:after="283"/>
              <w:jc w:val="left"/>
              <w:rPr/>
            </w:pPr>
            <w:r>
              <w:rPr/>
              <w:t> </w:t>
            </w:r>
          </w:p>
        </w:tc>
      </w:tr>
    </w:tbl>
    <w:tbl>
      <w:tblPr>
        <w:tblW w:w="1550" w:type="dxa"/>
        <w:jc w:val="left"/>
        <w:tblInd w:w="0" w:type="dxa"/>
        <w:tblLayout w:type="fixed"/>
        <w:tblCellMar>
          <w:top w:w="0" w:type="dxa"/>
          <w:left w:w="0" w:type="dxa"/>
          <w:bottom w:w="0" w:type="dxa"/>
          <w:right w:w="0" w:type="dxa"/>
        </w:tblCellMar>
      </w:tblPr>
      <w:tblGrid>
        <w:gridCol w:w="1550"/>
      </w:tblGrid>
      <w:tr>
        <w:trPr/>
        <w:tc>
          <w:tcPr>
            <w:tcW w:w="1550" w:type="dxa"/>
            <w:tcBorders/>
            <w:shd w:fill="E93CAC" w:val="clear"/>
            <w:vAlign w:val="center"/>
          </w:tcPr>
          <w:p>
            <w:pPr>
              <w:pStyle w:val="TableContents"/>
              <w:bidi w:val="0"/>
              <w:spacing w:before="0" w:after="283"/>
              <w:jc w:val="left"/>
              <w:rPr>
                <w:rFonts w:ascii="Arial;Helvetica;Sans-Serif" w:hAnsi="Arial;Helvetica;Sans-Serif"/>
                <w:b/>
                <w:i w:val="false"/>
                <w:caps w:val="false"/>
                <w:smallCaps w:val="false"/>
                <w:color w:val="FFFFFF"/>
                <w:sz w:val="24"/>
              </w:rPr>
            </w:pPr>
            <w:r>
              <w:rPr>
                <w:rFonts w:ascii="Arial;Helvetica;Sans-Serif" w:hAnsi="Arial;Helvetica;Sans-Serif"/>
                <w:b/>
                <w:i w:val="false"/>
                <w:caps w:val="false"/>
                <w:smallCaps w:val="false"/>
                <w:color w:val="FFFFFF"/>
                <w:sz w:val="24"/>
              </w:rPr>
              <w:t>12. Appendix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12.6.9. Investment Banking &amp; Wealth Management</w:t>
      </w:r>
    </w:p>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10" w:type="dxa"/>
        <w:tblLayout w:type="fixed"/>
        <w:tblCellMar>
          <w:top w:w="0" w:type="dxa"/>
          <w:left w:w="28" w:type="dxa"/>
          <w:bottom w:w="0" w:type="dxa"/>
          <w:right w:w="0" w:type="dxa"/>
        </w:tblCellMar>
      </w:tblPr>
      <w:tblGrid>
        <w:gridCol w:w="3305"/>
        <w:gridCol w:w="725"/>
        <w:gridCol w:w="725"/>
        <w:gridCol w:w="725"/>
        <w:gridCol w:w="545"/>
        <w:gridCol w:w="635"/>
        <w:gridCol w:w="725"/>
        <w:gridCol w:w="725"/>
        <w:gridCol w:w="1205"/>
      </w:tblGrid>
      <w:tr>
        <w:trPr/>
        <w:tc>
          <w:tcPr>
            <w:tcW w:w="3305" w:type="dxa"/>
            <w:tcBorders>
              <w:left w:val="single" w:sz="8" w:space="0" w:color="000000"/>
            </w:tcBorders>
            <w:shd w:fill="2AD2C9" w:val="clear"/>
            <w:vAlign w:val="center"/>
          </w:tcPr>
          <w:p>
            <w:pPr>
              <w:pStyle w:val="TableContents"/>
              <w:bidi w:val="0"/>
              <w:spacing w:before="0" w:after="283"/>
              <w:jc w:val="left"/>
              <w:rPr>
                <w:sz w:val="4"/>
                <w:szCs w:val="4"/>
              </w:rPr>
            </w:pPr>
            <w:r>
              <w:rPr>
                <w:sz w:val="4"/>
                <w:szCs w:val="4"/>
              </w:rPr>
            </w:r>
          </w:p>
        </w:tc>
        <w:tc>
          <w:tcPr>
            <w:tcW w:w="725" w:type="dxa"/>
            <w:tcBorders/>
            <w:shd w:fill="2AD2C9" w:val="clear"/>
            <w:tcMar>
              <w:left w:w="0" w:type="dxa"/>
            </w:tcMar>
          </w:tcPr>
          <w:p>
            <w:pPr>
              <w:pStyle w:val="TableContents"/>
              <w:bidi w:val="0"/>
              <w:spacing w:before="0" w:after="283"/>
              <w:jc w:val="left"/>
              <w:rPr>
                <w:sz w:val="4"/>
                <w:szCs w:val="4"/>
              </w:rPr>
            </w:pPr>
            <w:r>
              <w:rPr>
                <w:sz w:val="4"/>
                <w:szCs w:val="4"/>
              </w:rPr>
            </w:r>
          </w:p>
        </w:tc>
        <w:tc>
          <w:tcPr>
            <w:tcW w:w="725" w:type="dxa"/>
            <w:tcBorders/>
            <w:shd w:fill="2AD2C9" w:val="clear"/>
            <w:tcMar>
              <w:left w:w="0" w:type="dxa"/>
            </w:tcMar>
          </w:tcPr>
          <w:p>
            <w:pPr>
              <w:pStyle w:val="TableContents"/>
              <w:bidi w:val="0"/>
              <w:spacing w:before="0" w:after="283"/>
              <w:jc w:val="left"/>
              <w:rPr>
                <w:sz w:val="4"/>
                <w:szCs w:val="4"/>
              </w:rPr>
            </w:pPr>
            <w:r>
              <w:rPr>
                <w:sz w:val="4"/>
                <w:szCs w:val="4"/>
              </w:rPr>
            </w:r>
          </w:p>
        </w:tc>
        <w:tc>
          <w:tcPr>
            <w:tcW w:w="725" w:type="dxa"/>
            <w:tcBorders/>
            <w:shd w:fill="2AD2C9" w:val="clear"/>
            <w:tcMar>
              <w:left w:w="0" w:type="dxa"/>
            </w:tcMar>
          </w:tcPr>
          <w:p>
            <w:pPr>
              <w:pStyle w:val="TableContents"/>
              <w:bidi w:val="0"/>
              <w:spacing w:before="0" w:after="283"/>
              <w:jc w:val="left"/>
              <w:rPr>
                <w:sz w:val="4"/>
                <w:szCs w:val="4"/>
              </w:rPr>
            </w:pPr>
            <w:r>
              <w:rPr>
                <w:sz w:val="4"/>
                <w:szCs w:val="4"/>
              </w:rPr>
            </w:r>
          </w:p>
        </w:tc>
        <w:tc>
          <w:tcPr>
            <w:tcW w:w="1180" w:type="dxa"/>
            <w:gridSpan w:val="2"/>
            <w:tcBorders/>
            <w:shd w:fill="2AD2C9" w:val="clear"/>
            <w:tcMar>
              <w:left w:w="0" w:type="dxa"/>
            </w:tcMar>
          </w:tcPr>
          <w:p>
            <w:pPr>
              <w:pStyle w:val="TableContents"/>
              <w:bidi w:val="0"/>
              <w:spacing w:before="0" w:after="283"/>
              <w:jc w:val="left"/>
              <w:rPr>
                <w:sz w:val="4"/>
                <w:szCs w:val="4"/>
              </w:rPr>
            </w:pPr>
            <w:r>
              <w:rPr>
                <w:sz w:val="4"/>
                <w:szCs w:val="4"/>
              </w:rPr>
            </w:r>
          </w:p>
        </w:tc>
        <w:tc>
          <w:tcPr>
            <w:tcW w:w="1450" w:type="dxa"/>
            <w:gridSpan w:val="2"/>
            <w:tcBorders/>
            <w:shd w:fill="2AD2C9" w:val="clear"/>
            <w:tcMar>
              <w:left w:w="0" w:type="dxa"/>
            </w:tcMar>
          </w:tcPr>
          <w:p>
            <w:pPr>
              <w:pStyle w:val="TableContents"/>
              <w:bidi w:val="0"/>
              <w:spacing w:before="0" w:after="283"/>
              <w:jc w:val="left"/>
              <w:rPr>
                <w:sz w:val="4"/>
                <w:szCs w:val="4"/>
              </w:rPr>
            </w:pPr>
            <w:r>
              <w:rPr>
                <w:sz w:val="4"/>
                <w:szCs w:val="4"/>
              </w:rPr>
            </w:r>
          </w:p>
        </w:tc>
        <w:tc>
          <w:tcPr>
            <w:tcW w:w="1205" w:type="dxa"/>
            <w:tcBorders/>
            <w:shd w:fill="2AD2C9" w:val="clear"/>
            <w:tcMar>
              <w:left w:w="0" w:type="dxa"/>
            </w:tcMar>
          </w:tcPr>
          <w:p>
            <w:pPr>
              <w:pStyle w:val="TableContents"/>
              <w:bidi w:val="0"/>
              <w:spacing w:before="0" w:after="283"/>
              <w:jc w:val="left"/>
              <w:rPr>
                <w:sz w:val="4"/>
                <w:szCs w:val="4"/>
              </w:rPr>
            </w:pPr>
            <w:r>
              <w:rPr>
                <w:sz w:val="4"/>
                <w:szCs w:val="4"/>
              </w:rPr>
            </w:r>
          </w:p>
        </w:tc>
      </w:tr>
      <w:tr>
        <w:trPr/>
        <w:tc>
          <w:tcPr>
            <w:tcW w:w="3305" w:type="dxa"/>
            <w:tcBorders>
              <w:top w:val="single" w:sz="8" w:space="0" w:color="000000"/>
              <w:left w:val="single" w:sz="8" w:space="0" w:color="000000"/>
            </w:tcBorders>
            <w:shd w:fill="2AD2C9" w:val="clear"/>
            <w:tcMar>
              <w:top w:w="28" w:type="dxa"/>
            </w:tcMar>
            <w:vAlign w:val="center"/>
          </w:tcPr>
          <w:p>
            <w:pPr>
              <w:pStyle w:val="TableContents"/>
              <w:bidi w:val="0"/>
              <w:spacing w:before="0" w:after="283"/>
              <w:jc w:val="left"/>
              <w:rPr>
                <w:rFonts w:ascii="Arial;Helvetica;Sans-Serif" w:hAnsi="Arial;Helvetica;Sans-Serif"/>
                <w:color w:val="FFFFFF"/>
                <w:sz w:val="16"/>
              </w:rPr>
            </w:pPr>
            <w:r>
              <w:rPr>
                <w:rFonts w:ascii="Arial;Helvetica;Sans-Serif" w:hAnsi="Arial;Helvetica;Sans-Serif"/>
                <w:color w:val="FFFFFF"/>
                <w:sz w:val="16"/>
              </w:rPr>
              <w:t>Investment Banking and Wealth Management</w:t>
            </w:r>
          </w:p>
        </w:tc>
        <w:tc>
          <w:tcPr>
            <w:tcW w:w="725" w:type="dxa"/>
            <w:tcBorders>
              <w:top w:val="single" w:sz="8" w:space="0" w:color="000000"/>
              <w:left w:val="single" w:sz="8" w:space="0" w:color="000000"/>
            </w:tcBorders>
            <w:shd w:fill="2AD2C9" w:val="clear"/>
            <w:tcMar>
              <w:top w:w="28" w:type="dxa"/>
            </w:tcMar>
            <w:vAlign w:val="center"/>
          </w:tcPr>
          <w:p>
            <w:pPr>
              <w:pStyle w:val="TableContents"/>
              <w:bidi w:val="0"/>
              <w:spacing w:before="0" w:after="283"/>
              <w:jc w:val="center"/>
              <w:rPr>
                <w:color w:val="FFFFFF"/>
              </w:rPr>
            </w:pPr>
            <w:r>
              <w:rPr>
                <w:color w:val="FFFFFF"/>
              </w:rPr>
              <w:t> </w:t>
            </w:r>
          </w:p>
        </w:tc>
        <w:tc>
          <w:tcPr>
            <w:tcW w:w="725" w:type="dxa"/>
            <w:tcBorders>
              <w:top w:val="single" w:sz="8" w:space="0" w:color="000000"/>
            </w:tcBorders>
            <w:shd w:fill="2AD2C9" w:val="clear"/>
            <w:tcMar>
              <w:top w:w="28" w:type="dxa"/>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Quarter</w:t>
            </w:r>
          </w:p>
        </w:tc>
        <w:tc>
          <w:tcPr>
            <w:tcW w:w="725" w:type="dxa"/>
            <w:tcBorders>
              <w:top w:val="single" w:sz="8" w:space="0" w:color="000000"/>
            </w:tcBorders>
            <w:shd w:fill="2AD2C9" w:val="clear"/>
            <w:tcMar>
              <w:top w:w="28" w:type="dxa"/>
              <w:left w:w="0" w:type="dxa"/>
            </w:tcMar>
            <w:vAlign w:val="center"/>
          </w:tcPr>
          <w:p>
            <w:pPr>
              <w:pStyle w:val="TableContents"/>
              <w:bidi w:val="0"/>
              <w:spacing w:before="0" w:after="283"/>
              <w:jc w:val="center"/>
              <w:rPr>
                <w:color w:val="FFFFFF"/>
              </w:rPr>
            </w:pPr>
            <w:r>
              <w:rPr>
                <w:color w:val="FFFFFF"/>
              </w:rPr>
              <w:t> </w:t>
            </w:r>
          </w:p>
        </w:tc>
        <w:tc>
          <w:tcPr>
            <w:tcW w:w="1180" w:type="dxa"/>
            <w:gridSpan w:val="2"/>
            <w:tcBorders>
              <w:top w:val="single" w:sz="8" w:space="0" w:color="000000"/>
              <w:left w:val="single" w:sz="8" w:space="0" w:color="000000"/>
            </w:tcBorders>
            <w:shd w:fill="2AD2C9" w:val="clear"/>
            <w:tcMar>
              <w:top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c>
          <w:tcPr>
            <w:tcW w:w="1450" w:type="dxa"/>
            <w:gridSpan w:val="2"/>
            <w:tcBorders>
              <w:top w:val="single" w:sz="8" w:space="0" w:color="000000"/>
            </w:tcBorders>
            <w:shd w:fill="2AD2C9" w:val="clear"/>
            <w:tcMar>
              <w:top w:w="28" w:type="dxa"/>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of</w:t>
            </w:r>
          </w:p>
        </w:tc>
        <w:tc>
          <w:tcPr>
            <w:tcW w:w="1205" w:type="dxa"/>
            <w:tcBorders>
              <w:top w:val="single" w:sz="8" w:space="0" w:color="000000"/>
              <w:left w:val="single" w:sz="8" w:space="0" w:color="000000"/>
              <w:right w:val="single" w:sz="8" w:space="0" w:color="000000"/>
            </w:tcBorders>
            <w:shd w:fill="2AD2C9" w:val="clear"/>
            <w:tcMar>
              <w:top w:w="28"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change</w:t>
            </w:r>
          </w:p>
        </w:tc>
      </w:tr>
      <w:tr>
        <w:trPr/>
        <w:tc>
          <w:tcPr>
            <w:tcW w:w="3305" w:type="dxa"/>
            <w:tcBorders>
              <w:left w:val="single" w:sz="8" w:space="0" w:color="000000"/>
              <w:bottom w:val="single" w:sz="8" w:space="0" w:color="000000"/>
            </w:tcBorders>
            <w:shd w:fill="2AD2C9" w:val="clear"/>
            <w:tcMar>
              <w:bottom w:w="28" w:type="dxa"/>
            </w:tcMar>
            <w:vAlign w:val="center"/>
          </w:tcPr>
          <w:p>
            <w:pPr>
              <w:pStyle w:val="TableContents"/>
              <w:bidi w:val="0"/>
              <w:spacing w:before="0" w:after="283"/>
              <w:jc w:val="left"/>
              <w:rPr>
                <w:rFonts w:ascii="Arial;Helvetica;Sans-Serif" w:hAnsi="Arial;Helvetica;Sans-Serif"/>
                <w:color w:val="FFFFFF"/>
                <w:sz w:val="16"/>
              </w:rPr>
            </w:pPr>
            <w:r>
              <w:rPr>
                <w:rFonts w:ascii="Arial;Helvetica;Sans-Serif" w:hAnsi="Arial;Helvetica;Sans-Serif"/>
                <w:color w:val="FFFFFF"/>
                <w:sz w:val="16"/>
              </w:rPr>
              <w:t>S/000</w:t>
            </w:r>
          </w:p>
        </w:tc>
        <w:tc>
          <w:tcPr>
            <w:tcW w:w="725" w:type="dxa"/>
            <w:tcBorders>
              <w:left w:val="single" w:sz="8" w:space="0" w:color="000000"/>
            </w:tcBorders>
            <w:shd w:fill="2AD2C9"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2Q22</w:t>
            </w:r>
          </w:p>
        </w:tc>
        <w:tc>
          <w:tcPr>
            <w:tcW w:w="725" w:type="dxa"/>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1Q23</w:t>
            </w:r>
          </w:p>
        </w:tc>
        <w:tc>
          <w:tcPr>
            <w:tcW w:w="725" w:type="dxa"/>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2Q23</w:t>
            </w:r>
          </w:p>
        </w:tc>
        <w:tc>
          <w:tcPr>
            <w:tcW w:w="545" w:type="dxa"/>
            <w:tcBorders>
              <w:left w:val="single" w:sz="8" w:space="0" w:color="000000"/>
            </w:tcBorders>
            <w:shd w:fill="2AD2C9"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QoQ</w:t>
            </w:r>
          </w:p>
        </w:tc>
        <w:tc>
          <w:tcPr>
            <w:tcW w:w="635" w:type="dxa"/>
            <w:tcBorders>
              <w:right w:val="single" w:sz="8" w:space="0" w:color="000000"/>
            </w:tcBorders>
            <w:shd w:fill="2AD2C9" w:val="clear"/>
            <w:tcMar>
              <w:left w:w="0" w:type="dxa"/>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YoY</w:t>
            </w:r>
          </w:p>
        </w:tc>
        <w:tc>
          <w:tcPr>
            <w:tcW w:w="725" w:type="dxa"/>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22</w:t>
            </w:r>
          </w:p>
        </w:tc>
        <w:tc>
          <w:tcPr>
            <w:tcW w:w="725" w:type="dxa"/>
            <w:tcBorders/>
            <w:shd w:fill="2AD2C9"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23</w:t>
            </w:r>
          </w:p>
        </w:tc>
        <w:tc>
          <w:tcPr>
            <w:tcW w:w="1205" w:type="dxa"/>
            <w:tcBorders>
              <w:left w:val="single" w:sz="8" w:space="0" w:color="000000"/>
              <w:right w:val="single" w:sz="8" w:space="0" w:color="000000"/>
            </w:tcBorders>
            <w:shd w:fill="2AD2C9" w:val="clear"/>
            <w:tcMar>
              <w:right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Jun 23 / Jun 22</w:t>
            </w:r>
          </w:p>
        </w:tc>
      </w:tr>
      <w:tr>
        <w:trPr/>
        <w:tc>
          <w:tcPr>
            <w:tcW w:w="3305" w:type="dxa"/>
            <w:tcBorders>
              <w:left w:val="single" w:sz="8" w:space="0" w:color="000000"/>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interest income</w:t>
            </w:r>
          </w:p>
        </w:tc>
        <w:tc>
          <w:tcPr>
            <w:tcW w:w="725" w:type="dxa"/>
            <w:tcBorders>
              <w:top w:val="single" w:sz="8" w:space="0" w:color="000000"/>
              <w:left w:val="single" w:sz="8" w:space="0" w:color="000000"/>
            </w:tcBorders>
            <w:tcMar>
              <w:top w:w="28" w:type="dxa"/>
            </w:tcMar>
            <w:vAlign w:val="center"/>
          </w:tcPr>
          <w:p>
            <w:pPr>
              <w:pStyle w:val="TableContents"/>
              <w:bidi w:val="0"/>
              <w:spacing w:before="0" w:after="283"/>
              <w:jc w:val="right"/>
              <w:rPr/>
            </w:pPr>
            <w:r>
              <w:rPr/>
              <w:t> </w:t>
            </w:r>
            <w:r>
              <w:rPr>
                <w:rFonts w:ascii="Arial;Helvetica;Sans-Serif" w:hAnsi="Arial;Helvetica;Sans-Serif"/>
                <w:sz w:val="16"/>
              </w:rPr>
              <w:t>18,930</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sz w:val="16"/>
              </w:rPr>
              <w:t>22,042</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sz w:val="16"/>
              </w:rPr>
              <w:t>21,206</w:t>
            </w:r>
          </w:p>
        </w:tc>
        <w:tc>
          <w:tcPr>
            <w:tcW w:w="545" w:type="dxa"/>
            <w:tcBorders>
              <w:top w:val="single" w:sz="8" w:space="0" w:color="000000"/>
              <w:left w:val="single" w:sz="8" w:space="0" w:color="000000"/>
            </w:tcBorders>
            <w:tcMar>
              <w:top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-3.8%</w:t>
            </w:r>
          </w:p>
        </w:tc>
        <w:tc>
          <w:tcPr>
            <w:tcW w:w="635" w:type="dxa"/>
            <w:tcBorders>
              <w:top w:val="single" w:sz="8" w:space="0" w:color="000000"/>
              <w:right w:val="single" w:sz="8" w:space="0" w:color="000000"/>
            </w:tcBorders>
            <w:tcMar>
              <w:top w:w="28"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sz w:val="16"/>
              </w:rPr>
              <w:t>38,270</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sz w:val="16"/>
              </w:rPr>
              <w:t>43,248</w:t>
            </w:r>
          </w:p>
        </w:tc>
        <w:tc>
          <w:tcPr>
            <w:tcW w:w="1205" w:type="dxa"/>
            <w:tcBorders>
              <w:top w:val="single" w:sz="8" w:space="0" w:color="000000"/>
              <w:left w:val="single" w:sz="8" w:space="0" w:color="000000"/>
              <w:right w:val="single" w:sz="8" w:space="0" w:color="000000"/>
            </w:tcBorders>
            <w:tcMar>
              <w:top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w:t>
            </w:r>
          </w:p>
        </w:tc>
      </w:tr>
      <w:tr>
        <w:trPr/>
        <w:tc>
          <w:tcPr>
            <w:tcW w:w="3305" w:type="dxa"/>
            <w:tcBorders>
              <w:left w:val="single" w:sz="8" w:space="0" w:color="000000"/>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Non-financial income</w:t>
            </w:r>
          </w:p>
        </w:tc>
        <w:tc>
          <w:tcPr>
            <w:tcW w:w="725" w:type="dxa"/>
            <w:tcBorders>
              <w:lef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146,646</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192,785</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207,535</w:t>
            </w:r>
          </w:p>
        </w:tc>
        <w:tc>
          <w:tcPr>
            <w:tcW w:w="545" w:type="dxa"/>
            <w:tcBorders>
              <w:left w:val="single" w:sz="8" w:space="0" w:color="000000"/>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7.7%</w:t>
            </w:r>
          </w:p>
        </w:tc>
        <w:tc>
          <w:tcPr>
            <w:tcW w:w="635" w:type="dxa"/>
            <w:tcBorders>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-29.3%</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326,643</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400,320</w:t>
            </w:r>
          </w:p>
        </w:tc>
        <w:tc>
          <w:tcPr>
            <w:tcW w:w="1205" w:type="dxa"/>
            <w:tcBorders>
              <w:left w:val="single" w:sz="8" w:space="0" w:color="000000"/>
              <w:right w:val="single" w:sz="8" w:space="0" w:color="000000"/>
            </w:tcBorders>
            <w:tcMar>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22.6%</w:t>
            </w:r>
          </w:p>
        </w:tc>
      </w:tr>
      <w:tr>
        <w:trPr/>
        <w:tc>
          <w:tcPr>
            <w:tcW w:w="3305" w:type="dxa"/>
            <w:tcBorders>
              <w:left w:val="single" w:sz="8" w:space="0" w:color="000000"/>
            </w:tcBorders>
            <w:tcMar>
              <w:left w:w="1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Fee income</w:t>
            </w:r>
          </w:p>
        </w:tc>
        <w:tc>
          <w:tcPr>
            <w:tcW w:w="725" w:type="dxa"/>
            <w:tcBorders>
              <w:lef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138,468</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122,861</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133,448</w:t>
            </w:r>
          </w:p>
        </w:tc>
        <w:tc>
          <w:tcPr>
            <w:tcW w:w="545" w:type="dxa"/>
            <w:tcBorders>
              <w:left w:val="single" w:sz="8" w:space="0" w:color="000000"/>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8.6%</w:t>
            </w:r>
          </w:p>
        </w:tc>
        <w:tc>
          <w:tcPr>
            <w:tcW w:w="635" w:type="dxa"/>
            <w:tcBorders>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3.8%</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276,054</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256,309</w:t>
            </w:r>
          </w:p>
        </w:tc>
        <w:tc>
          <w:tcPr>
            <w:tcW w:w="1205" w:type="dxa"/>
            <w:tcBorders>
              <w:left w:val="single" w:sz="8" w:space="0" w:color="000000"/>
              <w:right w:val="single" w:sz="8" w:space="0" w:color="000000"/>
            </w:tcBorders>
            <w:tcMar>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-7.2%</w:t>
            </w:r>
          </w:p>
        </w:tc>
      </w:tr>
      <w:tr>
        <w:trPr/>
        <w:tc>
          <w:tcPr>
            <w:tcW w:w="3305" w:type="dxa"/>
            <w:tcBorders>
              <w:left w:val="single" w:sz="8" w:space="0" w:color="000000"/>
            </w:tcBorders>
            <w:tcMar>
              <w:left w:w="1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gain on foreign exchange transactions</w:t>
            </w:r>
          </w:p>
        </w:tc>
        <w:tc>
          <w:tcPr>
            <w:tcW w:w="725" w:type="dxa"/>
            <w:tcBorders>
              <w:lef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(2,780)</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16,084</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12,836</w:t>
            </w:r>
          </w:p>
        </w:tc>
        <w:tc>
          <w:tcPr>
            <w:tcW w:w="545" w:type="dxa"/>
            <w:tcBorders>
              <w:left w:val="single" w:sz="8" w:space="0" w:color="000000"/>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w:t>
            </w:r>
          </w:p>
        </w:tc>
        <w:tc>
          <w:tcPr>
            <w:tcW w:w="635" w:type="dxa"/>
            <w:tcBorders>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-121.7%</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20,498</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28,920</w:t>
            </w:r>
          </w:p>
        </w:tc>
        <w:tc>
          <w:tcPr>
            <w:tcW w:w="1205" w:type="dxa"/>
            <w:tcBorders>
              <w:left w:val="single" w:sz="8" w:space="0" w:color="000000"/>
              <w:right w:val="single" w:sz="8" w:space="0" w:color="000000"/>
            </w:tcBorders>
            <w:tcMar>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41.1%</w:t>
            </w:r>
          </w:p>
        </w:tc>
      </w:tr>
      <w:tr>
        <w:trPr/>
        <w:tc>
          <w:tcPr>
            <w:tcW w:w="3305" w:type="dxa"/>
            <w:tcBorders>
              <w:left w:val="single" w:sz="8" w:space="0" w:color="000000"/>
            </w:tcBorders>
            <w:tcMar>
              <w:left w:w="1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Net gain on sales of securities</w:t>
            </w:r>
          </w:p>
        </w:tc>
        <w:tc>
          <w:tcPr>
            <w:tcW w:w="725" w:type="dxa"/>
            <w:tcBorders>
              <w:lef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(15,406)</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51,902</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64,116</w:t>
            </w:r>
          </w:p>
        </w:tc>
        <w:tc>
          <w:tcPr>
            <w:tcW w:w="545" w:type="dxa"/>
            <w:tcBorders>
              <w:left w:val="single" w:sz="8" w:space="0" w:color="000000"/>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23.5%</w:t>
            </w:r>
          </w:p>
        </w:tc>
        <w:tc>
          <w:tcPr>
            <w:tcW w:w="635" w:type="dxa"/>
            <w:tcBorders>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-124.0%</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(4,710)</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116,018</w:t>
            </w:r>
          </w:p>
        </w:tc>
        <w:tc>
          <w:tcPr>
            <w:tcW w:w="1205" w:type="dxa"/>
            <w:tcBorders>
              <w:left w:val="single" w:sz="8" w:space="0" w:color="000000"/>
              <w:right w:val="single" w:sz="8" w:space="0" w:color="000000"/>
            </w:tcBorders>
            <w:tcMar>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-2563.2%</w:t>
            </w:r>
          </w:p>
        </w:tc>
      </w:tr>
      <w:tr>
        <w:trPr/>
        <w:tc>
          <w:tcPr>
            <w:tcW w:w="3305" w:type="dxa"/>
            <w:tcBorders>
              <w:left w:val="single" w:sz="8" w:space="0" w:color="000000"/>
            </w:tcBorders>
            <w:tcMar>
              <w:left w:w="1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Derivative Result</w:t>
            </w:r>
          </w:p>
        </w:tc>
        <w:tc>
          <w:tcPr>
            <w:tcW w:w="725" w:type="dxa"/>
            <w:tcBorders>
              <w:lef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23,825</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(28,858)</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(21,679)</w:t>
            </w:r>
          </w:p>
        </w:tc>
        <w:tc>
          <w:tcPr>
            <w:tcW w:w="545" w:type="dxa"/>
            <w:tcBorders>
              <w:left w:val="single" w:sz="8" w:space="0" w:color="000000"/>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-24.9%</w:t>
            </w:r>
          </w:p>
        </w:tc>
        <w:tc>
          <w:tcPr>
            <w:tcW w:w="635" w:type="dxa"/>
            <w:tcBorders>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-209.9%</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36,342</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(50,537)</w:t>
            </w:r>
          </w:p>
        </w:tc>
        <w:tc>
          <w:tcPr>
            <w:tcW w:w="1205" w:type="dxa"/>
            <w:tcBorders>
              <w:left w:val="single" w:sz="8" w:space="0" w:color="000000"/>
              <w:right w:val="single" w:sz="8" w:space="0" w:color="000000"/>
            </w:tcBorders>
            <w:tcMar>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-239.1%</w:t>
            </w:r>
          </w:p>
        </w:tc>
      </w:tr>
      <w:tr>
        <w:trPr/>
        <w:tc>
          <w:tcPr>
            <w:tcW w:w="3305" w:type="dxa"/>
            <w:tcBorders>
              <w:left w:val="single" w:sz="8" w:space="0" w:color="000000"/>
            </w:tcBorders>
            <w:tcMar>
              <w:left w:w="1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Result from exposure to the exchange rate</w:t>
            </w:r>
          </w:p>
        </w:tc>
        <w:tc>
          <w:tcPr>
            <w:tcW w:w="725" w:type="dxa"/>
            <w:tcBorders>
              <w:lef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(5,587)</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22,997</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8,513</w:t>
            </w:r>
          </w:p>
        </w:tc>
        <w:tc>
          <w:tcPr>
            <w:tcW w:w="545" w:type="dxa"/>
            <w:tcBorders>
              <w:left w:val="single" w:sz="8" w:space="0" w:color="000000"/>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-63.0%</w:t>
            </w:r>
          </w:p>
        </w:tc>
        <w:tc>
          <w:tcPr>
            <w:tcW w:w="635" w:type="dxa"/>
            <w:tcBorders>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-165.6%</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(17,668)</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31,510</w:t>
            </w:r>
          </w:p>
        </w:tc>
        <w:tc>
          <w:tcPr>
            <w:tcW w:w="1205" w:type="dxa"/>
            <w:tcBorders>
              <w:left w:val="single" w:sz="8" w:space="0" w:color="000000"/>
              <w:right w:val="single" w:sz="8" w:space="0" w:color="000000"/>
            </w:tcBorders>
            <w:tcMar>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-278.3%</w:t>
            </w:r>
          </w:p>
        </w:tc>
      </w:tr>
      <w:tr>
        <w:trPr/>
        <w:tc>
          <w:tcPr>
            <w:tcW w:w="3305" w:type="dxa"/>
            <w:tcBorders>
              <w:left w:val="single" w:sz="8" w:space="0" w:color="000000"/>
            </w:tcBorders>
            <w:tcMar>
              <w:left w:w="1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Other income</w:t>
            </w:r>
          </w:p>
        </w:tc>
        <w:tc>
          <w:tcPr>
            <w:tcW w:w="725" w:type="dxa"/>
            <w:tcBorders>
              <w:lef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8,126</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7,799</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10,301</w:t>
            </w:r>
          </w:p>
        </w:tc>
        <w:tc>
          <w:tcPr>
            <w:tcW w:w="545" w:type="dxa"/>
            <w:tcBorders>
              <w:left w:val="single" w:sz="8" w:space="0" w:color="000000"/>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32.1%</w:t>
            </w:r>
          </w:p>
        </w:tc>
        <w:tc>
          <w:tcPr>
            <w:tcW w:w="635" w:type="dxa"/>
            <w:tcBorders>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-21.1%</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16,127</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18,100</w:t>
            </w:r>
          </w:p>
        </w:tc>
        <w:tc>
          <w:tcPr>
            <w:tcW w:w="1205" w:type="dxa"/>
            <w:tcBorders>
              <w:left w:val="single" w:sz="8" w:space="0" w:color="000000"/>
              <w:right w:val="single" w:sz="8" w:space="0" w:color="000000"/>
            </w:tcBorders>
            <w:tcMar>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12.2%</w:t>
            </w:r>
          </w:p>
        </w:tc>
      </w:tr>
      <w:tr>
        <w:trPr/>
        <w:tc>
          <w:tcPr>
            <w:tcW w:w="3305" w:type="dxa"/>
            <w:tcBorders>
              <w:left w:val="single" w:sz="8" w:space="0" w:color="000000"/>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Operating expenses (1)</w:t>
            </w:r>
          </w:p>
        </w:tc>
        <w:tc>
          <w:tcPr>
            <w:tcW w:w="725" w:type="dxa"/>
            <w:tcBorders>
              <w:left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(160,877)</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(163,109)</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(167,982)</w:t>
            </w:r>
          </w:p>
        </w:tc>
        <w:tc>
          <w:tcPr>
            <w:tcW w:w="545" w:type="dxa"/>
            <w:tcBorders>
              <w:left w:val="single" w:sz="8" w:space="0" w:color="000000"/>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w:t>
            </w:r>
          </w:p>
        </w:tc>
        <w:tc>
          <w:tcPr>
            <w:tcW w:w="635"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(323,135)</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(331,091)</w:t>
            </w:r>
          </w:p>
        </w:tc>
        <w:tc>
          <w:tcPr>
            <w:tcW w:w="1205" w:type="dxa"/>
            <w:tcBorders>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w:t>
            </w:r>
          </w:p>
        </w:tc>
      </w:tr>
      <w:tr>
        <w:trPr/>
        <w:tc>
          <w:tcPr>
            <w:tcW w:w="3305" w:type="dxa"/>
            <w:tcBorders>
              <w:top w:val="single" w:sz="8" w:space="0" w:color="000000"/>
              <w:left w:val="single" w:sz="8" w:space="0" w:color="000000"/>
              <w:bottom w:val="single" w:sz="8" w:space="0" w:color="000000"/>
            </w:tcBorders>
            <w:tcMar>
              <w:top w:w="28"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Operating income </w:t>
            </w:r>
          </w:p>
        </w:tc>
        <w:tc>
          <w:tcPr>
            <w:tcW w:w="725" w:type="dxa"/>
            <w:tcBorders>
              <w:top w:val="single" w:sz="8" w:space="0" w:color="000000"/>
              <w:left w:val="single" w:sz="8" w:space="0" w:color="000000"/>
            </w:tcBorders>
            <w:tcMar>
              <w:top w:w="28" w:type="dxa"/>
            </w:tcMar>
            <w:vAlign w:val="center"/>
          </w:tcPr>
          <w:p>
            <w:pPr>
              <w:pStyle w:val="TableContents"/>
              <w:bidi w:val="0"/>
              <w:spacing w:before="0" w:after="283"/>
              <w:jc w:val="right"/>
              <w:rPr/>
            </w:pPr>
            <w:r>
              <w:rPr/>
              <w:t> </w:t>
            </w:r>
            <w:r>
              <w:rPr>
                <w:rFonts w:ascii="Arial;Helvetica;Sans-Serif" w:hAnsi="Arial;Helvetica;Sans-Serif"/>
                <w:b/>
                <w:sz w:val="16"/>
              </w:rPr>
              <w:t>4,699</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b/>
                <w:sz w:val="16"/>
              </w:rPr>
              <w:t>51,718</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b/>
                <w:sz w:val="16"/>
              </w:rPr>
              <w:t>60,759</w:t>
            </w:r>
          </w:p>
        </w:tc>
        <w:tc>
          <w:tcPr>
            <w:tcW w:w="545" w:type="dxa"/>
            <w:tcBorders>
              <w:left w:val="single" w:sz="8" w:space="0" w:color="000000"/>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17.5%</w:t>
            </w:r>
          </w:p>
        </w:tc>
        <w:tc>
          <w:tcPr>
            <w:tcW w:w="635" w:type="dxa"/>
            <w:tcBorders>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-92.3%</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b/>
                <w:sz w:val="16"/>
              </w:rPr>
              <w:t>41,778</w:t>
            </w:r>
          </w:p>
        </w:tc>
        <w:tc>
          <w:tcPr>
            <w:tcW w:w="725" w:type="dxa"/>
            <w:tcBorders>
              <w:top w:val="single" w:sz="8" w:space="0" w:color="000000"/>
            </w:tcBorders>
            <w:tcMar>
              <w:top w:w="28" w:type="dxa"/>
              <w:lef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112,477</w:t>
            </w:r>
          </w:p>
        </w:tc>
        <w:tc>
          <w:tcPr>
            <w:tcW w:w="1205" w:type="dxa"/>
            <w:tcBorders>
              <w:left w:val="single" w:sz="8" w:space="0" w:color="000000"/>
              <w:right w:val="single" w:sz="8" w:space="0" w:color="000000"/>
            </w:tcBorders>
            <w:tcMar>
              <w:right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169.2%</w:t>
            </w:r>
          </w:p>
        </w:tc>
      </w:tr>
      <w:tr>
        <w:trPr/>
        <w:tc>
          <w:tcPr>
            <w:tcW w:w="3305" w:type="dxa"/>
            <w:tcBorders>
              <w:left w:val="single" w:sz="8" w:space="0" w:color="000000"/>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Income taxes</w:t>
            </w:r>
          </w:p>
        </w:tc>
        <w:tc>
          <w:tcPr>
            <w:tcW w:w="725" w:type="dxa"/>
            <w:tcBorders>
              <w:top w:val="single" w:sz="8" w:space="0" w:color="000000"/>
              <w:left w:val="single" w:sz="8" w:space="0" w:color="000000"/>
            </w:tcBorders>
            <w:tcMar>
              <w:top w:w="28" w:type="dxa"/>
            </w:tcMar>
            <w:vAlign w:val="center"/>
          </w:tcPr>
          <w:p>
            <w:pPr>
              <w:pStyle w:val="TableContents"/>
              <w:bidi w:val="0"/>
              <w:spacing w:before="0" w:after="283"/>
              <w:jc w:val="right"/>
              <w:rPr/>
            </w:pPr>
            <w:r>
              <w:rPr/>
              <w:t> </w:t>
            </w:r>
            <w:r>
              <w:rPr>
                <w:rFonts w:ascii="Arial;Helvetica;Sans-Serif" w:hAnsi="Arial;Helvetica;Sans-Serif"/>
                <w:sz w:val="16"/>
              </w:rPr>
              <w:t>273</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sz w:val="16"/>
              </w:rPr>
              <w:t>(7,611)</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sz w:val="16"/>
              </w:rPr>
              <w:t>(8,840)</w:t>
            </w:r>
          </w:p>
        </w:tc>
        <w:tc>
          <w:tcPr>
            <w:tcW w:w="545" w:type="dxa"/>
            <w:tcBorders>
              <w:top w:val="single" w:sz="8" w:space="0" w:color="000000"/>
              <w:left w:val="single" w:sz="8" w:space="0" w:color="000000"/>
            </w:tcBorders>
            <w:tcMar>
              <w:top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16.1%</w:t>
            </w:r>
          </w:p>
        </w:tc>
        <w:tc>
          <w:tcPr>
            <w:tcW w:w="635" w:type="dxa"/>
            <w:tcBorders>
              <w:top w:val="single" w:sz="8" w:space="0" w:color="000000"/>
              <w:right w:val="single" w:sz="8" w:space="0" w:color="000000"/>
            </w:tcBorders>
            <w:tcMar>
              <w:top w:w="28"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-103.1%</w:t>
            </w:r>
          </w:p>
        </w:tc>
        <w:tc>
          <w:tcPr>
            <w:tcW w:w="725" w:type="dxa"/>
            <w:tcBorders>
              <w:top w:val="single" w:sz="8" w:space="0" w:color="000000"/>
            </w:tcBorders>
            <w:tcMar>
              <w:top w:w="28" w:type="dxa"/>
              <w:left w:w="0" w:type="dxa"/>
            </w:tcMar>
            <w:vAlign w:val="center"/>
          </w:tcPr>
          <w:p>
            <w:pPr>
              <w:pStyle w:val="TableContents"/>
              <w:bidi w:val="0"/>
              <w:spacing w:before="0" w:after="283"/>
              <w:jc w:val="right"/>
              <w:rPr/>
            </w:pPr>
            <w:r>
              <w:rPr/>
              <w:t> </w:t>
            </w:r>
            <w:r>
              <w:rPr>
                <w:rFonts w:ascii="Arial;Helvetica;Sans-Serif" w:hAnsi="Arial;Helvetica;Sans-Serif"/>
                <w:sz w:val="16"/>
              </w:rPr>
              <w:t>(1,275)</w:t>
            </w:r>
          </w:p>
        </w:tc>
        <w:tc>
          <w:tcPr>
            <w:tcW w:w="725" w:type="dxa"/>
            <w:tcBorders>
              <w:top w:val="single" w:sz="8" w:space="0" w:color="000000"/>
            </w:tcBorders>
            <w:tcMar>
              <w:top w:w="28" w:type="dxa"/>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(16,451)</w:t>
            </w:r>
          </w:p>
        </w:tc>
        <w:tc>
          <w:tcPr>
            <w:tcW w:w="1205" w:type="dxa"/>
            <w:tcBorders>
              <w:top w:val="single" w:sz="8" w:space="0" w:color="000000"/>
              <w:left w:val="single" w:sz="8" w:space="0" w:color="000000"/>
              <w:right w:val="single" w:sz="8" w:space="0" w:color="000000"/>
            </w:tcBorders>
            <w:tcMar>
              <w:top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1190.3%</w:t>
            </w:r>
          </w:p>
        </w:tc>
      </w:tr>
      <w:tr>
        <w:trPr/>
        <w:tc>
          <w:tcPr>
            <w:tcW w:w="3305" w:type="dxa"/>
            <w:tcBorders>
              <w:left w:val="single" w:sz="8" w:space="0" w:color="000000"/>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Non-controlling interest </w:t>
            </w:r>
          </w:p>
        </w:tc>
        <w:tc>
          <w:tcPr>
            <w:tcW w:w="725" w:type="dxa"/>
            <w:tcBorders>
              <w:left w:val="single" w:sz="8" w:space="0" w:color="000000"/>
            </w:tcBorders>
            <w:vAlign w:val="center"/>
          </w:tcPr>
          <w:p>
            <w:pPr>
              <w:pStyle w:val="TableContents"/>
              <w:bidi w:val="0"/>
              <w:spacing w:before="0" w:after="283"/>
              <w:jc w:val="right"/>
              <w:rPr/>
            </w:pPr>
            <w:r>
              <w:rPr/>
              <w:t> </w:t>
            </w:r>
            <w:r>
              <w:rPr>
                <w:rFonts w:ascii="Arial;Helvetica;Sans-Serif" w:hAnsi="Arial;Helvetica;Sans-Serif"/>
                <w:sz w:val="16"/>
              </w:rPr>
              <w:t>459</w:t>
            </w:r>
          </w:p>
        </w:tc>
        <w:tc>
          <w:tcPr>
            <w:tcW w:w="725" w:type="dxa"/>
            <w:tcBorders/>
            <w:tcMar>
              <w:lef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(175)</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(1,681)</w:t>
            </w:r>
          </w:p>
        </w:tc>
        <w:tc>
          <w:tcPr>
            <w:tcW w:w="545" w:type="dxa"/>
            <w:tcBorders>
              <w:left w:val="single" w:sz="8" w:space="0" w:color="000000"/>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N/A</w:t>
            </w:r>
          </w:p>
        </w:tc>
        <w:tc>
          <w:tcPr>
            <w:tcW w:w="635"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-127.3%</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1,216</w:t>
            </w:r>
          </w:p>
        </w:tc>
        <w:tc>
          <w:tcPr>
            <w:tcW w:w="725" w:type="dxa"/>
            <w:tcBorders/>
            <w:tcMar>
              <w:left w:w="0" w:type="dxa"/>
            </w:tcMar>
            <w:vAlign w:val="center"/>
          </w:tcPr>
          <w:p>
            <w:pPr>
              <w:pStyle w:val="TableContents"/>
              <w:bidi w:val="0"/>
              <w:spacing w:before="0" w:after="283"/>
              <w:jc w:val="right"/>
              <w:rPr/>
            </w:pPr>
            <w:r>
              <w:rPr/>
              <w:t> </w:t>
            </w:r>
            <w:r>
              <w:rPr>
                <w:rFonts w:ascii="Arial;Helvetica;Sans-Serif" w:hAnsi="Arial;Helvetica;Sans-Serif"/>
                <w:sz w:val="16"/>
              </w:rPr>
              <w:t>(1,856)</w:t>
            </w:r>
          </w:p>
        </w:tc>
        <w:tc>
          <w:tcPr>
            <w:tcW w:w="1205" w:type="dxa"/>
            <w:tcBorders>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-252.6%</w:t>
            </w:r>
          </w:p>
        </w:tc>
      </w:tr>
      <w:tr>
        <w:trPr/>
        <w:tc>
          <w:tcPr>
            <w:tcW w:w="3305" w:type="dxa"/>
            <w:tcBorders>
              <w:left w:val="single" w:sz="8" w:space="0" w:color="000000"/>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Net income</w:t>
            </w:r>
          </w:p>
        </w:tc>
        <w:tc>
          <w:tcPr>
            <w:tcW w:w="725" w:type="dxa"/>
            <w:tcBorders>
              <w:top w:val="single" w:sz="8" w:space="0" w:color="000000"/>
              <w:left w:val="single" w:sz="8" w:space="0" w:color="000000"/>
              <w:bottom w:val="single" w:sz="8" w:space="0" w:color="000000"/>
            </w:tcBorders>
            <w:tcMar>
              <w:top w:w="28" w:type="dxa"/>
              <w:bottom w:w="28" w:type="dxa"/>
            </w:tcMar>
            <w:vAlign w:val="center"/>
          </w:tcPr>
          <w:p>
            <w:pPr>
              <w:pStyle w:val="TableContents"/>
              <w:bidi w:val="0"/>
              <w:spacing w:before="0" w:after="283"/>
              <w:jc w:val="right"/>
              <w:rPr/>
            </w:pPr>
            <w:r>
              <w:rPr/>
              <w:t> </w:t>
            </w:r>
            <w:r>
              <w:rPr>
                <w:rFonts w:ascii="Arial;Helvetica;Sans-Serif" w:hAnsi="Arial;Helvetica;Sans-Serif"/>
                <w:b/>
                <w:sz w:val="16"/>
              </w:rPr>
              <w:t>4,513</w:t>
            </w:r>
          </w:p>
        </w:tc>
        <w:tc>
          <w:tcPr>
            <w:tcW w:w="725" w:type="dxa"/>
            <w:tcBorders>
              <w:top w:val="single" w:sz="8" w:space="0" w:color="000000"/>
              <w:bottom w:val="single" w:sz="8" w:space="0" w:color="000000"/>
            </w:tcBorders>
            <w:tcMar>
              <w:top w:w="28" w:type="dxa"/>
              <w:left w:w="0" w:type="dxa"/>
              <w:bottom w:w="28" w:type="dxa"/>
            </w:tcMar>
            <w:vAlign w:val="center"/>
          </w:tcPr>
          <w:p>
            <w:pPr>
              <w:pStyle w:val="TableContents"/>
              <w:bidi w:val="0"/>
              <w:spacing w:before="0" w:after="283"/>
              <w:jc w:val="right"/>
              <w:rPr/>
            </w:pPr>
            <w:r>
              <w:rPr/>
              <w:t> </w:t>
            </w:r>
            <w:r>
              <w:rPr>
                <w:rFonts w:ascii="Arial;Helvetica;Sans-Serif" w:hAnsi="Arial;Helvetica;Sans-Serif"/>
                <w:b/>
                <w:sz w:val="16"/>
              </w:rPr>
              <w:t>44,282</w:t>
            </w:r>
          </w:p>
        </w:tc>
        <w:tc>
          <w:tcPr>
            <w:tcW w:w="725" w:type="dxa"/>
            <w:tcBorders>
              <w:top w:val="single" w:sz="8" w:space="0" w:color="000000"/>
              <w:bottom w:val="single" w:sz="8" w:space="0" w:color="000000"/>
            </w:tcBorders>
            <w:tcMar>
              <w:top w:w="28" w:type="dxa"/>
              <w:left w:w="0" w:type="dxa"/>
              <w:bottom w:w="28" w:type="dxa"/>
            </w:tcMar>
            <w:vAlign w:val="center"/>
          </w:tcPr>
          <w:p>
            <w:pPr>
              <w:pStyle w:val="TableContents"/>
              <w:bidi w:val="0"/>
              <w:spacing w:before="0" w:after="283"/>
              <w:jc w:val="right"/>
              <w:rPr/>
            </w:pPr>
            <w:r>
              <w:rPr/>
              <w:t> </w:t>
            </w:r>
            <w:r>
              <w:rPr>
                <w:rFonts w:ascii="Arial;Helvetica;Sans-Serif" w:hAnsi="Arial;Helvetica;Sans-Serif"/>
                <w:b/>
                <w:sz w:val="16"/>
              </w:rPr>
              <w:t>53,600</w:t>
            </w:r>
          </w:p>
        </w:tc>
        <w:tc>
          <w:tcPr>
            <w:tcW w:w="545" w:type="dxa"/>
            <w:tcBorders>
              <w:left w:val="single" w:sz="8" w:space="0" w:color="000000"/>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21.0%</w:t>
            </w:r>
          </w:p>
        </w:tc>
        <w:tc>
          <w:tcPr>
            <w:tcW w:w="635" w:type="dxa"/>
            <w:tcBorders>
              <w:bottom w:val="single" w:sz="8" w:space="0" w:color="000000"/>
              <w:right w:val="single" w:sz="8" w:space="0" w:color="000000"/>
            </w:tcBorders>
            <w:tcMar>
              <w:left w:w="0" w:type="dxa"/>
              <w:bottom w:w="28" w:type="dxa"/>
              <w:right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-91.6%</w:t>
            </w:r>
          </w:p>
        </w:tc>
        <w:tc>
          <w:tcPr>
            <w:tcW w:w="725" w:type="dxa"/>
            <w:tcBorders>
              <w:top w:val="single" w:sz="8" w:space="0" w:color="000000"/>
              <w:bottom w:val="single" w:sz="8" w:space="0" w:color="000000"/>
            </w:tcBorders>
            <w:tcMar>
              <w:top w:w="28" w:type="dxa"/>
              <w:left w:w="0" w:type="dxa"/>
              <w:bottom w:w="28" w:type="dxa"/>
            </w:tcMar>
            <w:vAlign w:val="center"/>
          </w:tcPr>
          <w:p>
            <w:pPr>
              <w:pStyle w:val="TableContents"/>
              <w:bidi w:val="0"/>
              <w:spacing w:before="0" w:after="283"/>
              <w:jc w:val="right"/>
              <w:rPr/>
            </w:pPr>
            <w:r>
              <w:rPr/>
              <w:t> </w:t>
            </w:r>
            <w:r>
              <w:rPr>
                <w:rFonts w:ascii="Arial;Helvetica;Sans-Serif" w:hAnsi="Arial;Helvetica;Sans-Serif"/>
                <w:b/>
                <w:sz w:val="16"/>
              </w:rPr>
              <w:t>39,287</w:t>
            </w:r>
          </w:p>
        </w:tc>
        <w:tc>
          <w:tcPr>
            <w:tcW w:w="725" w:type="dxa"/>
            <w:tcBorders>
              <w:top w:val="single" w:sz="8" w:space="0" w:color="000000"/>
              <w:bottom w:val="single" w:sz="8" w:space="0" w:color="000000"/>
            </w:tcBorders>
            <w:tcMar>
              <w:top w:w="28" w:type="dxa"/>
              <w:left w:w="0" w:type="dxa"/>
              <w:bottom w:w="28" w:type="dxa"/>
            </w:tcMar>
            <w:vAlign w:val="center"/>
          </w:tcPr>
          <w:p>
            <w:pPr>
              <w:pStyle w:val="TableContents"/>
              <w:bidi w:val="0"/>
              <w:spacing w:before="0" w:after="283"/>
              <w:jc w:val="right"/>
              <w:rPr/>
            </w:pPr>
            <w:r>
              <w:rPr/>
              <w:t> </w:t>
            </w:r>
            <w:r>
              <w:rPr>
                <w:rFonts w:ascii="Arial;Helvetica;Sans-Serif" w:hAnsi="Arial;Helvetica;Sans-Serif"/>
                <w:b/>
                <w:sz w:val="16"/>
              </w:rPr>
              <w:t>97,882</w:t>
            </w:r>
          </w:p>
        </w:tc>
        <w:tc>
          <w:tcPr>
            <w:tcW w:w="1205" w:type="dxa"/>
            <w:tcBorders>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149.1%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caps w:val="false"/>
          <w:smallCaps w:val="false"/>
          <w:bdr w:val="single" w:sz="8" w:space="1" w:color="000000"/>
        </w:rPr>
      </w:pPr>
      <w:r>
        <w:rPr>
          <w:caps w:val="false"/>
          <w:smallCaps w:val="false"/>
          <w:bdr w:val="single" w:sz="8" w:space="1" w:color="000000"/>
        </w:rPr>
        <w:t> </w:t>
      </w:r>
    </w:p>
    <w:p>
      <w:pPr>
        <w:pStyle w:val="TextBody"/>
        <w:bidi w:val="0"/>
        <w:spacing w:before="0" w:after="0"/>
        <w:ind w:left="567"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Includes: Salaries and employee’s benefits + Administrative expenses + Assigned expenses + Depreciation and amortization + Tax and contributions + Other expenses.</w:t>
      </w:r>
    </w:p>
    <w:p>
      <w:pPr>
        <w:pStyle w:val="TextBody"/>
        <w:bidi w:val="0"/>
        <w:spacing w:before="0" w:after="0"/>
        <w:ind w:left="567"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Arial;Helvetica;Sans-Serif" w:hAnsi="Arial;Helvetica;Sans-Serif"/>
        </w:rPr>
      </w:pPr>
      <w:r>
        <w:rPr>
          <w:rFonts w:ascii="Arial;Helvetica;Sans-Serif" w:hAnsi="Arial;Helvetica;Sans-Serif"/>
        </w:rPr>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76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41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pPr>
            <w:r>
              <w:rPr/>
              <w:drawing>
                <wp:inline distT="0" distB="0" distL="0" distR="0">
                  <wp:extent cx="1428750" cy="171450"/>
                  <wp:effectExtent l="0" t="0" r="0" b="0"/>
                  <wp:docPr id="20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43" descr=""/>
                          <pic:cNvPicPr>
                            <a:picLocks noChangeAspect="1" noChangeArrowheads="1"/>
                          </pic:cNvPicPr>
                        </pic:nvPicPr>
                        <pic:blipFill>
                          <a:blip r:embed="rId162"/>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i w:val="false"/>
                <w:caps w:val="false"/>
                <w:smallCaps w:val="false"/>
                <w:color w:val="E93CAC"/>
                <w:sz w:val="22"/>
              </w:rPr>
            </w:pPr>
            <w:r>
              <w:rPr>
                <w:rFonts w:ascii="Arial;Helvetica;Sans-Serif" w:hAnsi="Arial;Helvetica;Sans-Serif"/>
                <w:b/>
                <w:i w:val="false"/>
                <w:caps w:val="false"/>
                <w:smallCaps w:val="false"/>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4115" w:type="dxa"/>
            <w:tcBorders/>
            <w:shd w:fill="000000" w:val="clear"/>
            <w:vAlign w:val="center"/>
          </w:tcPr>
          <w:p>
            <w:pPr>
              <w:pStyle w:val="TableContents"/>
              <w:bidi w:val="0"/>
              <w:spacing w:before="0" w:after="283"/>
              <w:jc w:val="left"/>
              <w:rPr/>
            </w:pPr>
            <w:r>
              <w:rPr/>
              <w:t> </w:t>
            </w:r>
          </w:p>
        </w:tc>
      </w:tr>
    </w:tbl>
    <w:tbl>
      <w:tblPr>
        <w:tblW w:w="1550" w:type="dxa"/>
        <w:jc w:val="left"/>
        <w:tblInd w:w="0" w:type="dxa"/>
        <w:tblLayout w:type="fixed"/>
        <w:tblCellMar>
          <w:top w:w="0" w:type="dxa"/>
          <w:left w:w="0" w:type="dxa"/>
          <w:bottom w:w="0" w:type="dxa"/>
          <w:right w:w="0" w:type="dxa"/>
        </w:tblCellMar>
      </w:tblPr>
      <w:tblGrid>
        <w:gridCol w:w="1550"/>
      </w:tblGrid>
      <w:tr>
        <w:trPr/>
        <w:tc>
          <w:tcPr>
            <w:tcW w:w="1550" w:type="dxa"/>
            <w:tcBorders/>
            <w:shd w:fill="E93CAC" w:val="clear"/>
            <w:vAlign w:val="center"/>
          </w:tcPr>
          <w:p>
            <w:pPr>
              <w:pStyle w:val="TableContents"/>
              <w:bidi w:val="0"/>
              <w:spacing w:before="0" w:after="283"/>
              <w:jc w:val="left"/>
              <w:rPr>
                <w:rFonts w:ascii="Arial;Helvetica;Sans-Serif" w:hAnsi="Arial;Helvetica;Sans-Serif"/>
                <w:b/>
                <w:i w:val="false"/>
                <w:caps w:val="false"/>
                <w:smallCaps w:val="false"/>
                <w:color w:val="FFFFFF"/>
                <w:sz w:val="24"/>
              </w:rPr>
            </w:pPr>
            <w:r>
              <w:rPr>
                <w:rFonts w:ascii="Arial;Helvetica;Sans-Serif" w:hAnsi="Arial;Helvetica;Sans-Serif"/>
                <w:b/>
                <w:i w:val="false"/>
                <w:caps w:val="false"/>
                <w:smallCaps w:val="false"/>
                <w:color w:val="FFFFFF"/>
                <w:sz w:val="24"/>
              </w:rPr>
              <w:t>12. Appendix</w:t>
            </w:r>
          </w:p>
        </w:tc>
      </w:tr>
    </w:tbl>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12.7. Table of calculations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8" w:type="dxa"/>
          <w:bottom w:w="0" w:type="dxa"/>
          <w:right w:w="108" w:type="dxa"/>
        </w:tblCellMar>
      </w:tblPr>
      <w:tblGrid>
        <w:gridCol w:w="1595"/>
        <w:gridCol w:w="3216"/>
        <w:gridCol w:w="5394"/>
      </w:tblGrid>
      <w:tr>
        <w:trPr/>
        <w:tc>
          <w:tcPr>
            <w:tcW w:w="10205" w:type="dxa"/>
            <w:gridSpan w:val="3"/>
            <w:tcBorders>
              <w:top w:val="single" w:sz="8" w:space="0" w:color="000000"/>
              <w:left w:val="single" w:sz="8" w:space="0" w:color="000000"/>
              <w:right w:val="single" w:sz="8" w:space="0" w:color="000000"/>
            </w:tcBorders>
            <w:shd w:fill="2AD2C9" w:val="clear"/>
            <w:vAlign w:val="center"/>
          </w:tcPr>
          <w:p>
            <w:pPr>
              <w:pStyle w:val="TableContents"/>
              <w:bidi w:val="0"/>
              <w:spacing w:lineRule="auto" w:line="240" w:before="0" w:after="283"/>
              <w:jc w:val="center"/>
              <w:rPr>
                <w:rFonts w:ascii="Arial;Helvetica;Sans-Serif" w:hAnsi="Arial;Helvetica;Sans-Serif"/>
                <w:color w:val="FFFFFF"/>
                <w:sz w:val="16"/>
              </w:rPr>
            </w:pPr>
            <w:r>
              <w:rPr>
                <w:rFonts w:ascii="Arial;Helvetica;Sans-Serif" w:hAnsi="Arial;Helvetica;Sans-Serif"/>
                <w:b/>
                <w:color w:val="FFFFFF"/>
                <w:sz w:val="16"/>
              </w:rPr>
              <w:t xml:space="preserve">Table of calculations </w:t>
            </w:r>
            <w:r>
              <w:rPr>
                <w:rFonts w:ascii="Arial;Helvetica;Sans-Serif" w:hAnsi="Arial;Helvetica;Sans-Serif"/>
                <w:color w:val="FFFFFF"/>
                <w:sz w:val="16"/>
              </w:rPr>
              <w:t>(1)</w:t>
            </w:r>
          </w:p>
        </w:tc>
      </w:tr>
      <w:tr>
        <w:trPr/>
        <w:tc>
          <w:tcPr>
            <w:tcW w:w="1595" w:type="dxa"/>
            <w:vMerge w:val="restart"/>
            <w:tcBorders>
              <w:top w:val="single" w:sz="8" w:space="0" w:color="000000"/>
              <w:left w:val="single" w:sz="8" w:space="0" w:color="000000"/>
            </w:tcBorders>
            <w:tcMar>
              <w:top w:w="28" w:type="dxa"/>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Profitability</w:t>
            </w:r>
          </w:p>
        </w:tc>
        <w:tc>
          <w:tcPr>
            <w:tcW w:w="3216" w:type="dxa"/>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Net Interest Margin (NIM)</w:t>
            </w:r>
          </w:p>
        </w:tc>
        <w:tc>
          <w:tcPr>
            <w:tcW w:w="5394" w:type="dxa"/>
            <w:tcBorders>
              <w:top w:val="single" w:sz="8" w:space="0" w:color="000000"/>
              <w:bottom w:val="single" w:sz="8" w:space="0" w:color="000000"/>
              <w:right w:val="single" w:sz="8" w:space="0" w:color="000000"/>
            </w:tcBorders>
            <w:tcMar>
              <w:top w:w="100" w:type="dxa"/>
              <w:left w:w="0" w:type="dxa"/>
              <w:bottom w:w="100" w:type="dxa"/>
            </w:tcMar>
            <w:vAlign w:val="center"/>
          </w:tcPr>
          <w:p>
            <w:pPr>
              <w:pStyle w:val="TableContents"/>
              <w:bidi w:val="0"/>
              <w:spacing w:before="0" w:after="283"/>
              <w:jc w:val="center"/>
              <w:rPr/>
            </w:pPr>
            <w:r>
              <w:rPr/>
              <w:t>   </w:t>
            </w:r>
            <w:r>
              <w:rPr>
                <w:rFonts w:ascii="Arial;Helvetica;Sans-Serif" w:hAnsi="Arial;Helvetica;Sans-Serif"/>
                <w:sz w:val="16"/>
              </w:rPr>
              <w:t>For further details on the new NIM calculation due to IFRS17, please refer to Annex 12.1</w:t>
            </w:r>
          </w:p>
        </w:tc>
      </w:tr>
      <w:tr>
        <w:trPr/>
        <w:tc>
          <w:tcPr>
            <w:tcW w:w="1595" w:type="dxa"/>
            <w:vMerge w:val="continue"/>
            <w:tcBorders>
              <w:top w:val="single" w:sz="8" w:space="0" w:color="000000"/>
              <w:left w:val="single" w:sz="8" w:space="0" w:color="000000"/>
            </w:tcBorders>
            <w:tcMar>
              <w:top w:w="28" w:type="dxa"/>
              <w:right w:w="0" w:type="dxa"/>
            </w:tcMar>
            <w:vAlign w:val="center"/>
          </w:tcPr>
          <w:p>
            <w:pPr>
              <w:pStyle w:val="Normal"/>
              <w:bidi w:val="0"/>
              <w:jc w:val="left"/>
              <w:rPr/>
            </w:pPr>
            <w:r>
              <w:rPr/>
            </w:r>
          </w:p>
        </w:tc>
        <w:tc>
          <w:tcPr>
            <w:tcW w:w="321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Risk-adjusted Net Interest Margin (Risk-adjusted NIM)</w:t>
            </w:r>
          </w:p>
        </w:tc>
        <w:tc>
          <w:tcPr>
            <w:tcW w:w="5394"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center"/>
              <w:rPr/>
            </w:pPr>
            <w:r>
              <w:rPr/>
              <w:t> </w:t>
            </w:r>
            <w:r>
              <w:rPr>
                <w:rFonts w:ascii="Arial;Helvetica;Sans-Serif" w:hAnsi="Arial;Helvetica;Sans-Serif"/>
                <w:sz w:val="16"/>
              </w:rPr>
              <w:t>For further details on the new NIM calculation due to IFRS17, please refer to Annex 12.1</w:t>
            </w:r>
          </w:p>
        </w:tc>
      </w:tr>
      <w:tr>
        <w:trPr/>
        <w:tc>
          <w:tcPr>
            <w:tcW w:w="1595" w:type="dxa"/>
            <w:vMerge w:val="continue"/>
            <w:tcBorders>
              <w:top w:val="single" w:sz="8" w:space="0" w:color="000000"/>
              <w:left w:val="single" w:sz="8" w:space="0" w:color="000000"/>
            </w:tcBorders>
            <w:tcMar>
              <w:top w:w="28" w:type="dxa"/>
              <w:right w:w="0" w:type="dxa"/>
            </w:tcMar>
            <w:vAlign w:val="center"/>
          </w:tcPr>
          <w:p>
            <w:pPr>
              <w:pStyle w:val="Normal"/>
              <w:bidi w:val="0"/>
              <w:jc w:val="left"/>
              <w:rPr/>
            </w:pPr>
            <w:r>
              <w:rPr/>
            </w:r>
          </w:p>
        </w:tc>
        <w:tc>
          <w:tcPr>
            <w:tcW w:w="321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Funding cost</w:t>
            </w:r>
          </w:p>
        </w:tc>
        <w:tc>
          <w:tcPr>
            <w:tcW w:w="539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pPr>
            <w:r>
              <w:rPr>
                <w:rFonts w:ascii="Arial;Helvetica;Sans-Serif" w:hAnsi="Arial;Helvetica;Sans-Serif"/>
                <w:sz w:val="16"/>
              </w:rPr>
              <w:t xml:space="preserve">For further details on the new Funding cost calculation due to IFRS17, please refer to </w:t>
            </w:r>
            <w:r>
              <w:rPr>
                <w:rFonts w:ascii="Arial;Helvetica;Sans-Serif" w:hAnsi="Arial;Helvetica;Sans-Serif"/>
              </w:rPr>
              <w:br/>
            </w:r>
            <w:r>
              <w:rPr>
                <w:rFonts w:ascii="Arial;Helvetica;Sans-Serif" w:hAnsi="Arial;Helvetica;Sans-Serif"/>
                <w:sz w:val="16"/>
              </w:rPr>
              <w:t>Annex 12.1</w:t>
            </w:r>
          </w:p>
        </w:tc>
      </w:tr>
      <w:tr>
        <w:trPr/>
        <w:tc>
          <w:tcPr>
            <w:tcW w:w="1595" w:type="dxa"/>
            <w:vMerge w:val="continue"/>
            <w:tcBorders>
              <w:top w:val="single" w:sz="8" w:space="0" w:color="000000"/>
              <w:left w:val="single" w:sz="8" w:space="0" w:color="000000"/>
            </w:tcBorders>
            <w:tcMar>
              <w:top w:w="28" w:type="dxa"/>
              <w:right w:w="0" w:type="dxa"/>
            </w:tcMar>
            <w:vAlign w:val="center"/>
          </w:tcPr>
          <w:p>
            <w:pPr>
              <w:pStyle w:val="Normal"/>
              <w:bidi w:val="0"/>
              <w:jc w:val="left"/>
              <w:rPr/>
            </w:pPr>
            <w:r>
              <w:rPr/>
            </w:r>
          </w:p>
        </w:tc>
        <w:tc>
          <w:tcPr>
            <w:tcW w:w="3216" w:type="dxa"/>
            <w:tcBorders>
              <w:left w:val="single" w:sz="8" w:space="0" w:color="000000"/>
              <w:bottom w:val="dashed"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Return on average assets (ROA)</w:t>
            </w:r>
          </w:p>
        </w:tc>
        <w:tc>
          <w:tcPr>
            <w:tcW w:w="5394" w:type="dxa"/>
            <w:tcBorders>
              <w:bottom w:val="dashed" w:sz="8" w:space="0" w:color="000000"/>
              <w:right w:val="single" w:sz="8" w:space="0" w:color="000000"/>
            </w:tcBorders>
            <w:tcMar>
              <w:top w:w="0" w:type="dxa"/>
              <w:left w:w="0" w:type="dxa"/>
              <w:bottom w:w="6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u w:val="single"/>
              </w:rPr>
              <w:t>Annualized Net Income attributable to Credicorp</w:t>
            </w:r>
            <w:r>
              <w:rPr>
                <w:rFonts w:ascii="Arial;Helvetica;Sans-Serif" w:hAnsi="Arial;Helvetica;Sans-Serif"/>
                <w:b w:val="false"/>
                <w:i w:val="false"/>
                <w:caps w:val="false"/>
                <w:smallCaps w:val="false"/>
                <w:sz w:val="16"/>
              </w:rPr>
              <w:t> </w:t>
            </w:r>
          </w:p>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Average Assets</w:t>
            </w:r>
          </w:p>
        </w:tc>
      </w:tr>
      <w:tr>
        <w:trPr/>
        <w:tc>
          <w:tcPr>
            <w:tcW w:w="1595" w:type="dxa"/>
            <w:vMerge w:val="continue"/>
            <w:tcBorders>
              <w:top w:val="single" w:sz="8" w:space="0" w:color="000000"/>
              <w:left w:val="single" w:sz="8" w:space="0" w:color="000000"/>
            </w:tcBorders>
            <w:tcMar>
              <w:top w:w="28" w:type="dxa"/>
              <w:right w:w="0" w:type="dxa"/>
            </w:tcMar>
            <w:vAlign w:val="center"/>
          </w:tcPr>
          <w:p>
            <w:pPr>
              <w:pStyle w:val="Normal"/>
              <w:bidi w:val="0"/>
              <w:jc w:val="left"/>
              <w:rPr/>
            </w:pPr>
            <w:r>
              <w:rPr/>
            </w:r>
          </w:p>
        </w:tc>
        <w:tc>
          <w:tcPr>
            <w:tcW w:w="3216"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Return on average equity (ROE)</w:t>
            </w:r>
          </w:p>
        </w:tc>
        <w:tc>
          <w:tcPr>
            <w:tcW w:w="5394"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u w:val="single"/>
              </w:rPr>
              <w:t>Annualized Net Income attributable to Credicrop</w:t>
            </w:r>
            <w:r>
              <w:rPr>
                <w:rFonts w:ascii="Arial;Helvetica;Sans-Serif" w:hAnsi="Arial;Helvetica;Sans-Serif"/>
                <w:b w:val="false"/>
                <w:i w:val="false"/>
                <w:caps w:val="false"/>
                <w:smallCaps w:val="false"/>
                <w:sz w:val="16"/>
              </w:rPr>
              <w:t> </w:t>
            </w:r>
          </w:p>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Average net equity </w:t>
            </w:r>
          </w:p>
        </w:tc>
      </w:tr>
      <w:tr>
        <w:trPr/>
        <w:tc>
          <w:tcPr>
            <w:tcW w:w="1595" w:type="dxa"/>
            <w:vMerge w:val="restart"/>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Portfolio quality</w:t>
            </w:r>
          </w:p>
        </w:tc>
        <w:tc>
          <w:tcPr>
            <w:tcW w:w="3216" w:type="dxa"/>
            <w:tcBorders>
              <w:bottom w:val="dashed"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Internal overdue ratio</w:t>
            </w:r>
          </w:p>
        </w:tc>
        <w:tc>
          <w:tcPr>
            <w:tcW w:w="5394" w:type="dxa"/>
            <w:tcBorders>
              <w:bottom w:val="dashed" w:sz="8" w:space="0" w:color="000000"/>
              <w:right w:val="single" w:sz="8" w:space="0" w:color="000000"/>
            </w:tcBorders>
            <w:tcMar>
              <w:top w:w="0" w:type="dxa"/>
              <w:left w:w="0" w:type="dxa"/>
              <w:bottom w:w="6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u w:val="single"/>
              </w:rPr>
              <w:t>Internal overdue loans</w:t>
            </w:r>
            <w:r>
              <w:rPr>
                <w:rFonts w:ascii="Arial;Helvetica;Sans-Serif" w:hAnsi="Arial;Helvetica;Sans-Serif"/>
                <w:b w:val="false"/>
                <w:i w:val="false"/>
                <w:caps w:val="false"/>
                <w:smallCaps w:val="false"/>
                <w:sz w:val="16"/>
              </w:rPr>
              <w:t> </w:t>
            </w:r>
          </w:p>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Total loans </w:t>
            </w:r>
          </w:p>
        </w:tc>
      </w:tr>
      <w:tr>
        <w:trPr/>
        <w:tc>
          <w:tcPr>
            <w:tcW w:w="1595" w:type="dxa"/>
            <w:vMerge w:val="continue"/>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Normal"/>
              <w:bidi w:val="0"/>
              <w:jc w:val="left"/>
              <w:rPr/>
            </w:pPr>
            <w:r>
              <w:rPr/>
            </w:r>
          </w:p>
        </w:tc>
        <w:tc>
          <w:tcPr>
            <w:tcW w:w="3216" w:type="dxa"/>
            <w:tcBorders>
              <w:right w:val="single" w:sz="8" w:space="0" w:color="000000"/>
            </w:tcBorders>
            <w:tcMar>
              <w:top w:w="0" w:type="dxa"/>
              <w:left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Non – performing loans ratio (NPL ratio)</w:t>
            </w:r>
          </w:p>
        </w:tc>
        <w:tc>
          <w:tcPr>
            <w:tcW w:w="5394" w:type="dxa"/>
            <w:tcBorders>
              <w:right w:val="single" w:sz="8" w:space="0" w:color="000000"/>
            </w:tcBorders>
            <w:tcMar>
              <w:top w:w="0" w:type="dxa"/>
              <w:left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u w:val="single"/>
              </w:rPr>
              <w:t>(Internal overdue loans + Refinanced loans)</w:t>
            </w:r>
            <w:r>
              <w:rPr>
                <w:rFonts w:ascii="Arial;Helvetica;Sans-Serif" w:hAnsi="Arial;Helvetica;Sans-Serif"/>
                <w:b w:val="false"/>
                <w:i w:val="false"/>
                <w:caps w:val="false"/>
                <w:smallCaps w:val="false"/>
                <w:sz w:val="16"/>
              </w:rPr>
              <w:t> </w:t>
            </w:r>
          </w:p>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Total loans </w:t>
            </w:r>
          </w:p>
        </w:tc>
      </w:tr>
      <w:tr>
        <w:trPr/>
        <w:tc>
          <w:tcPr>
            <w:tcW w:w="1595" w:type="dxa"/>
            <w:vMerge w:val="continue"/>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Normal"/>
              <w:bidi w:val="0"/>
              <w:jc w:val="left"/>
              <w:rPr/>
            </w:pPr>
            <w:r>
              <w:rPr/>
            </w:r>
          </w:p>
        </w:tc>
        <w:tc>
          <w:tcPr>
            <w:tcW w:w="3216" w:type="dxa"/>
            <w:tcBorders>
              <w:top w:val="single" w:sz="8" w:space="0" w:color="000000"/>
              <w:bottom w:val="dashed" w:sz="8" w:space="0" w:color="000000"/>
              <w:right w:val="single" w:sz="8" w:space="0" w:color="000000"/>
            </w:tcBorders>
            <w:tcMar>
              <w:top w:w="28"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Coverage ratio of internal overdue loans</w:t>
            </w:r>
          </w:p>
        </w:tc>
        <w:tc>
          <w:tcPr>
            <w:tcW w:w="5394" w:type="dxa"/>
            <w:tcBorders>
              <w:top w:val="single" w:sz="8" w:space="0" w:color="000000"/>
              <w:bottom w:val="dashed" w:sz="8" w:space="0" w:color="000000"/>
              <w:right w:val="single" w:sz="8" w:space="0" w:color="000000"/>
            </w:tcBorders>
            <w:tcMar>
              <w:left w:w="0" w:type="dxa"/>
              <w:bottom w:w="6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u w:val="single"/>
              </w:rPr>
              <w:t>Allowance for loans losses</w:t>
            </w:r>
            <w:r>
              <w:rPr>
                <w:rFonts w:ascii="Arial;Helvetica;Sans-Serif" w:hAnsi="Arial;Helvetica;Sans-Serif"/>
                <w:b w:val="false"/>
                <w:i w:val="false"/>
                <w:caps w:val="false"/>
                <w:smallCaps w:val="false"/>
                <w:sz w:val="16"/>
              </w:rPr>
              <w:t> </w:t>
            </w:r>
          </w:p>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Internal overdue loans </w:t>
            </w:r>
          </w:p>
        </w:tc>
      </w:tr>
      <w:tr>
        <w:trPr/>
        <w:tc>
          <w:tcPr>
            <w:tcW w:w="1595" w:type="dxa"/>
            <w:vMerge w:val="continue"/>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Normal"/>
              <w:bidi w:val="0"/>
              <w:jc w:val="left"/>
              <w:rPr/>
            </w:pPr>
            <w:r>
              <w:rPr/>
            </w:r>
          </w:p>
        </w:tc>
        <w:tc>
          <w:tcPr>
            <w:tcW w:w="3216"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 xml:space="preserve">Coverage ratio of non – performing loans </w:t>
            </w:r>
          </w:p>
        </w:tc>
        <w:tc>
          <w:tcPr>
            <w:tcW w:w="5394"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u w:val="single"/>
              </w:rPr>
              <w:t>Allowance for loans losses</w:t>
            </w:r>
            <w:r>
              <w:rPr>
                <w:rFonts w:ascii="Arial;Helvetica;Sans-Serif" w:hAnsi="Arial;Helvetica;Sans-Serif"/>
                <w:b w:val="false"/>
                <w:i w:val="false"/>
                <w:caps w:val="false"/>
                <w:smallCaps w:val="false"/>
                <w:sz w:val="16"/>
              </w:rPr>
              <w:t> </w:t>
            </w:r>
          </w:p>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Non – performing loans </w:t>
            </w:r>
          </w:p>
        </w:tc>
      </w:tr>
      <w:tr>
        <w:trPr/>
        <w:tc>
          <w:tcPr>
            <w:tcW w:w="1595" w:type="dxa"/>
            <w:vMerge w:val="continue"/>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Normal"/>
              <w:bidi w:val="0"/>
              <w:jc w:val="left"/>
              <w:rPr/>
            </w:pPr>
            <w:r>
              <w:rPr/>
            </w:r>
          </w:p>
        </w:tc>
        <w:tc>
          <w:tcPr>
            <w:tcW w:w="3216"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Cost of risk</w:t>
            </w:r>
          </w:p>
        </w:tc>
        <w:tc>
          <w:tcPr>
            <w:tcW w:w="5394"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u w:val="single"/>
              </w:rPr>
              <w:t>Annualized provision for credit losses on loans portfolio, net of recoveries</w:t>
            </w:r>
            <w:r>
              <w:rPr>
                <w:rFonts w:ascii="Arial;Helvetica;Sans-Serif" w:hAnsi="Arial;Helvetica;Sans-Serif"/>
                <w:b w:val="false"/>
                <w:i w:val="false"/>
                <w:caps w:val="false"/>
                <w:smallCaps w:val="false"/>
                <w:sz w:val="16"/>
              </w:rPr>
              <w:t> </w:t>
            </w:r>
          </w:p>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Total loans </w:t>
            </w:r>
          </w:p>
        </w:tc>
      </w:tr>
      <w:tr>
        <w:trPr/>
        <w:tc>
          <w:tcPr>
            <w:tcW w:w="1595" w:type="dxa"/>
            <w:tcBorders>
              <w:left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Operating performance</w:t>
            </w:r>
          </w:p>
        </w:tc>
        <w:tc>
          <w:tcPr>
            <w:tcW w:w="3216" w:type="dxa"/>
            <w:tcBorders>
              <w:right w:val="single" w:sz="8" w:space="0" w:color="000000"/>
            </w:tcBorders>
            <w:tcMar>
              <w:top w:w="0" w:type="dxa"/>
              <w:left w:w="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Efficiency ratio</w:t>
            </w:r>
          </w:p>
        </w:tc>
        <w:tc>
          <w:tcPr>
            <w:tcW w:w="5394"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center"/>
              <w:rPr/>
            </w:pPr>
            <w:r>
              <w:rPr/>
              <w:t> </w:t>
            </w:r>
            <w:r>
              <w:rPr>
                <w:rFonts w:ascii="Arial;Helvetica;Sans-Serif" w:hAnsi="Arial;Helvetica;Sans-Serif"/>
                <w:sz w:val="16"/>
              </w:rPr>
              <w:t>For further details on the new Efficiency ratio calculation due to IFRS17, please refer to Annex 12.1 </w:t>
            </w:r>
          </w:p>
          <w:p>
            <w:pPr>
              <w:pStyle w:val="TableContents"/>
              <w:bidi w:val="0"/>
              <w:spacing w:before="0" w:after="0"/>
              <w:ind w:left="0" w:right="0" w:hanging="0"/>
              <w:jc w:val="left"/>
              <w:rPr>
                <w:caps w:val="false"/>
                <w:smallCaps w:val="false"/>
              </w:rPr>
            </w:pPr>
            <w:r>
              <w:rPr>
                <w:caps w:val="false"/>
                <w:smallCaps w:val="false"/>
              </w:rPr>
              <w:t> </w:t>
            </w:r>
          </w:p>
        </w:tc>
      </w:tr>
      <w:tr>
        <w:trPr/>
        <w:tc>
          <w:tcPr>
            <w:tcW w:w="1595" w:type="dxa"/>
            <w:vMerge w:val="restart"/>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Capital Adequacy</w:t>
            </w:r>
          </w:p>
        </w:tc>
        <w:tc>
          <w:tcPr>
            <w:tcW w:w="3216" w:type="dxa"/>
            <w:tcBorders>
              <w:top w:val="single" w:sz="8" w:space="0" w:color="000000"/>
              <w:bottom w:val="dashed" w:sz="8" w:space="0" w:color="000000"/>
              <w:right w:val="single" w:sz="8" w:space="0" w:color="000000"/>
            </w:tcBorders>
            <w:tcMar>
              <w:top w:w="28"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BIS ratio</w:t>
            </w:r>
          </w:p>
        </w:tc>
        <w:tc>
          <w:tcPr>
            <w:tcW w:w="5394" w:type="dxa"/>
            <w:tcBorders>
              <w:bottom w:val="dashed" w:sz="8" w:space="0" w:color="000000"/>
              <w:right w:val="single" w:sz="8" w:space="0" w:color="000000"/>
            </w:tcBorders>
            <w:tcMar>
              <w:top w:w="0" w:type="dxa"/>
              <w:left w:w="0" w:type="dxa"/>
              <w:bottom w:w="6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16"/>
                <w:u w:val="single"/>
              </w:rPr>
            </w:pPr>
            <w:r>
              <w:rPr>
                <w:rFonts w:ascii="Arial;Helvetica;Sans-Serif" w:hAnsi="Arial;Helvetica;Sans-Serif"/>
                <w:b w:val="false"/>
                <w:i w:val="false"/>
                <w:caps w:val="false"/>
                <w:smallCaps w:val="false"/>
                <w:sz w:val="16"/>
                <w:u w:val="single"/>
              </w:rPr>
              <w:t>Regulatory Capital </w:t>
            </w:r>
          </w:p>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Risk – weighted assets </w:t>
            </w:r>
          </w:p>
        </w:tc>
      </w:tr>
      <w:tr>
        <w:trPr/>
        <w:tc>
          <w:tcPr>
            <w:tcW w:w="1595" w:type="dxa"/>
            <w:vMerge w:val="continue"/>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Normal"/>
              <w:bidi w:val="0"/>
              <w:jc w:val="left"/>
              <w:rPr/>
            </w:pPr>
            <w:r>
              <w:rPr/>
            </w:r>
          </w:p>
        </w:tc>
        <w:tc>
          <w:tcPr>
            <w:tcW w:w="3216" w:type="dxa"/>
            <w:tcBorders>
              <w:bottom w:val="dashed"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 xml:space="preserve">Tier 1 ratio </w:t>
            </w:r>
          </w:p>
        </w:tc>
        <w:tc>
          <w:tcPr>
            <w:tcW w:w="5394" w:type="dxa"/>
            <w:tcBorders>
              <w:bottom w:val="dashed" w:sz="8" w:space="0" w:color="000000"/>
              <w:right w:val="single" w:sz="8" w:space="0" w:color="000000"/>
            </w:tcBorders>
            <w:tcMar>
              <w:top w:w="0" w:type="dxa"/>
              <w:left w:w="0" w:type="dxa"/>
              <w:bottom w:w="60" w:type="dxa"/>
              <w:right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caps w:val="false"/>
                <w:smallCaps w:val="false"/>
                <w:u w:val="single"/>
              </w:rPr>
              <w:t>              </w:t>
            </w:r>
            <w:r>
              <w:rPr>
                <w:rFonts w:ascii="Arial;Helvetica;Sans-Serif" w:hAnsi="Arial;Helvetica;Sans-Serif"/>
                <w:b w:val="false"/>
                <w:i w:val="false"/>
                <w:caps w:val="false"/>
                <w:smallCaps w:val="false"/>
                <w:sz w:val="16"/>
                <w:u w:val="single"/>
              </w:rPr>
              <w:t>Tier 1           </w:t>
            </w:r>
          </w:p>
          <w:p>
            <w:pPr>
              <w:pStyle w:val="TableContents"/>
              <w:bidi w:val="0"/>
              <w:spacing w:before="0" w:after="0"/>
              <w:ind w:left="0" w:right="0"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Risk – weighted assets</w:t>
            </w:r>
          </w:p>
        </w:tc>
      </w:tr>
      <w:tr>
        <w:trPr/>
        <w:tc>
          <w:tcPr>
            <w:tcW w:w="1595" w:type="dxa"/>
            <w:vMerge w:val="continue"/>
            <w:tcBorders>
              <w:top w:val="single" w:sz="8" w:space="0" w:color="000000"/>
              <w:left w:val="single" w:sz="8" w:space="0" w:color="000000"/>
              <w:bottom w:val="single" w:sz="8" w:space="0" w:color="000000"/>
              <w:right w:val="single" w:sz="8" w:space="0" w:color="000000"/>
            </w:tcBorders>
            <w:tcMar>
              <w:top w:w="28" w:type="dxa"/>
              <w:bottom w:w="28" w:type="dxa"/>
            </w:tcMar>
            <w:vAlign w:val="center"/>
          </w:tcPr>
          <w:p>
            <w:pPr>
              <w:pStyle w:val="Normal"/>
              <w:bidi w:val="0"/>
              <w:jc w:val="left"/>
              <w:rPr/>
            </w:pPr>
            <w:r>
              <w:rPr/>
            </w:r>
          </w:p>
        </w:tc>
        <w:tc>
          <w:tcPr>
            <w:tcW w:w="3216"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Common Equity Tier 1 ratio</w:t>
            </w:r>
          </w:p>
        </w:tc>
        <w:tc>
          <w:tcPr>
            <w:tcW w:w="5394" w:type="dxa"/>
            <w:tcBorders>
              <w:bottom w:val="single" w:sz="8" w:space="0" w:color="000000"/>
              <w:right w:val="single" w:sz="8" w:space="0" w:color="000000"/>
            </w:tcBorders>
            <w:tcMar>
              <w:top w:w="0" w:type="dxa"/>
              <w:left w:w="0" w:type="dxa"/>
              <w:bottom w:w="100" w:type="dxa"/>
            </w:tcMar>
            <w:vAlign w:val="center"/>
          </w:tcPr>
          <w:p>
            <w:pPr>
              <w:pStyle w:val="TableContents"/>
              <w:bidi w:val="0"/>
              <w:spacing w:lineRule="auto" w:line="240" w:before="0" w:after="0"/>
              <w:jc w:val="center"/>
              <w:rPr>
                <w:rFonts w:ascii="Times New Roman;Times;Serif" w:hAnsi="Times New Roman;Times;Serif"/>
                <w:b w:val="false"/>
                <w:i w:val="false"/>
                <w:caps w:val="false"/>
                <w:smallCaps w:val="false"/>
                <w:sz w:val="16"/>
                <w:u w:val="single"/>
              </w:rPr>
            </w:pPr>
            <w:r>
              <w:rPr>
                <w:rFonts w:ascii="Arial;Helvetica;Sans-Serif" w:hAnsi="Arial;Helvetica;Sans-Serif"/>
                <w:b w:val="false"/>
                <w:i w:val="false"/>
                <w:caps w:val="false"/>
                <w:smallCaps w:val="false"/>
                <w:sz w:val="16"/>
                <w:u w:val="single"/>
              </w:rPr>
              <w:t xml:space="preserve">Capital + Reserves – 100% of applicable deduction </w:t>
            </w:r>
            <w:r>
              <w:rPr>
                <w:rFonts w:ascii="Arial;Helvetica;Sans-Serif" w:hAnsi="Arial;Helvetica;Sans-Serif"/>
                <w:b w:val="false"/>
                <w:i w:val="false"/>
                <w:caps w:val="false"/>
                <w:smallCaps w:val="false"/>
                <w:sz w:val="12"/>
                <w:u w:val="single"/>
              </w:rPr>
              <w:t xml:space="preserve">(2) </w:t>
            </w:r>
            <w:r>
              <w:rPr>
                <w:rFonts w:ascii="Arial;Helvetica;Sans-Serif" w:hAnsi="Arial;Helvetica;Sans-Serif"/>
                <w:b w:val="false"/>
                <w:i w:val="false"/>
                <w:caps w:val="false"/>
                <w:smallCaps w:val="false"/>
                <w:sz w:val="16"/>
                <w:u w:val="single"/>
              </w:rPr>
              <w:t>+ Retained Earnings + Unrealized gains or losses</w:t>
            </w:r>
          </w:p>
          <w:p>
            <w:pPr>
              <w:pStyle w:val="TableContents"/>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Risk – weighted assets </w:t>
            </w:r>
          </w:p>
        </w:tc>
      </w:tr>
    </w:tbl>
    <w:p>
      <w:pPr>
        <w:pStyle w:val="TextBody"/>
        <w:bidi w:val="0"/>
        <w:spacing w:before="0" w:after="0"/>
        <w:ind w:left="0" w:right="0" w:firstLine="36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 Averages are determined as the average of period-beginning and period-ending balances.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 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  </w:t>
      </w:r>
    </w:p>
    <w:p>
      <w:pPr>
        <w:pStyle w:val="TextBody"/>
        <w:bidi w:val="0"/>
        <w:spacing w:before="0" w:after="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 Includes investment in subsidiaries, goodwill, intangibles and deferred tax that rely on future profitability.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righ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000000"/>
          <w:sz w:val="20"/>
        </w:rPr>
        <w:t>77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tbl>
      <w:tblPr>
        <w:tblW w:w="9000" w:type="dxa"/>
        <w:jc w:val="left"/>
        <w:tblInd w:w="0" w:type="dxa"/>
        <w:shd w:fill="000000" w:val="clear"/>
        <w:tblLayout w:type="fixed"/>
        <w:tblCellMar>
          <w:top w:w="0" w:type="dxa"/>
          <w:left w:w="0" w:type="dxa"/>
          <w:bottom w:w="0" w:type="dxa"/>
          <w:right w:w="0" w:type="dxa"/>
        </w:tblCellMar>
      </w:tblPr>
      <w:tblGrid>
        <w:gridCol w:w="2265"/>
        <w:gridCol w:w="65"/>
        <w:gridCol w:w="2555"/>
        <w:gridCol w:w="4115"/>
      </w:tblGrid>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4115" w:type="dxa"/>
            <w:tcBorders/>
            <w:shd w:fill="000000" w:val="clear"/>
            <w:vAlign w:val="center"/>
          </w:tcPr>
          <w:p>
            <w:pPr>
              <w:pStyle w:val="TableContents"/>
              <w:bidi w:val="0"/>
              <w:spacing w:before="0" w:after="283"/>
              <w:jc w:val="left"/>
              <w:rPr/>
            </w:pPr>
            <w:r>
              <w:rPr/>
              <w:t> </w:t>
            </w:r>
          </w:p>
        </w:tc>
      </w:tr>
      <w:tr>
        <w:trPr/>
        <w:tc>
          <w:tcPr>
            <w:tcW w:w="2265" w:type="dxa"/>
            <w:tcBorders/>
            <w:shd w:fill="000000" w:val="clear"/>
            <w:vAlign w:val="center"/>
          </w:tcPr>
          <w:p>
            <w:pPr>
              <w:pStyle w:val="TableContents"/>
              <w:bidi w:val="0"/>
              <w:spacing w:before="0" w:after="283"/>
              <w:jc w:val="left"/>
              <w:rPr/>
            </w:pPr>
            <w:r>
              <w:rPr/>
              <w:drawing>
                <wp:inline distT="0" distB="0" distL="0" distR="0">
                  <wp:extent cx="1428750" cy="171450"/>
                  <wp:effectExtent l="0" t="0" r="0" b="0"/>
                  <wp:docPr id="20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44" descr=""/>
                          <pic:cNvPicPr>
                            <a:picLocks noChangeAspect="1" noChangeArrowheads="1"/>
                          </pic:cNvPicPr>
                        </pic:nvPicPr>
                        <pic:blipFill>
                          <a:blip r:embed="rId163"/>
                          <a:stretch>
                            <a:fillRect/>
                          </a:stretch>
                        </pic:blipFill>
                        <pic:spPr bwMode="auto">
                          <a:xfrm>
                            <a:off x="0" y="0"/>
                            <a:ext cx="1428750" cy="171450"/>
                          </a:xfrm>
                          <a:prstGeom prst="rect">
                            <a:avLst/>
                          </a:prstGeom>
                        </pic:spPr>
                      </pic:pic>
                    </a:graphicData>
                  </a:graphic>
                </wp:inline>
              </w:drawing>
            </w:r>
          </w:p>
        </w:tc>
        <w:tc>
          <w:tcPr>
            <w:tcW w:w="65" w:type="dxa"/>
            <w:tcBorders/>
            <w:shd w:fill="000000"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20"/>
              </w:rPr>
            </w:pPr>
            <w:r>
              <w:rPr>
                <w:rFonts w:ascii="Arial;Helvetica;Sans-Serif" w:hAnsi="Arial;Helvetica;Sans-Serif"/>
                <w:b w:val="false"/>
                <w:i w:val="false"/>
                <w:caps w:val="false"/>
                <w:smallCaps w:val="false"/>
                <w:color w:val="FFFFFF"/>
                <w:sz w:val="20"/>
              </w:rPr>
              <w:t>|</w:t>
            </w:r>
          </w:p>
        </w:tc>
        <w:tc>
          <w:tcPr>
            <w:tcW w:w="2555" w:type="dxa"/>
            <w:tcBorders/>
            <w:shd w:fill="000000"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Earnings Release 2Q / 2023</w:t>
            </w:r>
          </w:p>
        </w:tc>
        <w:tc>
          <w:tcPr>
            <w:tcW w:w="4115" w:type="dxa"/>
            <w:tcBorders/>
            <w:shd w:fill="000000" w:val="clear"/>
            <w:vAlign w:val="center"/>
          </w:tcPr>
          <w:p>
            <w:pPr>
              <w:pStyle w:val="TableContents"/>
              <w:bidi w:val="0"/>
              <w:spacing w:before="0" w:after="283"/>
              <w:jc w:val="right"/>
              <w:rPr>
                <w:rFonts w:ascii="Arial;Helvetica;Sans-Serif" w:hAnsi="Arial;Helvetica;Sans-Serif"/>
                <w:b/>
                <w:i w:val="false"/>
                <w:caps w:val="false"/>
                <w:smallCaps w:val="false"/>
                <w:color w:val="E93CAC"/>
                <w:sz w:val="22"/>
              </w:rPr>
            </w:pPr>
            <w:r>
              <w:rPr>
                <w:rFonts w:ascii="Arial;Helvetica;Sans-Serif" w:hAnsi="Arial;Helvetica;Sans-Serif"/>
                <w:b/>
                <w:i w:val="false"/>
                <w:caps w:val="false"/>
                <w:smallCaps w:val="false"/>
                <w:color w:val="E93CAC"/>
                <w:sz w:val="22"/>
              </w:rPr>
              <w:t>Analysis of 2Q23 Consolidated Results</w:t>
            </w:r>
          </w:p>
        </w:tc>
      </w:tr>
      <w:tr>
        <w:trPr/>
        <w:tc>
          <w:tcPr>
            <w:tcW w:w="22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6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555" w:type="dxa"/>
            <w:tcBorders/>
            <w:shd w:fill="000000"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4115" w:type="dxa"/>
            <w:tcBorders/>
            <w:shd w:fill="000000" w:val="clear"/>
            <w:vAlign w:val="center"/>
          </w:tcPr>
          <w:p>
            <w:pPr>
              <w:pStyle w:val="TableContents"/>
              <w:bidi w:val="0"/>
              <w:spacing w:before="0" w:after="283"/>
              <w:jc w:val="left"/>
              <w:rPr/>
            </w:pPr>
            <w:r>
              <w:rPr/>
              <w:t> </w:t>
            </w:r>
          </w:p>
        </w:tc>
      </w:tr>
    </w:tbl>
    <w:tbl>
      <w:tblPr>
        <w:tblW w:w="1550" w:type="dxa"/>
        <w:jc w:val="left"/>
        <w:tblInd w:w="0" w:type="dxa"/>
        <w:tblLayout w:type="fixed"/>
        <w:tblCellMar>
          <w:top w:w="0" w:type="dxa"/>
          <w:left w:w="0" w:type="dxa"/>
          <w:bottom w:w="0" w:type="dxa"/>
          <w:right w:w="0" w:type="dxa"/>
        </w:tblCellMar>
      </w:tblPr>
      <w:tblGrid>
        <w:gridCol w:w="1550"/>
      </w:tblGrid>
      <w:tr>
        <w:trPr/>
        <w:tc>
          <w:tcPr>
            <w:tcW w:w="1550" w:type="dxa"/>
            <w:tcBorders/>
            <w:shd w:fill="E93CAC" w:val="clear"/>
            <w:vAlign w:val="center"/>
          </w:tcPr>
          <w:p>
            <w:pPr>
              <w:pStyle w:val="TableContents"/>
              <w:bidi w:val="0"/>
              <w:spacing w:before="0" w:after="283"/>
              <w:jc w:val="left"/>
              <w:rPr>
                <w:rFonts w:ascii="Arial;Helvetica;Sans-Serif" w:hAnsi="Arial;Helvetica;Sans-Serif"/>
                <w:b/>
                <w:i w:val="false"/>
                <w:caps w:val="false"/>
                <w:smallCaps w:val="false"/>
                <w:color w:val="FFFFFF"/>
                <w:sz w:val="24"/>
              </w:rPr>
            </w:pPr>
            <w:r>
              <w:rPr>
                <w:rFonts w:ascii="Arial;Helvetica;Sans-Serif" w:hAnsi="Arial;Helvetica;Sans-Serif"/>
                <w:b/>
                <w:i w:val="false"/>
                <w:caps w:val="false"/>
                <w:smallCaps w:val="false"/>
                <w:color w:val="FFFFFF"/>
                <w:sz w:val="24"/>
              </w:rPr>
              <w:t>12. Appendix</w:t>
            </w:r>
          </w:p>
        </w:tc>
      </w:tr>
    </w:tbl>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12.8. Glossary of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4790"/>
        <w:gridCol w:w="5415"/>
      </w:tblGrid>
      <w:tr>
        <w:trPr/>
        <w:tc>
          <w:tcPr>
            <w:tcW w:w="4790" w:type="dxa"/>
            <w:tcBorders>
              <w:top w:val="single" w:sz="8" w:space="0" w:color="000000"/>
              <w:left w:val="single" w:sz="8" w:space="0" w:color="000000"/>
              <w:bottom w:val="single" w:sz="8" w:space="0" w:color="000000"/>
              <w:right w:val="single" w:sz="8" w:space="0" w:color="000000"/>
            </w:tcBorders>
            <w:shd w:fill="2AD2C9" w:val="clear"/>
            <w:vAlign w:val="center"/>
          </w:tcPr>
          <w:p>
            <w:pPr>
              <w:pStyle w:val="TableContents"/>
              <w:bidi w:val="0"/>
              <w:spacing w:lineRule="auto" w:line="276"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Term </w:t>
            </w:r>
          </w:p>
        </w:tc>
        <w:tc>
          <w:tcPr>
            <w:tcW w:w="5415" w:type="dxa"/>
            <w:tcBorders>
              <w:top w:val="single" w:sz="8" w:space="0" w:color="000000"/>
              <w:bottom w:val="single" w:sz="8" w:space="0" w:color="000000"/>
              <w:right w:val="single" w:sz="8" w:space="0" w:color="000000"/>
            </w:tcBorders>
            <w:shd w:fill="2AD2C9" w:val="clear"/>
            <w:tcMar>
              <w:left w:w="0" w:type="dxa"/>
            </w:tcMar>
            <w:vAlign w:val="center"/>
          </w:tcPr>
          <w:p>
            <w:pPr>
              <w:pStyle w:val="TableContents"/>
              <w:bidi w:val="0"/>
              <w:spacing w:lineRule="auto" w:line="276" w:before="0" w:after="283"/>
              <w:jc w:val="center"/>
              <w:rPr>
                <w:rFonts w:ascii="Arial;Helvetica;Sans-Serif" w:hAnsi="Arial;Helvetica;Sans-Serif"/>
                <w:b/>
                <w:color w:val="FFFFFF"/>
                <w:sz w:val="20"/>
              </w:rPr>
            </w:pPr>
            <w:r>
              <w:rPr>
                <w:rFonts w:ascii="Arial;Helvetica;Sans-Serif" w:hAnsi="Arial;Helvetica;Sans-Serif"/>
                <w:b/>
                <w:color w:val="FFFFFF"/>
                <w:sz w:val="20"/>
              </w:rPr>
              <w:t>Definition</w:t>
            </w:r>
          </w:p>
        </w:tc>
      </w:tr>
      <w:tr>
        <w:trPr/>
        <w:tc>
          <w:tcPr>
            <w:tcW w:w="4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76" w:before="0" w:after="283"/>
              <w:jc w:val="left"/>
              <w:rPr>
                <w:rFonts w:ascii="Arial;Helvetica;Sans-Serif" w:hAnsi="Arial;Helvetica;Sans-Serif"/>
                <w:b/>
                <w:sz w:val="20"/>
              </w:rPr>
            </w:pPr>
            <w:r>
              <w:rPr>
                <w:rFonts w:ascii="Arial;Helvetica;Sans-Serif" w:hAnsi="Arial;Helvetica;Sans-Serif"/>
                <w:b/>
                <w:sz w:val="20"/>
              </w:rPr>
              <w:t>Government Program Loans (“GP” or “GP Loans”)</w:t>
            </w:r>
          </w:p>
        </w:tc>
        <w:tc>
          <w:tcPr>
            <w:tcW w:w="5415" w:type="dxa"/>
            <w:tcBorders>
              <w:bottom w:val="single" w:sz="8" w:space="0" w:color="000000"/>
              <w:right w:val="single" w:sz="8" w:space="0" w:color="000000"/>
            </w:tcBorders>
            <w:tcMar>
              <w:top w:w="0" w:type="dxa"/>
              <w:left w:w="0" w:type="dxa"/>
            </w:tcMar>
            <w:vAlign w:val="center"/>
          </w:tcPr>
          <w:p>
            <w:pPr>
              <w:pStyle w:val="TableContents"/>
              <w:bidi w:val="0"/>
              <w:spacing w:lineRule="auto" w:line="276" w:before="0" w:after="283"/>
              <w:jc w:val="both"/>
              <w:rPr>
                <w:rFonts w:ascii="Arial;Helvetica;Sans-Serif" w:hAnsi="Arial;Helvetica;Sans-Serif"/>
                <w:sz w:val="20"/>
              </w:rPr>
            </w:pPr>
            <w:r>
              <w:rPr>
                <w:rFonts w:ascii="Arial;Helvetica;Sans-Serif" w:hAnsi="Arial;Helvetica;Sans-Serif"/>
                <w:sz w:val="20"/>
              </w:rPr>
              <w:t>Loan Portfolio related to Reactiva Peru and FAE-Mype programs to respond quickly and effectively to liquidity needs and maintain the payment chain.</w:t>
            </w:r>
          </w:p>
        </w:tc>
      </w:tr>
      <w:tr>
        <w:trPr/>
        <w:tc>
          <w:tcPr>
            <w:tcW w:w="4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76" w:before="0" w:after="283"/>
              <w:jc w:val="left"/>
              <w:rPr>
                <w:rFonts w:ascii="Arial;Helvetica;Sans-Serif" w:hAnsi="Arial;Helvetica;Sans-Serif"/>
                <w:b/>
                <w:sz w:val="20"/>
              </w:rPr>
            </w:pPr>
            <w:r>
              <w:rPr>
                <w:rFonts w:ascii="Arial;Helvetica;Sans-Serif" w:hAnsi="Arial;Helvetica;Sans-Serif"/>
                <w:b/>
                <w:sz w:val="20"/>
              </w:rPr>
              <w:t>Structural Loans</w:t>
            </w:r>
          </w:p>
        </w:tc>
        <w:tc>
          <w:tcPr>
            <w:tcW w:w="5415" w:type="dxa"/>
            <w:tcBorders>
              <w:bottom w:val="single" w:sz="8" w:space="0" w:color="000000"/>
              <w:right w:val="single" w:sz="8" w:space="0" w:color="000000"/>
            </w:tcBorders>
            <w:tcMar>
              <w:top w:w="0" w:type="dxa"/>
              <w:left w:w="0" w:type="dxa"/>
            </w:tcMar>
            <w:vAlign w:val="center"/>
          </w:tcPr>
          <w:p>
            <w:pPr>
              <w:pStyle w:val="TableContents"/>
              <w:bidi w:val="0"/>
              <w:spacing w:lineRule="auto" w:line="276" w:before="0" w:after="283"/>
              <w:jc w:val="both"/>
              <w:rPr>
                <w:rFonts w:ascii="Arial;Helvetica;Sans-Serif" w:hAnsi="Arial;Helvetica;Sans-Serif"/>
                <w:sz w:val="20"/>
              </w:rPr>
            </w:pPr>
            <w:r>
              <w:rPr>
                <w:rFonts w:ascii="Arial;Helvetica;Sans-Serif" w:hAnsi="Arial;Helvetica;Sans-Serif"/>
                <w:sz w:val="20"/>
              </w:rPr>
              <w:t>Loan Portfolio excluding GP Loans.</w:t>
            </w:r>
          </w:p>
        </w:tc>
      </w:tr>
      <w:tr>
        <w:trPr/>
        <w:tc>
          <w:tcPr>
            <w:tcW w:w="4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76" w:before="0" w:after="283"/>
              <w:jc w:val="left"/>
              <w:rPr>
                <w:rFonts w:ascii="Arial;Helvetica;Sans-Serif" w:hAnsi="Arial;Helvetica;Sans-Serif"/>
                <w:b/>
                <w:sz w:val="20"/>
              </w:rPr>
            </w:pPr>
            <w:r>
              <w:rPr>
                <w:rFonts w:ascii="Arial;Helvetica;Sans-Serif" w:hAnsi="Arial;Helvetica;Sans-Serif"/>
                <w:b/>
                <w:sz w:val="20"/>
              </w:rPr>
              <w:t>Structural Cost of Risk</w:t>
            </w:r>
          </w:p>
        </w:tc>
        <w:tc>
          <w:tcPr>
            <w:tcW w:w="5415" w:type="dxa"/>
            <w:tcBorders>
              <w:bottom w:val="single" w:sz="8" w:space="0" w:color="000000"/>
              <w:right w:val="single" w:sz="8" w:space="0" w:color="000000"/>
            </w:tcBorders>
            <w:tcMar>
              <w:top w:w="0" w:type="dxa"/>
              <w:left w:w="0" w:type="dxa"/>
            </w:tcMar>
            <w:vAlign w:val="center"/>
          </w:tcPr>
          <w:p>
            <w:pPr>
              <w:pStyle w:val="TableContents"/>
              <w:bidi w:val="0"/>
              <w:spacing w:lineRule="auto" w:line="276" w:before="0" w:after="283"/>
              <w:jc w:val="both"/>
              <w:rPr>
                <w:rFonts w:ascii="Arial;Helvetica;Sans-Serif" w:hAnsi="Arial;Helvetica;Sans-Serif"/>
                <w:sz w:val="20"/>
              </w:rPr>
            </w:pPr>
            <w:r>
              <w:rPr>
                <w:rFonts w:ascii="Arial;Helvetica;Sans-Serif" w:hAnsi="Arial;Helvetica;Sans-Serif"/>
                <w:sz w:val="20"/>
              </w:rPr>
              <w:t>Cost of Risk related to the Structural Loans. It excludes, in the numerator, provisions for credit losses on GP loans, and in the denominator, the total amount of GP Loans.</w:t>
            </w:r>
          </w:p>
        </w:tc>
      </w:tr>
      <w:tr>
        <w:trPr/>
        <w:tc>
          <w:tcPr>
            <w:tcW w:w="4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76" w:before="0" w:after="283"/>
              <w:jc w:val="left"/>
              <w:rPr>
                <w:rFonts w:ascii="Arial;Helvetica;Sans-Serif" w:hAnsi="Arial;Helvetica;Sans-Serif"/>
                <w:b/>
                <w:sz w:val="20"/>
              </w:rPr>
            </w:pPr>
            <w:r>
              <w:rPr>
                <w:rFonts w:ascii="Arial;Helvetica;Sans-Serif" w:hAnsi="Arial;Helvetica;Sans-Serif"/>
                <w:b/>
                <w:sz w:val="20"/>
              </w:rPr>
              <w:t>Structural NPL ratio</w:t>
            </w:r>
          </w:p>
        </w:tc>
        <w:tc>
          <w:tcPr>
            <w:tcW w:w="5415" w:type="dxa"/>
            <w:tcBorders>
              <w:bottom w:val="single" w:sz="8" w:space="0" w:color="000000"/>
              <w:right w:val="single" w:sz="8" w:space="0" w:color="000000"/>
            </w:tcBorders>
            <w:tcMar>
              <w:top w:w="0" w:type="dxa"/>
              <w:left w:w="0" w:type="dxa"/>
            </w:tcMar>
            <w:vAlign w:val="center"/>
          </w:tcPr>
          <w:p>
            <w:pPr>
              <w:pStyle w:val="TableContents"/>
              <w:bidi w:val="0"/>
              <w:spacing w:lineRule="auto" w:line="276" w:before="0" w:after="283"/>
              <w:jc w:val="both"/>
              <w:rPr>
                <w:rFonts w:ascii="Arial;Helvetica;Sans-Serif" w:hAnsi="Arial;Helvetica;Sans-Serif"/>
                <w:sz w:val="20"/>
              </w:rPr>
            </w:pPr>
            <w:r>
              <w:rPr>
                <w:rFonts w:ascii="Arial;Helvetica;Sans-Serif" w:hAnsi="Arial;Helvetica;Sans-Serif"/>
                <w:sz w:val="20"/>
              </w:rPr>
              <w:t>NPL Ratio, excluding the impact of GP Loans.</w:t>
            </w:r>
          </w:p>
        </w:tc>
      </w:tr>
      <w:tr>
        <w:trPr/>
        <w:tc>
          <w:tcPr>
            <w:tcW w:w="4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76" w:before="0" w:after="283"/>
              <w:jc w:val="left"/>
              <w:rPr>
                <w:rFonts w:ascii="Arial;Helvetica;Sans-Serif" w:hAnsi="Arial;Helvetica;Sans-Serif"/>
                <w:b/>
                <w:sz w:val="20"/>
              </w:rPr>
            </w:pPr>
            <w:r>
              <w:rPr>
                <w:rFonts w:ascii="Arial;Helvetica;Sans-Serif" w:hAnsi="Arial;Helvetica;Sans-Serif"/>
                <w:b/>
                <w:sz w:val="20"/>
              </w:rPr>
              <w:t>Structural NIM</w:t>
            </w:r>
          </w:p>
        </w:tc>
        <w:tc>
          <w:tcPr>
            <w:tcW w:w="5415" w:type="dxa"/>
            <w:tcBorders>
              <w:bottom w:val="single" w:sz="8" w:space="0" w:color="000000"/>
              <w:right w:val="single" w:sz="8" w:space="0" w:color="000000"/>
            </w:tcBorders>
            <w:tcMar>
              <w:top w:w="0" w:type="dxa"/>
              <w:left w:w="0" w:type="dxa"/>
            </w:tcMar>
            <w:vAlign w:val="center"/>
          </w:tcPr>
          <w:p>
            <w:pPr>
              <w:pStyle w:val="TableContents"/>
              <w:bidi w:val="0"/>
              <w:spacing w:lineRule="auto" w:line="276" w:before="0" w:after="283"/>
              <w:jc w:val="both"/>
              <w:rPr>
                <w:rFonts w:ascii="Arial;Helvetica;Sans-Serif" w:hAnsi="Arial;Helvetica;Sans-Serif"/>
                <w:sz w:val="20"/>
              </w:rPr>
            </w:pPr>
            <w:r>
              <w:rPr>
                <w:rFonts w:ascii="Arial;Helvetica;Sans-Serif" w:hAnsi="Arial;Helvetica;Sans-Serif"/>
                <w:sz w:val="20"/>
              </w:rPr>
              <w:t xml:space="preserve">NIM related to Structural Loans and Other Interest Earning Assets. It deducts the impact of GP Loans </w:t>
            </w:r>
          </w:p>
        </w:tc>
      </w:tr>
      <w:tr>
        <w:trPr/>
        <w:tc>
          <w:tcPr>
            <w:tcW w:w="4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76" w:before="0" w:after="283"/>
              <w:jc w:val="left"/>
              <w:rPr>
                <w:rFonts w:ascii="Arial;Helvetica;Sans-Serif" w:hAnsi="Arial;Helvetica;Sans-Serif"/>
                <w:b/>
                <w:sz w:val="20"/>
              </w:rPr>
            </w:pPr>
            <w:r>
              <w:rPr>
                <w:rFonts w:ascii="Arial;Helvetica;Sans-Serif" w:hAnsi="Arial;Helvetica;Sans-Serif"/>
                <w:b/>
                <w:sz w:val="20"/>
              </w:rPr>
              <w:t>Structural Funding Cost</w:t>
            </w:r>
          </w:p>
        </w:tc>
        <w:tc>
          <w:tcPr>
            <w:tcW w:w="5415" w:type="dxa"/>
            <w:tcBorders>
              <w:bottom w:val="single" w:sz="8" w:space="0" w:color="000000"/>
              <w:right w:val="single" w:sz="8" w:space="0" w:color="000000"/>
            </w:tcBorders>
            <w:tcMar>
              <w:top w:w="0" w:type="dxa"/>
              <w:left w:w="0" w:type="dxa"/>
            </w:tcMar>
            <w:vAlign w:val="center"/>
          </w:tcPr>
          <w:p>
            <w:pPr>
              <w:pStyle w:val="TableContents"/>
              <w:bidi w:val="0"/>
              <w:spacing w:lineRule="auto" w:line="276" w:before="0" w:after="283"/>
              <w:jc w:val="both"/>
              <w:rPr>
                <w:rFonts w:ascii="Arial;Helvetica;Sans-Serif" w:hAnsi="Arial;Helvetica;Sans-Serif"/>
                <w:sz w:val="20"/>
              </w:rPr>
            </w:pPr>
            <w:r>
              <w:rPr>
                <w:rFonts w:ascii="Arial;Helvetica;Sans-Serif" w:hAnsi="Arial;Helvetica;Sans-Serif"/>
                <w:sz w:val="20"/>
              </w:rPr>
              <w:t xml:space="preserve">Funding Cost deducting the impact in expenses and funding related to GP Loans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Arial" w:hAnsi="Arial"/>
          <w:b w:val="false"/>
          <w:i w:val="false"/>
          <w:caps w:val="false"/>
          <w:smallCaps w:val="false"/>
          <w:sz w:val="20"/>
        </w:rPr>
      </w:pPr>
      <w:r>
        <w:rPr>
          <w:rFonts w:ascii="Arial" w:hAnsi="Arial"/>
          <w:b w:val="false"/>
          <w:i w:val="false"/>
          <w:caps w:val="false"/>
          <w:smallCaps w:val="false"/>
          <w:sz w:val="20"/>
        </w:rPr>
        <w:t>78</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altName w:val="Helvetica"/>
    <w:charset w:val="01"/>
    <w:family w:val="auto"/>
    <w:pitch w:val="default"/>
  </w:font>
  <w:font w:name="Times New Roman">
    <w:altName w:val="Times"/>
    <w:charset w:val="01"/>
    <w:family w:val="auto"/>
    <w:pitch w:val="default"/>
  </w:font>
  <w:font w:name="Calibr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4.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5.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7.jpeg"/><Relationship Id="rId23" Type="http://schemas.openxmlformats.org/officeDocument/2006/relationships/image" Target="media/image2.jpeg"/><Relationship Id="rId24" Type="http://schemas.openxmlformats.org/officeDocument/2006/relationships/image" Target="media/image8.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9.jpeg"/><Relationship Id="rId28" Type="http://schemas.openxmlformats.org/officeDocument/2006/relationships/image" Target="media/image2.jpeg"/><Relationship Id="rId29" Type="http://schemas.openxmlformats.org/officeDocument/2006/relationships/image" Target="media/image10.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1.jpeg"/><Relationship Id="rId33" Type="http://schemas.openxmlformats.org/officeDocument/2006/relationships/image" Target="media/image2.jpeg"/><Relationship Id="rId34" Type="http://schemas.openxmlformats.org/officeDocument/2006/relationships/image" Target="media/image12.jpeg"/><Relationship Id="rId35" Type="http://schemas.openxmlformats.org/officeDocument/2006/relationships/image" Target="media/image12.jpeg"/><Relationship Id="rId36" Type="http://schemas.openxmlformats.org/officeDocument/2006/relationships/image" Target="media/image13.jpeg"/><Relationship Id="rId37" Type="http://schemas.openxmlformats.org/officeDocument/2006/relationships/image" Target="media/image13.jpeg"/><Relationship Id="rId38" Type="http://schemas.openxmlformats.org/officeDocument/2006/relationships/image" Target="media/image14.jpeg"/><Relationship Id="rId39" Type="http://schemas.openxmlformats.org/officeDocument/2006/relationships/image" Target="media/image2.jpeg"/><Relationship Id="rId40" Type="http://schemas.openxmlformats.org/officeDocument/2006/relationships/image" Target="media/image15.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16.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17.jpeg"/><Relationship Id="rId48" Type="http://schemas.openxmlformats.org/officeDocument/2006/relationships/image" Target="media/image17.jpeg"/><Relationship Id="rId49" Type="http://schemas.openxmlformats.org/officeDocument/2006/relationships/image" Target="media/image2.jpeg"/><Relationship Id="rId50" Type="http://schemas.openxmlformats.org/officeDocument/2006/relationships/image" Target="media/image18.jpeg"/><Relationship Id="rId51" Type="http://schemas.openxmlformats.org/officeDocument/2006/relationships/image" Target="media/image18.jpeg"/><Relationship Id="rId52" Type="http://schemas.openxmlformats.org/officeDocument/2006/relationships/image" Target="media/image17.jpeg"/><Relationship Id="rId53" Type="http://schemas.openxmlformats.org/officeDocument/2006/relationships/image" Target="media/image17.jpeg"/><Relationship Id="rId54" Type="http://schemas.openxmlformats.org/officeDocument/2006/relationships/image" Target="media/image2.jpeg"/><Relationship Id="rId55" Type="http://schemas.openxmlformats.org/officeDocument/2006/relationships/image" Target="media/image17.jpeg"/><Relationship Id="rId56" Type="http://schemas.openxmlformats.org/officeDocument/2006/relationships/image" Target="media/image17.jpeg"/><Relationship Id="rId57" Type="http://schemas.openxmlformats.org/officeDocument/2006/relationships/image" Target="media/image19.jpeg"/><Relationship Id="rId58" Type="http://schemas.openxmlformats.org/officeDocument/2006/relationships/image" Target="media/image2.jpeg"/><Relationship Id="rId59" Type="http://schemas.openxmlformats.org/officeDocument/2006/relationships/image" Target="media/image20.jpeg"/><Relationship Id="rId60" Type="http://schemas.openxmlformats.org/officeDocument/2006/relationships/image" Target="media/image2.jpeg"/><Relationship Id="rId61" Type="http://schemas.openxmlformats.org/officeDocument/2006/relationships/image" Target="media/image21.jpeg"/><Relationship Id="rId62" Type="http://schemas.openxmlformats.org/officeDocument/2006/relationships/image" Target="media/image21.jpeg"/><Relationship Id="rId63" Type="http://schemas.openxmlformats.org/officeDocument/2006/relationships/image" Target="media/image22.jpeg"/><Relationship Id="rId64" Type="http://schemas.openxmlformats.org/officeDocument/2006/relationships/image" Target="media/image22.jpeg"/><Relationship Id="rId65" Type="http://schemas.openxmlformats.org/officeDocument/2006/relationships/image" Target="media/image2.jpeg"/><Relationship Id="rId66" Type="http://schemas.openxmlformats.org/officeDocument/2006/relationships/image" Target="media/image23.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4.jpeg"/><Relationship Id="rId70" Type="http://schemas.openxmlformats.org/officeDocument/2006/relationships/image" Target="media/image25.jpeg"/><Relationship Id="rId71" Type="http://schemas.openxmlformats.org/officeDocument/2006/relationships/image" Target="media/image26.jpeg"/><Relationship Id="rId72" Type="http://schemas.openxmlformats.org/officeDocument/2006/relationships/image" Target="media/image27.jpeg"/><Relationship Id="rId73" Type="http://schemas.openxmlformats.org/officeDocument/2006/relationships/image" Target="media/image28.jpeg"/><Relationship Id="rId74" Type="http://schemas.openxmlformats.org/officeDocument/2006/relationships/image" Target="media/image2.jpeg"/><Relationship Id="rId75" Type="http://schemas.openxmlformats.org/officeDocument/2006/relationships/image" Target="media/image29.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30.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31.jpeg"/><Relationship Id="rId83" Type="http://schemas.openxmlformats.org/officeDocument/2006/relationships/image" Target="media/image31.jpeg"/><Relationship Id="rId84" Type="http://schemas.openxmlformats.org/officeDocument/2006/relationships/image" Target="media/image2.jpeg"/><Relationship Id="rId85" Type="http://schemas.openxmlformats.org/officeDocument/2006/relationships/image" Target="media/image32.jpeg"/><Relationship Id="rId86" Type="http://schemas.openxmlformats.org/officeDocument/2006/relationships/image" Target="media/image33.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34.jpeg"/><Relationship Id="rId91" Type="http://schemas.openxmlformats.org/officeDocument/2006/relationships/image" Target="media/image35.jpeg"/><Relationship Id="rId92" Type="http://schemas.openxmlformats.org/officeDocument/2006/relationships/image" Target="media/image2.jpeg"/><Relationship Id="rId93" Type="http://schemas.openxmlformats.org/officeDocument/2006/relationships/image" Target="media/image36.jpeg"/><Relationship Id="rId94" Type="http://schemas.openxmlformats.org/officeDocument/2006/relationships/image" Target="media/image37.jpeg"/><Relationship Id="rId95" Type="http://schemas.openxmlformats.org/officeDocument/2006/relationships/image" Target="media/image2.jpeg"/><Relationship Id="rId96" Type="http://schemas.openxmlformats.org/officeDocument/2006/relationships/image" Target="media/image38.jpeg"/><Relationship Id="rId97" Type="http://schemas.openxmlformats.org/officeDocument/2006/relationships/image" Target="media/image39.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40.jpeg"/><Relationship Id="rId104" Type="http://schemas.openxmlformats.org/officeDocument/2006/relationships/image" Target="media/image41.jpeg"/><Relationship Id="rId105" Type="http://schemas.openxmlformats.org/officeDocument/2006/relationships/image" Target="media/image2.jpeg"/><Relationship Id="rId106" Type="http://schemas.openxmlformats.org/officeDocument/2006/relationships/image" Target="media/image4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43.jpeg"/><Relationship Id="rId110" Type="http://schemas.openxmlformats.org/officeDocument/2006/relationships/image" Target="media/image44.jpeg"/><Relationship Id="rId111" Type="http://schemas.openxmlformats.org/officeDocument/2006/relationships/image" Target="media/image2.jpeg"/><Relationship Id="rId112" Type="http://schemas.openxmlformats.org/officeDocument/2006/relationships/image" Target="media/image45.jpeg"/><Relationship Id="rId113" Type="http://schemas.openxmlformats.org/officeDocument/2006/relationships/image" Target="media/image45.jpeg"/><Relationship Id="rId114" Type="http://schemas.openxmlformats.org/officeDocument/2006/relationships/image" Target="media/image46.jpeg"/><Relationship Id="rId115" Type="http://schemas.openxmlformats.org/officeDocument/2006/relationships/image" Target="media/image46.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47.jpeg"/><Relationship Id="rId121" Type="http://schemas.openxmlformats.org/officeDocument/2006/relationships/image" Target="media/image2.jpeg"/><Relationship Id="rId122" Type="http://schemas.openxmlformats.org/officeDocument/2006/relationships/image" Target="media/image48.jpeg"/><Relationship Id="rId123" Type="http://schemas.openxmlformats.org/officeDocument/2006/relationships/image" Target="media/image2.jpeg"/><Relationship Id="rId124" Type="http://schemas.openxmlformats.org/officeDocument/2006/relationships/image" Target="media/image49.jpeg"/><Relationship Id="rId125" Type="http://schemas.openxmlformats.org/officeDocument/2006/relationships/image" Target="media/image50.jpeg"/><Relationship Id="rId126" Type="http://schemas.openxmlformats.org/officeDocument/2006/relationships/image" Target="media/image2.jpeg"/><Relationship Id="rId127" Type="http://schemas.openxmlformats.org/officeDocument/2006/relationships/image" Target="media/image51.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52.jpeg"/><Relationship Id="rId131" Type="http://schemas.openxmlformats.org/officeDocument/2006/relationships/image" Target="media/image2.jpeg"/><Relationship Id="rId132" Type="http://schemas.openxmlformats.org/officeDocument/2006/relationships/image" Target="media/image53.jpeg"/><Relationship Id="rId133" Type="http://schemas.openxmlformats.org/officeDocument/2006/relationships/image" Target="media/image54.jpeg"/><Relationship Id="rId134" Type="http://schemas.openxmlformats.org/officeDocument/2006/relationships/image" Target="media/image2.jpeg"/><Relationship Id="rId135" Type="http://schemas.openxmlformats.org/officeDocument/2006/relationships/image" Target="media/image55.jpeg"/><Relationship Id="rId136" Type="http://schemas.openxmlformats.org/officeDocument/2006/relationships/image" Target="media/image56.jpeg"/><Relationship Id="rId137" Type="http://schemas.openxmlformats.org/officeDocument/2006/relationships/image" Target="media/image2.jpeg"/><Relationship Id="rId138" Type="http://schemas.openxmlformats.org/officeDocument/2006/relationships/image" Target="media/image57.jpeg"/><Relationship Id="rId139" Type="http://schemas.openxmlformats.org/officeDocument/2006/relationships/image" Target="media/image58.jpeg"/><Relationship Id="rId140" Type="http://schemas.openxmlformats.org/officeDocument/2006/relationships/image" Target="media/image2.jpeg"/><Relationship Id="rId141" Type="http://schemas.openxmlformats.org/officeDocument/2006/relationships/image" Target="media/image59.jpeg"/><Relationship Id="rId142" Type="http://schemas.openxmlformats.org/officeDocument/2006/relationships/image" Target="media/image60.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2.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image" Target="media/image2.jpeg"/><Relationship Id="rId149" Type="http://schemas.openxmlformats.org/officeDocument/2006/relationships/image" Target="media/image2.jpeg"/><Relationship Id="rId150" Type="http://schemas.openxmlformats.org/officeDocument/2006/relationships/image" Target="media/image2.jpeg"/><Relationship Id="rId151" Type="http://schemas.openxmlformats.org/officeDocument/2006/relationships/image" Target="media/image2.jpeg"/><Relationship Id="rId152" Type="http://schemas.openxmlformats.org/officeDocument/2006/relationships/image" Target="media/image2.jpeg"/><Relationship Id="rId153" Type="http://schemas.openxmlformats.org/officeDocument/2006/relationships/image" Target="media/image2.jpeg"/><Relationship Id="rId154" Type="http://schemas.openxmlformats.org/officeDocument/2006/relationships/image" Target="media/image2.jpeg"/><Relationship Id="rId155" Type="http://schemas.openxmlformats.org/officeDocument/2006/relationships/image" Target="media/image2.jpeg"/><Relationship Id="rId156" Type="http://schemas.openxmlformats.org/officeDocument/2006/relationships/image" Target="media/image2.jpeg"/><Relationship Id="rId157" Type="http://schemas.openxmlformats.org/officeDocument/2006/relationships/image" Target="media/image2.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fontTable" Target="fontTable.xml"/><Relationship Id="rId1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28468</Words>
  <Characters>156345</Characters>
  <CharactersWithSpaces>191170</CharactersWithSpaces>
  <Paragraphs>11831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