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5731510</wp:posOffset>
            </wp:positionH>
            <wp:positionV relativeFrom="page">
              <wp:posOffset>397510</wp:posOffset>
            </wp:positionV>
            <wp:extent cx="1672590"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725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August 27, 2009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Peruvian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Board of Directors, in its session held on August 26, 2009, was informed that the Board of Directors of Banco de Crédito (BCP), one of its subsidiaries, designated Mr. José Espósito Li-Carrillo as the new Head of Audit Division within Banco de Crédito, replacing Mr. Jorge Bellido Llosa, who leaves his position to assume other important responsibilities within the organization.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BCP’s Board of Directors appointed Mr. Espósito based on his academic and professional background, his outstanding performance and contribution in the roles held at BCP and Pacífico Grupo Asegurador, Credicorp’s subsidiaries, and his proven morals and experience required for the new responsibilities.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Credicorp’s Board of Directors considered the information provided by BCP as well as the recommendation presented by Credicorp’s Audit Committee and ratified that BCP’s Audit Division and his new Head will continue performing the functions of Internal Audit for Credicorp Ltd.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This decision, according to the terms defined by BCP’s Board of Directors, will be effective on January 1,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27,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2019-12-10T14:10:06Z</dcterms:created>
  <dcterms:modified xsi:type="dcterms:W3CDTF">2019-12-10T14:10:06Z</dcterms:modified>
</cp:coreProperties>
</file>