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 6</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169545</wp:posOffset>
            </wp:positionV>
            <wp:extent cx="14147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80"/>
        <w:spacing w:after="0" w:line="211" w:lineRule="auto"/>
        <w:rPr>
          <w:sz w:val="20"/>
          <w:szCs w:val="20"/>
          <w:color w:val="auto"/>
        </w:rPr>
      </w:pPr>
      <w:r>
        <w:rPr>
          <w:rFonts w:ascii="Arial" w:cs="Arial" w:eastAsia="Arial" w:hAnsi="Arial"/>
          <w:sz w:val="18"/>
          <w:szCs w:val="18"/>
          <w:b w:val="1"/>
          <w:bCs w:val="1"/>
          <w:color w:val="auto"/>
        </w:rPr>
        <w:t>Lima, Peru, February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2018 </w:t>
      </w:r>
      <w:r>
        <w:rPr>
          <w:rFonts w:ascii="Arial" w:cs="Arial" w:eastAsia="Arial" w:hAnsi="Arial"/>
          <w:sz w:val="18"/>
          <w:szCs w:val="18"/>
          <w:color w:val="auto"/>
        </w:rPr>
        <w:t>– Credicorp (NYSE: BAP) announced its unaudited results for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These results are consolidated according to IFRS in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-298450</wp:posOffset>
            </wp:positionV>
            <wp:extent cx="1457960" cy="7735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7735570"/>
                    </a:xfrm>
                    <a:prstGeom prst="rect">
                      <a:avLst/>
                    </a:prstGeom>
                    <a:noFill/>
                  </pic:spPr>
                </pic:pic>
              </a:graphicData>
            </a:graphic>
          </wp:anchor>
        </w:drawing>
      </w:r>
    </w:p>
    <w:p>
      <w:pPr>
        <w:spacing w:after="0" w:line="180"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Fourth Quarter Results 2017</w:t>
      </w:r>
    </w:p>
    <w:p>
      <w:pPr>
        <w:spacing w:after="0" w:line="229" w:lineRule="exact"/>
        <w:rPr>
          <w:sz w:val="20"/>
          <w:szCs w:val="20"/>
          <w:color w:val="auto"/>
        </w:rPr>
      </w:pPr>
    </w:p>
    <w:p>
      <w:pPr>
        <w:ind w:left="1680" w:right="20"/>
        <w:spacing w:after="0" w:line="277" w:lineRule="auto"/>
        <w:rPr>
          <w:sz w:val="20"/>
          <w:szCs w:val="20"/>
          <w:color w:val="auto"/>
        </w:rPr>
      </w:pPr>
      <w:r>
        <w:rPr>
          <w:rFonts w:ascii="Arial" w:cs="Arial" w:eastAsia="Arial" w:hAnsi="Arial"/>
          <w:sz w:val="18"/>
          <w:szCs w:val="18"/>
          <w:color w:val="auto"/>
        </w:rPr>
        <w:t>In 4Q17, Credicorp reported net income of S/ 1,063.7 million, which translated into a ROAE and ROAA of 19.5% and 2.5% respectively. The results in 4Q17 show:</w:t>
      </w:r>
    </w:p>
    <w:p>
      <w:pPr>
        <w:spacing w:after="0" w:line="170" w:lineRule="exact"/>
        <w:rPr>
          <w:sz w:val="20"/>
          <w:szCs w:val="20"/>
          <w:color w:val="auto"/>
        </w:rPr>
      </w:pPr>
    </w:p>
    <w:p>
      <w:pPr>
        <w:jc w:val="both"/>
        <w:ind w:left="1680" w:hanging="9"/>
        <w:spacing w:after="0" w:line="279" w:lineRule="auto"/>
        <w:tabs>
          <w:tab w:leader="none" w:pos="1878" w:val="left"/>
        </w:tabs>
        <w:numPr>
          <w:ilvl w:val="0"/>
          <w:numId w:val="1"/>
        </w:numPr>
        <w:rPr>
          <w:rFonts w:ascii="Arial" w:cs="Arial" w:eastAsia="Arial" w:hAnsi="Arial"/>
          <w:sz w:val="17"/>
          <w:szCs w:val="17"/>
          <w:color w:val="auto"/>
        </w:rPr>
      </w:pPr>
      <w:r>
        <w:rPr>
          <w:rFonts w:ascii="Arial" w:cs="Arial" w:eastAsia="Arial" w:hAnsi="Arial"/>
          <w:sz w:val="17"/>
          <w:szCs w:val="17"/>
          <w:color w:val="auto"/>
        </w:rPr>
        <w:t>Growth of +2.8% QoQ and +3.0% YoY in average daily loan balances, which topped the levels observed in previous quarters. Expansion, unlike in previous quarters, was led by Wholesale Banking through its Corporate Banking (+3.1% QoQ) and Middle Market Banking segments (2.4% QoQ), followed by SME-Pyme, Mibanco and Mortgage. This growth was registered almost completely in the LC-denominated portfolio.</w:t>
      </w:r>
    </w:p>
    <w:p>
      <w:pPr>
        <w:spacing w:after="0" w:line="171" w:lineRule="exact"/>
        <w:rPr>
          <w:rFonts w:ascii="Arial" w:cs="Arial" w:eastAsia="Arial" w:hAnsi="Arial"/>
          <w:sz w:val="17"/>
          <w:szCs w:val="17"/>
          <w:color w:val="auto"/>
        </w:rPr>
      </w:pPr>
    </w:p>
    <w:p>
      <w:pPr>
        <w:ind w:left="1680" w:hanging="9"/>
        <w:spacing w:after="0" w:line="277" w:lineRule="auto"/>
        <w:tabs>
          <w:tab w:leader="none" w:pos="1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line with the gradual recovery observed in loan growth, net interest income (NII) increased +2.0% QoQ and +1.1% YoY. In this context, the net interest margin (NIM) fell -4 bps QoQ and -30 bps YoY.</w:t>
      </w:r>
    </w:p>
    <w:p>
      <w:pPr>
        <w:spacing w:after="0" w:line="170" w:lineRule="exact"/>
        <w:rPr>
          <w:rFonts w:ascii="Arial" w:cs="Arial" w:eastAsia="Arial" w:hAnsi="Arial"/>
          <w:sz w:val="18"/>
          <w:szCs w:val="18"/>
          <w:color w:val="auto"/>
        </w:rPr>
      </w:pPr>
    </w:p>
    <w:p>
      <w:pPr>
        <w:jc w:val="both"/>
        <w:ind w:left="1680" w:hanging="9"/>
        <w:spacing w:after="0" w:line="286" w:lineRule="auto"/>
        <w:tabs>
          <w:tab w:leader="none" w:pos="1839"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cost of risk (CofR) increased +17 bps QoQ to situate at 1.76% after having hit its lowest level since 2013 in 3Q17 of this year. This result was mainly attributable to an increase in provisions for SME-Pyme and Mibanco. Nevertheless, the CofR fell -18 bps YoY. In this context, the risk-adjusted NIM fell -17 bps QoQ and YoY.</w:t>
      </w:r>
    </w:p>
    <w:p>
      <w:pPr>
        <w:spacing w:after="0" w:line="165" w:lineRule="exact"/>
        <w:rPr>
          <w:rFonts w:ascii="Arial" w:cs="Arial" w:eastAsia="Arial" w:hAnsi="Arial"/>
          <w:sz w:val="17"/>
          <w:szCs w:val="17"/>
          <w:color w:val="auto"/>
        </w:rPr>
      </w:pPr>
    </w:p>
    <w:p>
      <w:pPr>
        <w:jc w:val="both"/>
        <w:ind w:left="1680" w:hanging="9"/>
        <w:spacing w:after="0" w:line="302" w:lineRule="auto"/>
        <w:tabs>
          <w:tab w:leader="none" w:pos="181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main components of non-financial income, Fee income and Gains on foreign exchange transactions, were more dynamic in 4Q17 (+9.0% and +14.5% QoQ respectively) than in previous quarters. The aforementioned attenuated the contraction in gains on sales of securities, which were particularly high in 3Q17 due to income from the sale of shares in BCI. In this context, non-financial income contracted -0.9% QoQ but increased 25.8% YoY.</w:t>
      </w:r>
    </w:p>
    <w:p>
      <w:pPr>
        <w:spacing w:after="0" w:line="154" w:lineRule="exact"/>
        <w:rPr>
          <w:rFonts w:ascii="Arial" w:cs="Arial" w:eastAsia="Arial" w:hAnsi="Arial"/>
          <w:sz w:val="16"/>
          <w:szCs w:val="16"/>
          <w:color w:val="auto"/>
        </w:rPr>
      </w:pPr>
    </w:p>
    <w:p>
      <w:pPr>
        <w:jc w:val="both"/>
        <w:ind w:left="1680" w:hanging="9"/>
        <w:spacing w:after="0" w:line="259" w:lineRule="auto"/>
        <w:tabs>
          <w:tab w:leader="none" w:pos="19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contracted -1.3% QoQ but grew +9.1% YoY. The QoQ contraction was attributable to an increase in claims and a decrease in net earned premiums, which was attenuated by a drop in the acquisition cost. The YoY increase reflects a decrease in claims, which offset the slight reduction in net earned premiums and an increase in acquisition cost.</w:t>
      </w:r>
    </w:p>
    <w:p>
      <w:pPr>
        <w:spacing w:after="0" w:line="186" w:lineRule="exact"/>
        <w:rPr>
          <w:rFonts w:ascii="Arial" w:cs="Arial" w:eastAsia="Arial" w:hAnsi="Arial"/>
          <w:sz w:val="18"/>
          <w:szCs w:val="18"/>
          <w:color w:val="auto"/>
        </w:rPr>
      </w:pPr>
    </w:p>
    <w:p>
      <w:pPr>
        <w:jc w:val="both"/>
        <w:ind w:left="1680" w:hanging="9"/>
        <w:spacing w:after="0" w:line="264" w:lineRule="auto"/>
        <w:tabs>
          <w:tab w:leader="none" w:pos="181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increased +160 bps QoQ and +180 bps YoY due to a significant increase in operating expenses, which was attributable to the seasonal increase that is present every 4Q, and to the speed-up of the “Transformation” strategic initiative during the 4Q.</w:t>
      </w:r>
    </w:p>
    <w:p>
      <w:pPr>
        <w:spacing w:after="0" w:line="181" w:lineRule="exact"/>
        <w:rPr>
          <w:rFonts w:ascii="Arial" w:cs="Arial" w:eastAsia="Arial" w:hAnsi="Arial"/>
          <w:sz w:val="18"/>
          <w:szCs w:val="18"/>
          <w:color w:val="auto"/>
        </w:rPr>
      </w:pPr>
    </w:p>
    <w:p>
      <w:pPr>
        <w:ind w:left="1680" w:hanging="9"/>
        <w:spacing w:after="0" w:line="277" w:lineRule="auto"/>
        <w:tabs>
          <w:tab w:leader="none" w:pos="184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accumulated terms, the results for 2017 reveal net income of S/ 4,091.8 million. This represents an ROAE and ROAA of 19.8% and 2.5% respectively. The aforementioned was due to:</w:t>
      </w:r>
    </w:p>
    <w:p>
      <w:pPr>
        <w:spacing w:after="0" w:line="170" w:lineRule="exact"/>
        <w:rPr>
          <w:rFonts w:ascii="Arial" w:cs="Arial" w:eastAsia="Arial" w:hAnsi="Arial"/>
          <w:sz w:val="18"/>
          <w:szCs w:val="18"/>
          <w:color w:val="auto"/>
        </w:rPr>
      </w:pPr>
    </w:p>
    <w:p>
      <w:pPr>
        <w:ind w:left="1680" w:hanging="9"/>
        <w:spacing w:after="0" w:line="277" w:lineRule="auto"/>
        <w:tabs>
          <w:tab w:leader="none" w:pos="1869"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+1.9% in average daily loan balances, which was led by Mibanco, SME-Pyme and Mortgage. This growth was generated primarily by the LC portfolio.</w:t>
      </w:r>
    </w:p>
    <w:p>
      <w:pPr>
        <w:spacing w:after="0" w:line="170" w:lineRule="exact"/>
        <w:rPr>
          <w:rFonts w:ascii="Arial" w:cs="Arial" w:eastAsia="Arial" w:hAnsi="Arial"/>
          <w:sz w:val="18"/>
          <w:szCs w:val="18"/>
          <w:color w:val="auto"/>
        </w:rPr>
      </w:pPr>
    </w:p>
    <w:p>
      <w:pPr>
        <w:jc w:val="both"/>
        <w:ind w:left="1680" w:hanging="9"/>
        <w:spacing w:after="0" w:line="264" w:lineRule="auto"/>
        <w:tabs>
          <w:tab w:leader="none" w:pos="1833"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 growth in loans, which posted gradual recovery at year-end, and the contraction in margins within Wholesale Banking, led NII to increase +2.5% with regard to the level posted in 2016. In this context, NIM was situated at 5.28%, which represented a contraction of -14 bps with regard to 2016’s level.</w:t>
      </w:r>
    </w:p>
    <w:p>
      <w:pPr>
        <w:spacing w:after="0" w:line="181" w:lineRule="exact"/>
        <w:rPr>
          <w:rFonts w:ascii="Arial" w:cs="Arial" w:eastAsia="Arial" w:hAnsi="Arial"/>
          <w:sz w:val="18"/>
          <w:szCs w:val="18"/>
          <w:color w:val="auto"/>
        </w:rPr>
      </w:pPr>
    </w:p>
    <w:p>
      <w:pPr>
        <w:jc w:val="both"/>
        <w:ind w:left="1680" w:hanging="9"/>
        <w:spacing w:after="0" w:line="272" w:lineRule="auto"/>
        <w:tabs>
          <w:tab w:leader="none" w:pos="182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CofR fell -10 bps to situate at 1.78% at year-end. This level was lower than the 1.82% reported in 2012, before Mibanco was acquired and before the starting point for Peru’s economic slowdown. This result is even more noteworthy if we consider the provisions that were set aside in 2017 for FEN and Lava Jato. The cost of risk of the underlying portfolio fell -22 bps from 1.88% in 2016 to 1.66% in 2017, in line with portfolio growth and with a decrease in provisions for the underlying portfolio, which reflected the fruits of efforts over the last 3 years to improve commercial and risk management. In a scenario marked by a contraction in NIM, the decrease in the CofR significantly attenuated the drop in risk-adjusted NIM, which was only -8 bps.</w:t>
      </w:r>
    </w:p>
    <w:p>
      <w:pPr>
        <w:spacing w:after="0" w:line="177" w:lineRule="exact"/>
        <w:rPr>
          <w:rFonts w:ascii="Arial" w:cs="Arial" w:eastAsia="Arial" w:hAnsi="Arial"/>
          <w:sz w:val="17"/>
          <w:szCs w:val="17"/>
          <w:color w:val="auto"/>
        </w:rPr>
      </w:pPr>
    </w:p>
    <w:p>
      <w:pPr>
        <w:jc w:val="both"/>
        <w:ind w:left="1680" w:hanging="9"/>
        <w:spacing w:after="0" w:line="264" w:lineRule="auto"/>
        <w:tabs>
          <w:tab w:leader="none" w:pos="1878"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in fee income and higher gains on sale of securities helped offset the contraction in gains on foreign exchange transactions. In this context, non-financial income expanded +17.9% with regard to the level achieved in 2016.</w:t>
      </w:r>
    </w:p>
    <w:p>
      <w:pPr>
        <w:spacing w:after="0" w:line="181" w:lineRule="exact"/>
        <w:rPr>
          <w:rFonts w:ascii="Arial" w:cs="Arial" w:eastAsia="Arial" w:hAnsi="Arial"/>
          <w:sz w:val="18"/>
          <w:szCs w:val="18"/>
          <w:color w:val="auto"/>
        </w:rPr>
      </w:pPr>
    </w:p>
    <w:p>
      <w:pPr>
        <w:ind w:left="1680" w:right="20" w:hanging="9"/>
        <w:spacing w:after="0" w:line="277" w:lineRule="auto"/>
        <w:tabs>
          <w:tab w:leader="none" w:pos="18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contracted -3.7% despite growth in net earned premiums due to an increase in claims and in the acquisition cost.</w:t>
      </w:r>
    </w:p>
    <w:p>
      <w:pPr>
        <w:spacing w:after="0" w:line="170" w:lineRule="exact"/>
        <w:rPr>
          <w:rFonts w:ascii="Arial" w:cs="Arial" w:eastAsia="Arial" w:hAnsi="Arial"/>
          <w:sz w:val="18"/>
          <w:szCs w:val="18"/>
          <w:color w:val="auto"/>
        </w:rPr>
      </w:pPr>
    </w:p>
    <w:p>
      <w:pPr>
        <w:jc w:val="both"/>
        <w:ind w:left="1680" w:hanging="9"/>
        <w:spacing w:after="0" w:line="264" w:lineRule="auto"/>
        <w:tabs>
          <w:tab w:leader="none" w:pos="1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increased 20 bps to situate at 43.7% due to a decrease in income generation in a scenario of low growth in loans and to higher growth in expenses, which was attributable to the speed-up of the “Transformation” strategic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4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Fourth Quarter Results 2017</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tcPr>
          <w:p>
            <w:pPr>
              <w:ind w:left="160"/>
              <w:spacing w:after="0"/>
              <w:rPr>
                <w:sz w:val="20"/>
                <w:szCs w:val="20"/>
                <w:color w:val="auto"/>
              </w:rPr>
            </w:pPr>
            <w:r>
              <w:rPr>
                <w:rFonts w:ascii="Arial" w:cs="Arial" w:eastAsia="Arial" w:hAnsi="Arial"/>
                <w:sz w:val="18"/>
                <w:szCs w:val="18"/>
                <w:color w:val="auto"/>
              </w:rPr>
              <w:t>Financial Overview</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Evolution of IEA</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Credicorp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w w:val="89"/>
              </w:rPr>
              <w:t>1.2.1</w:t>
            </w:r>
          </w:p>
        </w:tc>
        <w:tc>
          <w:tcPr>
            <w:tcW w:w="7420" w:type="dxa"/>
            <w:vAlign w:val="bottom"/>
          </w:tcPr>
          <w:p>
            <w:pPr>
              <w:ind w:left="240"/>
              <w:spacing w:after="0"/>
              <w:rPr>
                <w:sz w:val="20"/>
                <w:szCs w:val="20"/>
                <w:color w:val="auto"/>
              </w:rPr>
            </w:pPr>
            <w:r>
              <w:rPr>
                <w:rFonts w:ascii="Arial" w:cs="Arial" w:eastAsia="Arial" w:hAnsi="Arial"/>
                <w:sz w:val="18"/>
                <w:szCs w:val="18"/>
                <w:color w:val="auto"/>
              </w:rPr>
              <w:t>Loan evolution by business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1.2.2</w:t>
            </w: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Evolution of dollarization by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w w:val="89"/>
              </w:rPr>
              <w:t>1.2.3</w:t>
            </w:r>
          </w:p>
        </w:tc>
        <w:tc>
          <w:tcPr>
            <w:tcW w:w="7420" w:type="dxa"/>
            <w:vAlign w:val="bottom"/>
          </w:tcPr>
          <w:p>
            <w:pPr>
              <w:ind w:left="240"/>
              <w:spacing w:after="0"/>
              <w:rPr>
                <w:sz w:val="20"/>
                <w:szCs w:val="20"/>
                <w:color w:val="auto"/>
              </w:rPr>
            </w:pPr>
            <w:r>
              <w:rPr>
                <w:rFonts w:ascii="Arial" w:cs="Arial" w:eastAsia="Arial" w:hAnsi="Arial"/>
                <w:sz w:val="18"/>
                <w:szCs w:val="18"/>
                <w:color w:val="auto"/>
              </w:rPr>
              <w:t>BCRP de-dollarization plan at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1.2.4</w:t>
            </w: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 share in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Funding Structure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2.2</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2.2.1</w:t>
            </w: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 dollarization</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w w:val="89"/>
              </w:rPr>
              <w:t>2.2.2</w:t>
            </w:r>
          </w:p>
        </w:tc>
        <w:tc>
          <w:tcPr>
            <w:tcW w:w="7420" w:type="dxa"/>
            <w:vAlign w:val="bottom"/>
          </w:tcPr>
          <w:p>
            <w:pPr>
              <w:ind w:left="240"/>
              <w:spacing w:after="0"/>
              <w:rPr>
                <w:sz w:val="20"/>
                <w:szCs w:val="20"/>
                <w:color w:val="auto"/>
              </w:rPr>
            </w:pPr>
            <w:r>
              <w:rPr>
                <w:rFonts w:ascii="Arial" w:cs="Arial" w:eastAsia="Arial" w:hAnsi="Arial"/>
                <w:sz w:val="18"/>
                <w:szCs w:val="18"/>
                <w:color w:val="auto"/>
              </w:rPr>
              <w:t>Market share in 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2.3</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2.4</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Loan / Deposit (L/D)</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Funding Cost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2.6</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Mutual Funds</w:t>
            </w:r>
          </w:p>
        </w:tc>
        <w:tc>
          <w:tcPr>
            <w:tcW w:w="3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Portfolio Quality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w w:val="89"/>
              </w:rPr>
              <w:t>3.2.1</w:t>
            </w:r>
          </w:p>
        </w:tc>
        <w:tc>
          <w:tcPr>
            <w:tcW w:w="7420" w:type="dxa"/>
            <w:vAlign w:val="bottom"/>
          </w:tcPr>
          <w:p>
            <w:pPr>
              <w:ind w:left="240"/>
              <w:spacing w:after="0"/>
              <w:rPr>
                <w:sz w:val="20"/>
                <w:szCs w:val="20"/>
                <w:color w:val="auto"/>
              </w:rPr>
            </w:pPr>
            <w:r>
              <w:rPr>
                <w:rFonts w:ascii="Arial" w:cs="Arial" w:eastAsia="Arial" w:hAnsi="Arial"/>
                <w:sz w:val="18"/>
                <w:szCs w:val="18"/>
                <w:color w:val="auto"/>
              </w:rPr>
              <w:t>Delinquency indicators by business line</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4.3</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Net Interest Margin (NIM) and Risk-Adjusted NIM</w:t>
            </w:r>
          </w:p>
        </w:tc>
        <w:tc>
          <w:tcPr>
            <w:tcW w:w="3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5.1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Fee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5.1.1</w:t>
            </w: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By subsidiary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w w:val="89"/>
              </w:rPr>
              <w:t>5.1.2</w:t>
            </w:r>
          </w:p>
        </w:tc>
        <w:tc>
          <w:tcPr>
            <w:tcW w:w="7420" w:type="dxa"/>
            <w:vAlign w:val="bottom"/>
          </w:tcPr>
          <w:p>
            <w:pPr>
              <w:ind w:left="240"/>
              <w:spacing w:after="0"/>
              <w:rPr>
                <w:sz w:val="20"/>
                <w:szCs w:val="20"/>
                <w:color w:val="auto"/>
              </w:rPr>
            </w:pPr>
            <w:r>
              <w:rPr>
                <w:rFonts w:ascii="Arial" w:cs="Arial" w:eastAsia="Arial" w:hAnsi="Arial"/>
                <w:sz w:val="18"/>
                <w:szCs w:val="18"/>
                <w:color w:val="auto"/>
              </w:rPr>
              <w:t>Banking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Net earned premiums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6.3</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Acquisition cost</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8.</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Regulatory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Regulatory Capital – BAP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8.2</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Banking business’s Distribution channels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Economic Perspectives</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7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Appendix</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11.1</w:t>
            </w:r>
          </w:p>
        </w:tc>
        <w:tc>
          <w:tcPr>
            <w:tcW w:w="7420" w:type="dxa"/>
            <w:vAlign w:val="bottom"/>
          </w:tcPr>
          <w:p>
            <w:pPr>
              <w:ind w:left="20"/>
              <w:spacing w:after="0"/>
              <w:rPr>
                <w:sz w:val="20"/>
                <w:szCs w:val="20"/>
                <w:color w:val="auto"/>
              </w:rPr>
            </w:pPr>
            <w:r>
              <w:rPr>
                <w:rFonts w:ascii="Arial" w:cs="Arial" w:eastAsia="Arial" w:hAnsi="Arial"/>
                <w:sz w:val="18"/>
                <w:szCs w:val="18"/>
                <w:color w:val="auto"/>
              </w:rPr>
              <w:t>Credicorp</w:t>
            </w:r>
          </w:p>
        </w:tc>
        <w:tc>
          <w:tcPr>
            <w:tcW w:w="32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BCP Consolidated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11.3</w:t>
            </w:r>
          </w:p>
        </w:tc>
        <w:tc>
          <w:tcPr>
            <w:tcW w:w="7420" w:type="dxa"/>
            <w:vAlign w:val="bottom"/>
          </w:tcPr>
          <w:p>
            <w:pPr>
              <w:ind w:left="20"/>
              <w:spacing w:after="0"/>
              <w:rPr>
                <w:sz w:val="20"/>
                <w:szCs w:val="20"/>
                <w:color w:val="auto"/>
              </w:rPr>
            </w:pPr>
            <w:r>
              <w:rPr>
                <w:rFonts w:ascii="Arial" w:cs="Arial" w:eastAsia="Arial" w:hAnsi="Arial"/>
                <w:sz w:val="18"/>
                <w:szCs w:val="18"/>
                <w:color w:val="auto"/>
              </w:rPr>
              <w:t>Mibanco</w:t>
            </w:r>
          </w:p>
        </w:tc>
        <w:tc>
          <w:tcPr>
            <w:tcW w:w="3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BCP Bolivia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11.5</w:t>
            </w:r>
          </w:p>
        </w:tc>
        <w:tc>
          <w:tcPr>
            <w:tcW w:w="7420" w:type="dxa"/>
            <w:vAlign w:val="bottom"/>
          </w:tcPr>
          <w:p>
            <w:pPr>
              <w:ind w:left="20"/>
              <w:spacing w:after="0"/>
              <w:rPr>
                <w:sz w:val="20"/>
                <w:szCs w:val="20"/>
                <w:color w:val="auto"/>
              </w:rPr>
            </w:pPr>
            <w:r>
              <w:rPr>
                <w:rFonts w:ascii="Arial" w:cs="Arial" w:eastAsia="Arial" w:hAnsi="Arial"/>
                <w:sz w:val="18"/>
                <w:szCs w:val="18"/>
                <w:color w:val="auto"/>
              </w:rPr>
              <w:t>Credicorp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11.6</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 Security Bank</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11.7</w:t>
            </w:r>
          </w:p>
        </w:tc>
        <w:tc>
          <w:tcPr>
            <w:tcW w:w="7420" w:type="dxa"/>
            <w:vAlign w:val="bottom"/>
          </w:tcPr>
          <w:p>
            <w:pPr>
              <w:ind w:left="20"/>
              <w:spacing w:after="0"/>
              <w:rPr>
                <w:sz w:val="20"/>
                <w:szCs w:val="20"/>
                <w:color w:val="auto"/>
              </w:rPr>
            </w:pPr>
            <w:r>
              <w:rPr>
                <w:rFonts w:ascii="Arial" w:cs="Arial" w:eastAsia="Arial" w:hAnsi="Arial"/>
                <w:sz w:val="18"/>
                <w:szCs w:val="18"/>
                <w:color w:val="auto"/>
              </w:rPr>
              <w:t>Grupo Pacifico</w:t>
            </w:r>
          </w:p>
        </w:tc>
        <w:tc>
          <w:tcPr>
            <w:tcW w:w="32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 AFP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11.9</w:t>
            </w:r>
          </w:p>
        </w:tc>
        <w:tc>
          <w:tcPr>
            <w:tcW w:w="7420" w:type="dxa"/>
            <w:vAlign w:val="bottom"/>
          </w:tcPr>
          <w:p>
            <w:pPr>
              <w:ind w:left="20"/>
              <w:spacing w:after="0"/>
              <w:rPr>
                <w:sz w:val="20"/>
                <w:szCs w:val="20"/>
                <w:color w:val="auto"/>
              </w:rPr>
            </w:pPr>
            <w:r>
              <w:rPr>
                <w:rFonts w:ascii="Arial" w:cs="Arial" w:eastAsia="Arial" w:hAnsi="Arial"/>
                <w:sz w:val="18"/>
                <w:szCs w:val="18"/>
                <w:color w:val="auto"/>
              </w:rPr>
              <w:t>Table of calculations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Fourth Quarter Results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780"/>
              <w:spacing w:after="0"/>
              <w:rPr>
                <w:sz w:val="20"/>
                <w:szCs w:val="20"/>
                <w:color w:val="auto"/>
              </w:rPr>
            </w:pPr>
            <w:r>
              <w:rPr>
                <w:rFonts w:ascii="Arial" w:cs="Arial" w:eastAsia="Arial" w:hAnsi="Arial"/>
                <w:sz w:val="14"/>
                <w:szCs w:val="14"/>
                <w:b w:val="1"/>
                <w:bCs w:val="1"/>
                <w:color w:val="auto"/>
                <w:w w:val="98"/>
              </w:rPr>
              <w:t>Year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85"/>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4Q17</w:t>
            </w: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2,043,422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2,024,516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2,065,974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7,878,031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8,071,487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(459,261)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(378,202)</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(441,250)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-3.9%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(1,785,495)</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(1,789,165)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1,584,161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1,646,314</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1,624,724</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6,092,536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6,282,322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 *</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1,016,276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1,290,384</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1,278,590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25.8%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3,963,061</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4,671,261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111,202</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122,959</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121,342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511,807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493,025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(1,488,945)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(1,445,137)</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(1,566,239)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(5,677,690)</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(5,871,674)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1,222,694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1,614,520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1,458,417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19.3%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4,889,714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5,574,934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(304,980)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(371,563)</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(371,284)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21.7%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(1,279,734)</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(1,393,286)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917,714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1,242,957</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1,087,133</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18.5%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3,609,980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4,181,648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15.8%</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22,747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24,656</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23,475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95,398</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89,895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894,967</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1,218,301</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1,063,658</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-12.7%</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18.8%</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3,514,582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4,091,753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Net income / share (S/)</w:t>
            </w:r>
          </w:p>
        </w:tc>
        <w:tc>
          <w:tcPr>
            <w:tcW w:w="780" w:type="dxa"/>
            <w:vAlign w:val="bottom"/>
          </w:tcPr>
          <w:p>
            <w:pPr>
              <w:jc w:val="right"/>
              <w:spacing w:after="0"/>
              <w:rPr>
                <w:sz w:val="20"/>
                <w:szCs w:val="20"/>
                <w:color w:val="auto"/>
              </w:rPr>
            </w:pPr>
            <w:r>
              <w:rPr>
                <w:rFonts w:ascii="Arial" w:cs="Arial" w:eastAsia="Arial" w:hAnsi="Arial"/>
                <w:sz w:val="14"/>
                <w:szCs w:val="14"/>
                <w:color w:val="auto"/>
              </w:rPr>
              <w:t>11.22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15.27</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13.34</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18.8%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44.06</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51.30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94,780,539</w:t>
            </w:r>
          </w:p>
        </w:tc>
        <w:tc>
          <w:tcPr>
            <w:tcW w:w="22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95,142,268</w:t>
            </w:r>
          </w:p>
        </w:tc>
        <w:tc>
          <w:tcPr>
            <w:tcW w:w="22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100,477,774</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6.0%</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94,780,539</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100,477,774</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86,119,855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92,893,915</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97,170,411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12.8%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86,119,855</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97,170,411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19,656,133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21,964,556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21,756,568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10.7%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19,656,133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21,756,568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4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5.32%</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5.28%</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5.42%</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5.28%</w:t>
            </w:r>
          </w:p>
        </w:tc>
        <w:tc>
          <w:tcPr>
            <w:tcW w:w="9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-14 bps</w:t>
            </w: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Risk adjusted Net interest margin *</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4.15%</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 bps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 bps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w:t>
            </w:r>
          </w:p>
        </w:tc>
        <w:tc>
          <w:tcPr>
            <w:tcW w:w="9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-8 bps</w:t>
            </w: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Funding cost *</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9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2 bps</w:t>
            </w: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-330 bps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100 bps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9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20 bps</w:t>
            </w:r>
          </w:p>
        </w:tc>
      </w:tr>
      <w:tr>
        <w:trPr>
          <w:trHeight w:val="162"/>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ROAA</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20 bps</w:t>
            </w:r>
          </w:p>
        </w:tc>
      </w:tr>
      <w:tr>
        <w:trPr>
          <w:trHeight w:val="142"/>
        </w:trPr>
        <w:tc>
          <w:tcPr>
            <w:tcW w:w="324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Delinquency ratio over 90 days</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9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13 bps</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3.02%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-2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24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2.76%</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24 bps</w:t>
            </w: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-11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27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27 bps</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(3)</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1.76%</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17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-18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1.78%</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-10 bps</w:t>
            </w: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153.8%</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149.1%</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-470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-1150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160.6%</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149.1%</w:t>
            </w:r>
          </w:p>
        </w:tc>
        <w:tc>
          <w:tcPr>
            <w:tcW w:w="9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-1150 bps</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Coverage of NPLs</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115.2%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114.4%</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-80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-710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121.5%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114.4%</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-710 bps</w:t>
            </w:r>
          </w:p>
        </w:tc>
      </w:tr>
      <w:tr>
        <w:trPr>
          <w:trHeight w:val="142"/>
        </w:trPr>
        <w:tc>
          <w:tcPr>
            <w:tcW w:w="3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(4)</w:t>
            </w:r>
            <w:r>
              <w:rPr>
                <w:rFonts w:ascii="Arial" w:cs="Arial" w:eastAsia="Arial" w:hAnsi="Arial"/>
                <w:sz w:val="13"/>
                <w:szCs w:val="13"/>
                <w:color w:val="auto"/>
              </w:rPr>
              <w:t xml:space="preserve"> *</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43.5%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160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180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43.5%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20 bps</w:t>
            </w:r>
          </w:p>
        </w:tc>
      </w:tr>
      <w:tr>
        <w:trPr>
          <w:trHeight w:val="162"/>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 / Total average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3.79%</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17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-10 bps</w:t>
            </w:r>
          </w:p>
        </w:tc>
      </w:tr>
      <w:tr>
        <w:trPr>
          <w:trHeight w:val="142"/>
        </w:trPr>
        <w:tc>
          <w:tcPr>
            <w:tcW w:w="3240" w:type="dxa"/>
            <w:vAlign w:val="bottom"/>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98.9%</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310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140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97.3%</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600 bps</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61.8%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57.8%</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58.6%</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80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-320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57.3%</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47.9%</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-940 bps</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-110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-420 bps</w:t>
            </w:r>
          </w:p>
        </w:tc>
      </w:tr>
      <w:tr>
        <w:trPr>
          <w:trHeight w:val="169"/>
        </w:trPr>
        <w:tc>
          <w:tcPr>
            <w:tcW w:w="3240" w:type="dxa"/>
            <w:vAlign w:val="bottom"/>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(7)</w:t>
            </w: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Capital (S/ Million) </w:t>
            </w:r>
            <w:r>
              <w:rPr>
                <w:rFonts w:ascii="Arial" w:cs="Arial" w:eastAsia="Arial" w:hAnsi="Arial"/>
                <w:sz w:val="21"/>
                <w:szCs w:val="21"/>
                <w:color w:val="auto"/>
                <w:vertAlign w:val="superscript"/>
              </w:rPr>
              <w:t>(8)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11,805</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11.08%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11.93%</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11.83%</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75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11.08%</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11.83%</w:t>
            </w:r>
          </w:p>
        </w:tc>
        <w:tc>
          <w:tcPr>
            <w:tcW w:w="940" w:type="dxa"/>
            <w:vAlign w:val="bottom"/>
            <w:gridSpan w:val="2"/>
          </w:tcPr>
          <w:p>
            <w:pPr>
              <w:jc w:val="right"/>
              <w:ind w:right="78"/>
              <w:spacing w:after="0"/>
              <w:rPr>
                <w:sz w:val="20"/>
                <w:szCs w:val="20"/>
                <w:color w:val="auto"/>
              </w:rPr>
            </w:pPr>
            <w:r>
              <w:rPr>
                <w:rFonts w:ascii="Arial" w:cs="Arial" w:eastAsia="Arial" w:hAnsi="Arial"/>
                <w:sz w:val="14"/>
                <w:szCs w:val="14"/>
                <w:color w:val="auto"/>
              </w:rPr>
              <w:t>75 bps</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3"/>
                <w:szCs w:val="23"/>
                <w:color w:val="auto"/>
                <w:vertAlign w:val="superscript"/>
              </w:rPr>
              <w:t>(10)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15.05%</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-130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15.05%</w:t>
            </w:r>
          </w:p>
        </w:tc>
        <w:tc>
          <w:tcPr>
            <w:tcW w:w="9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-30 bps</w:t>
            </w:r>
          </w:p>
        </w:tc>
      </w:tr>
      <w:tr>
        <w:trPr>
          <w:trHeight w:val="142"/>
        </w:trPr>
        <w:tc>
          <w:tcPr>
            <w:tcW w:w="3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33,283</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33,467</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33,636</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33,283</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33,636</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Outstanding Shares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Floating Shares </w:t>
            </w:r>
            <w:r>
              <w:rPr>
                <w:rFonts w:ascii="Arial" w:cs="Arial" w:eastAsia="Arial" w:hAnsi="Arial"/>
                <w:sz w:val="21"/>
                <w:szCs w:val="21"/>
                <w:color w:val="auto"/>
                <w:vertAlign w:val="superscript"/>
              </w:rPr>
              <w:t>(11)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Treasury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14,621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14,621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14,621</w:t>
            </w:r>
          </w:p>
        </w:tc>
        <w:tc>
          <w:tcPr>
            <w:tcW w:w="22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40" w:firstLine="8"/>
        <w:spacing w:after="0" w:line="258"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show the net gain in derivatives and the result by difference in exchange."</w:t>
      </w:r>
    </w:p>
    <w:p>
      <w:pPr>
        <w:spacing w:after="0" w:line="9"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(1)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(2)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Cost of risk: Annualized provision for loan losses / Total loans.</w:t>
      </w:r>
    </w:p>
    <w:p>
      <w:pPr>
        <w:spacing w:after="0" w:line="9" w:lineRule="exact"/>
        <w:rPr>
          <w:rFonts w:ascii="Arial" w:cs="Arial" w:eastAsia="Arial" w:hAnsi="Arial"/>
          <w:sz w:val="18"/>
          <w:szCs w:val="18"/>
          <w:color w:val="auto"/>
        </w:rPr>
      </w:pPr>
    </w:p>
    <w:p>
      <w:pPr>
        <w:ind w:right="140"/>
        <w:spacing w:after="0" w:line="250" w:lineRule="auto"/>
        <w:rPr>
          <w:rFonts w:ascii="Arial" w:cs="Arial" w:eastAsia="Arial" w:hAnsi="Arial"/>
          <w:sz w:val="18"/>
          <w:szCs w:val="18"/>
          <w:color w:val="auto"/>
        </w:rPr>
      </w:pPr>
      <w:r>
        <w:rPr>
          <w:rFonts w:ascii="Arial" w:cs="Arial" w:eastAsia="Arial" w:hAnsi="Arial"/>
          <w:sz w:val="18"/>
          <w:szCs w:val="18"/>
          <w:color w:val="auto"/>
        </w:rPr>
        <w:t>(4) Calculation has been adjusted, for more detail see Appendix 11.9. Efficiency ratio = [Total Expenses + Acquisition Cost - Other expenses] / [Net Interest Income + Fee Income + Net Gain on Foreign Exchange Transactions + Net Gain from Subsidiaries + Net Premiums Earned].</w:t>
      </w:r>
    </w:p>
    <w:p>
      <w:pPr>
        <w:spacing w:after="0"/>
        <w:rPr>
          <w:rFonts w:ascii="Arial" w:cs="Arial" w:eastAsia="Arial" w:hAnsi="Arial"/>
          <w:sz w:val="18"/>
          <w:szCs w:val="18"/>
          <w:color w:val="auto"/>
        </w:rPr>
      </w:pPr>
      <w:r>
        <w:rPr>
          <w:rFonts w:ascii="Arial" w:cs="Arial" w:eastAsia="Arial" w:hAnsi="Arial"/>
          <w:sz w:val="16"/>
          <w:szCs w:val="16"/>
          <w:color w:val="auto"/>
        </w:rPr>
        <w:t>(5) Combined ratio= (Net claims + General expenses + Fees + Underwriting expenses) / Net earned premiums. Does not include Life insurance business.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All Capital ratios are for BCP Stand-slone and based on Peru GAAP.</w:t>
      </w:r>
    </w:p>
    <w:p>
      <w:pPr>
        <w:spacing w:after="0" w:line="9" w:lineRule="exact"/>
        <w:rPr>
          <w:rFonts w:ascii="Arial" w:cs="Arial" w:eastAsia="Arial" w:hAnsi="Arial"/>
          <w:sz w:val="18"/>
          <w:szCs w:val="18"/>
          <w:color w:val="auto"/>
        </w:rPr>
      </w:pPr>
    </w:p>
    <w:p>
      <w:pPr>
        <w:ind w:right="400"/>
        <w:spacing w:after="0" w:line="265" w:lineRule="auto"/>
        <w:rPr>
          <w:rFonts w:ascii="Arial" w:cs="Arial" w:eastAsia="Arial" w:hAnsi="Arial"/>
          <w:sz w:val="18"/>
          <w:szCs w:val="18"/>
          <w:color w:val="auto"/>
        </w:rPr>
      </w:pPr>
      <w:r>
        <w:rPr>
          <w:rFonts w:ascii="Arial" w:cs="Arial" w:eastAsia="Arial" w:hAnsi="Arial"/>
          <w:sz w:val="17"/>
          <w:szCs w:val="17"/>
          <w:color w:val="auto"/>
        </w:rPr>
        <w:t>(8) 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(9) Common Equity Tier I = Capital + Reserves – 100% of applicable deductions (investment in subsidiaries, goodwill, intangibles and net deferred taxes that rely on future profitability) + retained earnings + unrealized gains.</w:t>
      </w:r>
    </w:p>
    <w:p>
      <w:pPr>
        <w:spacing w:after="0"/>
        <w:rPr>
          <w:rFonts w:ascii="Arial" w:cs="Arial" w:eastAsia="Arial" w:hAnsi="Arial"/>
          <w:sz w:val="18"/>
          <w:szCs w:val="18"/>
          <w:color w:val="auto"/>
        </w:rPr>
      </w:pPr>
      <w:r>
        <w:rPr>
          <w:rFonts w:ascii="Arial" w:cs="Arial" w:eastAsia="Arial" w:hAnsi="Arial"/>
          <w:sz w:val="18"/>
          <w:szCs w:val="18"/>
          <w:color w:val="auto"/>
        </w:rPr>
        <w:t>(10) Regulatory Capital / Risk-weighted assets (legal minimum = 10% since July 2011).</w:t>
      </w:r>
    </w:p>
    <w:p>
      <w:pPr>
        <w:spacing w:after="0" w:line="9" w:lineRule="exact"/>
        <w:rPr>
          <w:rFonts w:ascii="Arial" w:cs="Arial" w:eastAsia="Arial" w:hAnsi="Arial"/>
          <w:sz w:val="18"/>
          <w:szCs w:val="18"/>
          <w:color w:val="auto"/>
        </w:rPr>
      </w:pPr>
    </w:p>
    <w:p>
      <w:pPr>
        <w:ind w:right="160"/>
        <w:spacing w:after="0" w:line="323" w:lineRule="auto"/>
        <w:rPr>
          <w:rFonts w:ascii="Arial" w:cs="Arial" w:eastAsia="Arial" w:hAnsi="Arial"/>
          <w:sz w:val="18"/>
          <w:szCs w:val="18"/>
          <w:color w:val="auto"/>
        </w:rPr>
      </w:pPr>
      <w:r>
        <w:rPr>
          <w:rFonts w:ascii="Arial" w:cs="Arial" w:eastAsia="Arial" w:hAnsi="Arial"/>
          <w:sz w:val="16"/>
          <w:szCs w:val="16"/>
          <w:color w:val="auto"/>
        </w:rPr>
        <w:t>(11) It includes common shares directly or indirectly owned by Dionisio Romero Paoletti (Chairman of the Board) and his family or companies owned or controlled by them. As of February 8, 2017, Romero family owned 13,243,553 common shares and as of February 10, 2016, they owned 13,137,638 shares.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 change</w:t>
            </w:r>
          </w:p>
        </w:tc>
        <w:tc>
          <w:tcPr>
            <w:tcW w:w="114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Year</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48"/>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3Q17</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4Q17</w:t>
            </w: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2017 / 2016</w:t>
            </w:r>
          </w:p>
        </w:tc>
        <w:tc>
          <w:tcPr>
            <w:tcW w:w="180" w:type="dxa"/>
            <w:vAlign w:val="bottom"/>
            <w:tcBorders>
              <w:bottom w:val="single" w:sz="8" w:color="CCEEFF"/>
            </w:tcBorders>
          </w:tcPr>
          <w:p>
            <w:pPr>
              <w:spacing w:after="0"/>
              <w:rPr>
                <w:sz w:val="21"/>
                <w:szCs w:val="21"/>
                <w:color w:val="auto"/>
              </w:rPr>
            </w:pPr>
          </w:p>
        </w:tc>
      </w:tr>
      <w:tr>
        <w:trPr>
          <w:trHeight w:val="250"/>
        </w:trPr>
        <w:tc>
          <w:tcPr>
            <w:tcW w:w="29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740,347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789,854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733,244</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2,708,093</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2,936,833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30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99,208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113,058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116,851</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320,414</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380,578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18,755</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75,390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30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61,174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82,591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80,584</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299,099</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321,156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30,424</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140,081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16,591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14,288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14,142</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78,945</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69,430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41,629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48,904</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14.3%</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175,346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30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(17,666)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249,018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137,605</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-44.7%</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49,536</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373,517</w:t>
            </w:r>
          </w:p>
        </w:tc>
        <w:tc>
          <w:tcPr>
            <w:tcW w:w="100" w:type="dxa"/>
            <w:vAlign w:val="bottom"/>
          </w:tcPr>
          <w:p>
            <w:pPr>
              <w:spacing w:after="0"/>
              <w:rPr>
                <w:sz w:val="23"/>
                <w:szCs w:val="23"/>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N/A</w:t>
            </w:r>
          </w:p>
        </w:tc>
      </w:tr>
      <w:tr>
        <w:trPr>
          <w:trHeight w:val="210"/>
        </w:trPr>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894,967</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1,218,301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1,063,658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3,514,582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4,091,753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95.36% of Mibanco (directly and indirectly).</w:t>
      </w:r>
    </w:p>
    <w:p>
      <w:pPr>
        <w:spacing w:after="0" w:line="9"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98.68% of Grupo Pacifico (directly and indirectly).</w:t>
      </w:r>
    </w:p>
    <w:p>
      <w:pPr>
        <w:ind w:right="8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ind w:left="980"/>
              <w:spacing w:after="0"/>
              <w:rPr>
                <w:sz w:val="20"/>
                <w:szCs w:val="20"/>
                <w:color w:val="auto"/>
              </w:rPr>
            </w:pPr>
            <w:r>
              <w:rPr>
                <w:rFonts w:ascii="Arial" w:cs="Arial" w:eastAsia="Arial" w:hAnsi="Arial"/>
                <w:sz w:val="18"/>
                <w:szCs w:val="18"/>
                <w:b w:val="1"/>
                <w:bCs w:val="1"/>
                <w:color w:val="auto"/>
              </w:rPr>
              <w:t>Year</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20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4Q16</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3Q17</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4Q17</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50"/>
        </w:trPr>
        <w:tc>
          <w:tcPr>
            <w:tcW w:w="32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32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26.3%</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28.8%</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32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11.7%</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7.1%</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w w:val="79"/>
              </w:rPr>
              <w:t>19.6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Banco de Credito BCP includes BCP Stand-alone and Mibanco.</w:t>
      </w:r>
    </w:p>
    <w:p>
      <w:pPr>
        <w:spacing w:after="0" w:line="23" w:lineRule="exact"/>
        <w:rPr>
          <w:rFonts w:ascii="Arial" w:cs="Arial" w:eastAsia="Arial" w:hAnsi="Arial"/>
          <w:sz w:val="18"/>
          <w:szCs w:val="18"/>
          <w:color w:val="auto"/>
        </w:rPr>
      </w:pPr>
    </w:p>
    <w:p>
      <w:pPr>
        <w:ind w:firstLine="8"/>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24.0% in 4Q16, 27.4% in 3Q17 and 26.5% in 4Q17. ROAE including goodwill was 20.1% for 2016 and 21.6% for 2017.</w:t>
      </w:r>
    </w:p>
    <w:p>
      <w:pPr>
        <w:jc w:val="both"/>
        <w:ind w:firstLine="8"/>
        <w:spacing w:after="0" w:line="255"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12.9% in 4Q16, 17.1% in 3Q17 and 15.5% in 4Q17. ROAE excluding such unrealized gains was 16.1% for 2016 and 15.8% for 2017.</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At the end of 2017, IEA posted considerable QoQ expansion after two quarters of low growth. This was due primarily to loan growth in Wholesale Banking, and to a lesser extent in the SME-Pyme, Mortgage and Mibanco segments. The YoY evolution also shows significant growth, which was attributable to an increase in total loans and total investments. Loan expansion was led first by Middle-Market Banking, followed by SME-Pyme, Mibanco and BCP Bolivia.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16</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23,284,795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22,763,956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25,103,566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147,713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59,038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207,559</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251.6%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4,474,118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5,010,358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4,549,050</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18,637,050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26,380,715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24,437,263</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5,118,419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4,267,588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4,429,599</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94,780,539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95,142,268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100,477,774</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146,442,634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153,623,923</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159,204,811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Quarter-end balance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the group’s most profitable asset, increased their share of IEA (63.1% in 4Q17 vs. 61.9% in 3Q17).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reported nominal expansion of +5.6% QoQ, and currency-adjusted growth of +5.9% due to the 0.74% QoQ depreciation in the US Dollar against the Sol and a dollarization level of 40.7%. These growth levels represent gradual recovery after two quarters of very low growth in many segments and a contraction in Corporate Banking loans. Loan growth at Credicorp was due mainly to:</w:t>
      </w:r>
    </w:p>
    <w:p>
      <w:pPr>
        <w:spacing w:after="0" w:line="18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loans in the Corporate Banking and Middle-Market banking segments at BCP Stand-Alone;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 lesser extent, to loan growth in the Mibanco, SME-Pyme and Mortgage segments.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YoY evolution also reflects significant growth in loans, which increased +6.0%. This figure was considerably higher than last quarter’s (+0.9%). Currency-adjusted growth was situated at +9.3%, which was in line with the 3.43% depreciation YoY of the US Dollar with regard to the Sol. Loan expansion at BCP Stand-alone, particularly in the Wholesale Banking, SME-Pyme and Mortgage segments, as well as BCP Bolivia and Mibanco, was noteworthy.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 of investments in the IEA mix fell for the first time since 4Q16 due to higher loan growth.</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scenario, investments fell -6.29% QoQ, which was primarily attributable to a decrease in the volume at BCP Stand-alone. The aforementioned was due to a contraction of investments available for sale, which was in turn primarily attributable to a reduction in volumes of BCRP Certificates of Deposits (CDs). This, coupled with a decline in trading securities, offset the +3.8 % growth in investments held-to-maturity.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YoY analysis reveals +18.4% growth in investments. This was due to an increase in investments available for sale, specifically BCRP CDs, Peruvian government bonds and restricted CDs and government bonds from countries with investment grades.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BCRP and other banks grew +10.3% QoQ and +7.8% YoY due to higher balances at BCRP, which was in line with the aforementioned contraction in BCRP certificates of deposit at BCP Stand-alone.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Loan evolution by business segment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shows loan composition by subsidiary and business segment measured in average daily balances. These balances reflect trends or variations to a different degree than quarter-end balances, which may include pre-payments or loans made at the end of the quarter, which have less effect on average daily balances than on quarter-end balances.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21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9"/>
              </w:rPr>
              <w:t>TOTAL LOANS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5"/>
            <w:vMerge w:val="restart"/>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2200" w:type="dxa"/>
            <w:vAlign w:val="bottom"/>
            <w:gridSpan w:val="5"/>
            <w:vMerge w:val="restart"/>
          </w:tcPr>
          <w:p>
            <w:pPr>
              <w:jc w:val="right"/>
              <w:ind w:right="370"/>
              <w:spacing w:after="0"/>
              <w:rPr>
                <w:sz w:val="20"/>
                <w:szCs w:val="20"/>
                <w:color w:val="auto"/>
              </w:rPr>
            </w:pPr>
            <w:r>
              <w:rPr>
                <w:rFonts w:ascii="Arial" w:cs="Arial" w:eastAsia="Arial" w:hAnsi="Arial"/>
                <w:sz w:val="18"/>
                <w:szCs w:val="18"/>
                <w:b w:val="1"/>
                <w:bCs w:val="1"/>
                <w:color w:val="auto"/>
                <w:w w:val="97"/>
              </w:rPr>
              <w:t>% Part. in total loans</w:t>
            </w:r>
          </w:p>
        </w:tc>
        <w:tc>
          <w:tcPr>
            <w:tcW w:w="0" w:type="dxa"/>
            <w:vAlign w:val="bottom"/>
          </w:tcPr>
          <w:p>
            <w:pPr>
              <w:spacing w:after="0"/>
              <w:rPr>
                <w:sz w:val="1"/>
                <w:szCs w:val="1"/>
                <w:color w:val="auto"/>
              </w:rPr>
            </w:pPr>
          </w:p>
        </w:tc>
      </w:tr>
      <w:tr>
        <w:trPr>
          <w:trHeight w:val="226"/>
        </w:trPr>
        <w:tc>
          <w:tcPr>
            <w:tcW w:w="3040" w:type="dxa"/>
            <w:vAlign w:val="bottom"/>
          </w:tcPr>
          <w:p>
            <w:pPr>
              <w:spacing w:after="0"/>
              <w:rPr>
                <w:sz w:val="19"/>
                <w:szCs w:val="19"/>
                <w:color w:val="auto"/>
              </w:rPr>
            </w:pPr>
          </w:p>
        </w:tc>
        <w:tc>
          <w:tcPr>
            <w:tcW w:w="2980" w:type="dxa"/>
            <w:vAlign w:val="bottom"/>
            <w:gridSpan w:val="7"/>
          </w:tcPr>
          <w:p>
            <w:pPr>
              <w:jc w:val="center"/>
              <w:ind w:right="180"/>
              <w:spacing w:after="0"/>
              <w:rPr>
                <w:sz w:val="20"/>
                <w:szCs w:val="20"/>
                <w:color w:val="auto"/>
              </w:rPr>
            </w:pPr>
            <w:r>
              <w:rPr>
                <w:rFonts w:ascii="Arial" w:cs="Arial" w:eastAsia="Arial" w:hAnsi="Arial"/>
                <w:sz w:val="18"/>
                <w:szCs w:val="18"/>
                <w:i w:val="1"/>
                <w:iCs w:val="1"/>
                <w:color w:val="auto"/>
                <w:w w:val="90"/>
              </w:rPr>
              <w:t>Expressed in million soles</w:t>
            </w:r>
          </w:p>
        </w:tc>
        <w:tc>
          <w:tcPr>
            <w:tcW w:w="100" w:type="dxa"/>
            <w:vAlign w:val="bottom"/>
          </w:tcPr>
          <w:p>
            <w:pPr>
              <w:spacing w:after="0"/>
              <w:rPr>
                <w:sz w:val="19"/>
                <w:szCs w:val="19"/>
                <w:color w:val="auto"/>
              </w:rPr>
            </w:pPr>
          </w:p>
        </w:tc>
        <w:tc>
          <w:tcPr>
            <w:tcW w:w="1960" w:type="dxa"/>
            <w:vAlign w:val="bottom"/>
            <w:gridSpan w:val="5"/>
            <w:vMerge w:val="continue"/>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4Q16</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3Q17</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4Q16</w:t>
            </w: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77,799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79,755</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41,040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41,481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26,696</w:t>
            </w:r>
          </w:p>
        </w:tc>
        <w:tc>
          <w:tcPr>
            <w:tcW w:w="200" w:type="dxa"/>
            <w:vAlign w:val="bottom"/>
            <w:shd w:val="clear" w:color="auto" w:fill="CCEEFF"/>
          </w:tcPr>
          <w:p>
            <w:pPr>
              <w:spacing w:after="0"/>
              <w:rPr>
                <w:sz w:val="18"/>
                <w:szCs w:val="18"/>
                <w:color w:val="auto"/>
              </w:rPr>
            </w:pPr>
          </w:p>
        </w:tc>
        <w:tc>
          <w:tcPr>
            <w:tcW w:w="100" w:type="dxa"/>
            <w:vAlign w:val="bottom"/>
            <w:shd w:val="clear" w:color="auto" w:fill="C5D9F1"/>
          </w:tcPr>
          <w:p>
            <w:pPr>
              <w:spacing w:after="0"/>
              <w:rPr>
                <w:sz w:val="18"/>
                <w:szCs w:val="18"/>
                <w:color w:val="auto"/>
              </w:rPr>
            </w:pPr>
          </w:p>
        </w:tc>
        <w:tc>
          <w:tcPr>
            <w:tcW w:w="8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3.1%</w:t>
            </w:r>
          </w:p>
        </w:tc>
        <w:tc>
          <w:tcPr>
            <w:tcW w:w="1080" w:type="dxa"/>
            <w:vAlign w:val="bottom"/>
            <w:gridSpan w:val="3"/>
            <w:shd w:val="clear" w:color="auto" w:fill="FCD5B4"/>
          </w:tcPr>
          <w:p>
            <w:pPr>
              <w:jc w:val="right"/>
              <w:spacing w:after="0"/>
              <w:rPr>
                <w:sz w:val="20"/>
                <w:szCs w:val="20"/>
                <w:color w:val="auto"/>
              </w:rPr>
            </w:pPr>
            <w:r>
              <w:rPr>
                <w:rFonts w:ascii="Arial" w:cs="Arial" w:eastAsia="Arial" w:hAnsi="Arial"/>
                <w:sz w:val="18"/>
                <w:szCs w:val="18"/>
                <w:color w:val="auto"/>
              </w:rPr>
              <w:t>-2.2%</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04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800" w:type="dxa"/>
            <w:vAlign w:val="bottom"/>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14,784</w:t>
            </w:r>
          </w:p>
        </w:tc>
        <w:tc>
          <w:tcPr>
            <w:tcW w:w="200" w:type="dxa"/>
            <w:vAlign w:val="bottom"/>
          </w:tcPr>
          <w:p>
            <w:pPr>
              <w:spacing w:after="0"/>
              <w:rPr>
                <w:sz w:val="18"/>
                <w:szCs w:val="18"/>
                <w:color w:val="auto"/>
              </w:rPr>
            </w:pPr>
          </w:p>
        </w:tc>
        <w:tc>
          <w:tcPr>
            <w:tcW w:w="100" w:type="dxa"/>
            <w:vAlign w:val="bottom"/>
            <w:shd w:val="clear" w:color="auto" w:fill="C5D9F1"/>
          </w:tcPr>
          <w:p>
            <w:pPr>
              <w:spacing w:after="0"/>
              <w:rPr>
                <w:sz w:val="18"/>
                <w:szCs w:val="18"/>
                <w:color w:val="auto"/>
              </w:rPr>
            </w:pPr>
          </w:p>
        </w:tc>
        <w:tc>
          <w:tcPr>
            <w:tcW w:w="8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7.7%</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14.5%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36,026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37,544</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16"/>
        </w:trPr>
        <w:tc>
          <w:tcPr>
            <w:tcW w:w="304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800" w:type="dxa"/>
            <w:vAlign w:val="bottom"/>
          </w:tcPr>
          <w:p>
            <w:pPr>
              <w:jc w:val="right"/>
              <w:spacing w:after="0"/>
              <w:rPr>
                <w:sz w:val="20"/>
                <w:szCs w:val="20"/>
                <w:color w:val="auto"/>
              </w:rPr>
            </w:pPr>
            <w:r>
              <w:rPr>
                <w:rFonts w:ascii="Arial" w:cs="Arial" w:eastAsia="Arial" w:hAnsi="Arial"/>
                <w:sz w:val="18"/>
                <w:szCs w:val="18"/>
                <w:color w:val="auto"/>
              </w:rPr>
              <w:t>4,703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4,877</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5.1%</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10.6%</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040" w:type="dxa"/>
            <w:vAlign w:val="bottom"/>
          </w:tcPr>
          <w:p>
            <w:pPr>
              <w:ind w:left="320"/>
              <w:spacing w:after="0"/>
              <w:rPr>
                <w:sz w:val="20"/>
                <w:szCs w:val="20"/>
                <w:color w:val="auto"/>
              </w:rPr>
            </w:pPr>
            <w:r>
              <w:rPr>
                <w:rFonts w:ascii="Arial" w:cs="Arial" w:eastAsia="Arial" w:hAnsi="Arial"/>
                <w:sz w:val="18"/>
                <w:szCs w:val="18"/>
                <w:color w:val="auto"/>
              </w:rPr>
              <w:t>Mortgage</w:t>
            </w:r>
          </w:p>
        </w:tc>
        <w:tc>
          <w:tcPr>
            <w:tcW w:w="800" w:type="dxa"/>
            <w:vAlign w:val="bottom"/>
          </w:tcPr>
          <w:p>
            <w:pPr>
              <w:jc w:val="right"/>
              <w:spacing w:after="0"/>
              <w:rPr>
                <w:sz w:val="20"/>
                <w:szCs w:val="20"/>
                <w:color w:val="auto"/>
              </w:rPr>
            </w:pPr>
            <w:r>
              <w:rPr>
                <w:rFonts w:ascii="Arial" w:cs="Arial" w:eastAsia="Arial" w:hAnsi="Arial"/>
                <w:sz w:val="18"/>
                <w:szCs w:val="18"/>
                <w:color w:val="auto"/>
              </w:rPr>
              <w:t>12,507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12,963</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13.2%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04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800" w:type="dxa"/>
            <w:vAlign w:val="bottom"/>
          </w:tcPr>
          <w:p>
            <w:pPr>
              <w:jc w:val="right"/>
              <w:spacing w:after="0"/>
              <w:rPr>
                <w:sz w:val="20"/>
                <w:szCs w:val="20"/>
                <w:color w:val="auto"/>
              </w:rPr>
            </w:pPr>
            <w:r>
              <w:rPr>
                <w:rFonts w:ascii="Arial" w:cs="Arial" w:eastAsia="Arial" w:hAnsi="Arial"/>
                <w:sz w:val="18"/>
                <w:szCs w:val="18"/>
                <w:color w:val="auto"/>
              </w:rPr>
              <w:t>4,427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2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9,078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7.7%</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8.9%</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15.9%</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70"/>
        </w:trPr>
        <w:tc>
          <w:tcPr>
            <w:tcW w:w="3040" w:type="dxa"/>
            <w:vAlign w:val="bottom"/>
          </w:tcPr>
          <w:p>
            <w:pPr>
              <w:spacing w:after="0" w:line="269" w:lineRule="exact"/>
              <w:rPr>
                <w:sz w:val="20"/>
                <w:szCs w:val="20"/>
                <w:color w:val="auto"/>
              </w:rPr>
            </w:pPr>
            <w:r>
              <w:rPr>
                <w:rFonts w:ascii="Arial" w:cs="Arial" w:eastAsia="Arial" w:hAnsi="Arial"/>
                <w:sz w:val="18"/>
                <w:szCs w:val="18"/>
                <w:b w:val="1"/>
                <w:bCs w:val="1"/>
                <w:color w:val="auto"/>
              </w:rPr>
              <w:t>ASB</w:t>
            </w:r>
            <w:r>
              <w:rPr>
                <w:rFonts w:ascii="Arial" w:cs="Arial" w:eastAsia="Arial" w:hAnsi="Arial"/>
                <w:sz w:val="30"/>
                <w:szCs w:val="30"/>
                <w:b w:val="1"/>
                <w:bCs w:val="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3,230</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2,723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2,663</w:t>
            </w:r>
          </w:p>
        </w:tc>
        <w:tc>
          <w:tcPr>
            <w:tcW w:w="2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1080" w:type="dxa"/>
            <w:vAlign w:val="bottom"/>
            <w:gridSpan w:val="3"/>
            <w:shd w:val="clear" w:color="auto" w:fill="FCD5B4"/>
          </w:tcPr>
          <w:p>
            <w:pPr>
              <w:jc w:val="right"/>
              <w:spacing w:after="0"/>
              <w:rPr>
                <w:sz w:val="20"/>
                <w:szCs w:val="20"/>
                <w:color w:val="auto"/>
              </w:rPr>
            </w:pPr>
            <w:r>
              <w:rPr>
                <w:rFonts w:ascii="Arial" w:cs="Arial" w:eastAsia="Arial" w:hAnsi="Arial"/>
                <w:sz w:val="18"/>
                <w:szCs w:val="18"/>
                <w:b w:val="1"/>
                <w:bCs w:val="1"/>
                <w:color w:val="auto"/>
              </w:rPr>
              <w:t>-17.6%</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94,769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97,648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Figures differ from previously reported.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8321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210" cy="8572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21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210" cy="9461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jc w:val="center"/>
              <w:spacing w:after="0"/>
              <w:rPr>
                <w:sz w:val="20"/>
                <w:szCs w:val="20"/>
                <w:color w:val="auto"/>
              </w:rPr>
            </w:pPr>
            <w:r>
              <w:rPr>
                <w:rFonts w:ascii="Arial" w:cs="Arial" w:eastAsia="Arial" w:hAnsi="Arial"/>
                <w:sz w:val="14"/>
                <w:szCs w:val="14"/>
                <w:b w:val="1"/>
                <w:bCs w:val="1"/>
                <w:color w:val="auto"/>
              </w:rPr>
              <w:t>DOMESTIC CURRENCY LOANS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rPr>
              <w:t>FOREIGN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center"/>
              <w:ind w:right="108"/>
              <w:spacing w:after="0"/>
              <w:rPr>
                <w:sz w:val="20"/>
                <w:szCs w:val="20"/>
                <w:color w:val="auto"/>
              </w:rPr>
            </w:pPr>
            <w:r>
              <w:rPr>
                <w:rFonts w:ascii="Arial" w:cs="Arial" w:eastAsia="Arial" w:hAnsi="Arial"/>
                <w:sz w:val="14"/>
                <w:szCs w:val="14"/>
                <w:i w:val="1"/>
                <w:iCs w:val="1"/>
                <w:color w:val="auto"/>
                <w:w w:val="93"/>
              </w:rPr>
              <w:t>Expressed in million Soles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i w:val="1"/>
                <w:iCs w:val="1"/>
                <w:color w:val="auto"/>
                <w:w w:val="94"/>
              </w:rPr>
              <w:t>Expressed in million USD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4Q17</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3Q17</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4Q17</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4Q17</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48,950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47,243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49,337</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8,545</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9,309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9,387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0.8%</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20,259</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18,015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19,173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-5.4%</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6,155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6,869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6,884</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11.8%</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46.2%</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53.8%</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Corporate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13,410</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11,118</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11,940</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7.4%</w:t>
            </w:r>
          </w:p>
        </w:tc>
        <w:tc>
          <w:tcPr>
            <w:tcW w:w="800" w:type="dxa"/>
            <w:vAlign w:val="bottom"/>
            <w:gridSpan w:val="3"/>
            <w:shd w:val="clear" w:color="auto" w:fill="FCD5B4"/>
          </w:tcPr>
          <w:p>
            <w:pPr>
              <w:jc w:val="right"/>
              <w:spacing w:after="0" w:line="130" w:lineRule="exact"/>
              <w:rPr>
                <w:sz w:val="20"/>
                <w:szCs w:val="20"/>
                <w:color w:val="auto"/>
              </w:rPr>
            </w:pPr>
            <w:r>
              <w:rPr>
                <w:rFonts w:ascii="Arial" w:cs="Arial" w:eastAsia="Arial" w:hAnsi="Arial"/>
                <w:sz w:val="14"/>
                <w:szCs w:val="14"/>
                <w:color w:val="auto"/>
              </w:rPr>
              <w:t>-11.0%</w:t>
            </w:r>
          </w:p>
        </w:tc>
        <w:tc>
          <w:tcPr>
            <w:tcW w:w="88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4,117</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4,550</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4,554</w:t>
            </w: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0.1%</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10.6%</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55.3%</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6,849</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6,896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7,233</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4.9%</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2,038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2,330</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14.3%</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48.9%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28,384</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28,895</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29,831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2,263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2,320</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2,380</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79.5%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2,272</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2,229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46.4%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7,444</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7,926</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8,361</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5.5%</w:t>
            </w:r>
          </w:p>
        </w:tc>
        <w:tc>
          <w:tcPr>
            <w:tcW w:w="800" w:type="dxa"/>
            <w:vAlign w:val="bottom"/>
            <w:gridSpan w:val="3"/>
            <w:shd w:val="clear" w:color="auto" w:fill="C5D9F1"/>
          </w:tcPr>
          <w:p>
            <w:pPr>
              <w:jc w:val="right"/>
              <w:spacing w:after="0" w:line="130" w:lineRule="exact"/>
              <w:rPr>
                <w:sz w:val="20"/>
                <w:szCs w:val="20"/>
                <w:color w:val="auto"/>
              </w:rPr>
            </w:pPr>
            <w:r>
              <w:rPr>
                <w:rFonts w:ascii="Arial" w:cs="Arial" w:eastAsia="Arial" w:hAnsi="Arial"/>
                <w:sz w:val="14"/>
                <w:szCs w:val="14"/>
                <w:color w:val="auto"/>
              </w:rPr>
              <w:t>12.3%</w:t>
            </w:r>
          </w:p>
        </w:tc>
        <w:tc>
          <w:tcPr>
            <w:tcW w:w="88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w:t>
            </w: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-3.0%</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-18.7%</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9,204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9,589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9,867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80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color w:val="auto"/>
              </w:rPr>
              <w:t>7.2%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955</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76.1%</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5,549</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5,469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5,550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3,916</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3,682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86.8%</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7,916</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8,331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8,563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80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20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94.3%</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1,572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1,834</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1,899</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3.5%</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20.8%</w:t>
            </w:r>
          </w:p>
        </w:tc>
        <w:tc>
          <w:tcPr>
            <w:tcW w:w="9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23"/>
                <w:szCs w:val="23"/>
                <w:b w:val="1"/>
                <w:bCs w:val="1"/>
                <w:color w:val="auto"/>
                <w:vertAlign w:val="subscript"/>
              </w:rPr>
              <w:t>ASB</w:t>
            </w:r>
            <w:r>
              <w:rPr>
                <w:rFonts w:ascii="Arial" w:cs="Arial" w:eastAsia="Arial" w:hAnsi="Arial"/>
                <w:sz w:val="11"/>
                <w:szCs w:val="11"/>
                <w:b w:val="1"/>
                <w:bCs w:val="1"/>
                <w:color w:val="auto"/>
              </w:rPr>
              <w:t xml:space="preserve"> (2)</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957</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838</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200" w:type="dxa"/>
            <w:vAlign w:val="bottom"/>
          </w:tcPr>
          <w:p>
            <w:pPr>
              <w:spacing w:after="0"/>
              <w:rPr>
                <w:sz w:val="17"/>
                <w:szCs w:val="17"/>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-14.1%</w:t>
            </w: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r>
      <w:tr>
        <w:trPr>
          <w:trHeight w:val="156"/>
        </w:trPr>
        <w:tc>
          <w:tcPr>
            <w:tcW w:w="19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56,866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55,574</w:t>
            </w:r>
          </w:p>
        </w:tc>
        <w:tc>
          <w:tcPr>
            <w:tcW w:w="2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57,900</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11,226</w:t>
            </w:r>
          </w:p>
        </w:tc>
        <w:tc>
          <w:tcPr>
            <w:tcW w:w="2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12,138</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12,266</w:t>
            </w:r>
          </w:p>
        </w:tc>
        <w:tc>
          <w:tcPr>
            <w:tcW w:w="2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260" w:type="dxa"/>
            <w:vAlign w:val="bottom"/>
            <w:tcBorders>
              <w:top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9.3</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59.3</w:t>
            </w:r>
          </w:p>
        </w:tc>
        <w:tc>
          <w:tcPr>
            <w:tcW w:w="260" w:type="dxa"/>
            <w:vAlign w:val="bottom"/>
            <w:tcBorders>
              <w:top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40.7</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Figures differ from previously reported.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8321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8572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21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210" cy="946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53"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Average daily loan balances registered growth of +2.8% QoQ. This figure is lower than that reported for quarter-end balances (+5.6% QoQ), because the latter expanded towards the end of the quarter. In the analysis by currency, QoQ expansion is mainly due to an increase in the LC portfolio (+4.2% QoQ), and to a lesser extent, to growth in the FC portfolio (+1.1% QoQ).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growth was slightly higher (+3.0%). This was mainly attributable to expansion in the FC portfolio and, to a lesser extent, to growth in the LC portfolio. In terms of FC-denominated loans, it is important to note that the segments that reported the highest growth YoY were Wholesale Banking and BCP Bolivia. The former reported an increase in loans to clients that generate income in US Dollars while growth in the latter was attributable to loans in Bolivian Pesos.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2229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analysis by segment, it is evident that the QoQ expansion in loans was led primarily by Wholesale Banking, both in the sub-segment of Corporate Banking (+3.1% QoQ) and in Middle-Market banking (2.4% QoQ), followed by growth in SME-Pyme, Mibanco and Mortgage. This growth was generated almost entirely by the LC portfolio.</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note that after a decision was made to resume growth in the Consumer and Credit Card segments, these portfolios reported growth rates of +2.4% and +3.3% QoQ, respectively. The aforementioned represents a substantial improvement in the dynamic given that these segments reported either a contraction or very low growth in previous quarters of 2017: 1Q reported drops of -0.4% and -0.5% respectively; 2Q also registered decreases, which were situated at -0.5% and -2.7%, respectively; while 3Q registered rates of +0.2% and -1.2%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reported growth, measured in average daily balances, of +3.2% QoQ in 4Q17. This evolution was due primarily to growth in Retail Banking, mainly in the Mortgage segment; and in Wholesale Banking, mainly in the Corporate Banking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at Mibanco measured in average daily balances increased +2.7% QoQ, which stands out in a context of low economic growth. The speed of origination remains below this segment’s potential.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142875</wp:posOffset>
            </wp:positionV>
            <wp:extent cx="5720080" cy="2366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008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of total loans YoY measured in average daily balances shows growth of +3.0%, which was led by Middle-Market Banking, SME-Pyme and Mortgage within BCP Stand-alone; and by BCP Bolivia and Mibanco. YoY expansion was associated with the portfolios in both currencies but was mainly attributable to the one denominated in LC.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the aforementioned has generated a change in the portfolio mix with regard to the mix registered at the end of 2016 given that the segments with the highest margins, such as SME-Pyme and Mibanco, continue to increase their share of the total mix. This was due to two factors i) higher growth in these segments, and ii) contractions in some segments as competition increases, which also steps up pressure on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dollarization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213985" cy="2710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80" w:hanging="26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520" w:hanging="2"/>
        <w:spacing w:after="0" w:line="261" w:lineRule="auto"/>
        <w:tabs>
          <w:tab w:leader="none" w:pos="7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BCP Stand-alone and Mibanco’s loan books.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An analysis of the YoY evolution of dollarization at Credicorp shows an increase, which was due primarily to growth in the dollarization level at BCP Stand-alone, and to a lesser extent, to loan expansion at BCP Bolivia. It is important to note that loans at BCP Bolivia are denominated in Bolivian Pesos and as such, are included in the Credicorp’s FC portfolio to calculate the “dollarization”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the dollarization level of the business segments at BCP Stand-alone and Mibanco. It is important to note that:</w:t>
      </w:r>
    </w:p>
    <w:p>
      <w:pPr>
        <w:spacing w:after="0" w:line="225" w:lineRule="exact"/>
        <w:rPr>
          <w:sz w:val="20"/>
          <w:szCs w:val="20"/>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dollarization at BCP Stand-alone was due to higher dollarization in the Wholesale Banking segment in general and in the Corporate Banking segment in particular, where LC loans contracted significantly while FC loans grew YoY.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segments maintained stable dollarization levels, with the exception of Mortgage, which continued to dedollarize.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of the aforementioned helped keep the percentage of loans that are highly exposed to FX risk at stable levels, which, as reflected in the following bar chart, continued to post levels close to 0%. This figure, in turn, represents a record low for the percentage of total loans that are highly exposed to FX risk at BCP Stand-alone: 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154940</wp:posOffset>
            </wp:positionV>
            <wp:extent cx="3061335" cy="1577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133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2014, BCRP established a Loan Dedollarization Program, which contemplated, among other measures, setting progressive dedollarization goals for the end of June 2015, December 2015 and December 2016 for the total FC portfolio with some exceptions and for the joint mortgage and car loan portfolio. The balance required for the end of December 2017 is the following:</w:t>
      </w:r>
    </w:p>
    <w:p>
      <w:pPr>
        <w:spacing w:after="0" w:line="181" w:lineRule="exact"/>
        <w:rPr>
          <w:sz w:val="20"/>
          <w:szCs w:val="20"/>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total portfolio in FC, the balance at the end of December 2017 must represent no more than 80% of the total loan balance at the end of September 2013 (excluding certain loans).</w:t>
      </w:r>
    </w:p>
    <w:p>
      <w:pPr>
        <w:spacing w:after="0" w:line="170" w:lineRule="exact"/>
        <w:rPr>
          <w:rFonts w:ascii="Arial" w:cs="Arial" w:eastAsia="Arial" w:hAnsi="Arial"/>
          <w:sz w:val="18"/>
          <w:szCs w:val="18"/>
          <w:color w:val="auto"/>
        </w:rPr>
      </w:pPr>
    </w:p>
    <w:p>
      <w:pPr>
        <w:jc w:val="both"/>
        <w:ind w:left="1300" w:right="20"/>
        <w:spacing w:after="0" w:line="264" w:lineRule="auto"/>
        <w:rPr>
          <w:rFonts w:ascii="Arial" w:cs="Arial" w:eastAsia="Arial" w:hAnsi="Arial"/>
          <w:sz w:val="18"/>
          <w:szCs w:val="18"/>
          <w:color w:val="auto"/>
        </w:rPr>
      </w:pPr>
      <w:r>
        <w:rPr>
          <w:rFonts w:ascii="Arial" w:cs="Arial" w:eastAsia="Arial" w:hAnsi="Arial"/>
          <w:sz w:val="18"/>
          <w:szCs w:val="18"/>
          <w:color w:val="auto"/>
        </w:rPr>
        <w:t>At the end of December 2017, BCP stand-alone has reached a comfortable compliance level for the portfolio of total loans that is subject to the dedollarization program. The compliance level reached was 103% over the target set by the BCRP, leaving a wide margin of US$ 204 million.</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FC Mortgage and Car portfolio at the end of December 2017, the balance must represent no more than 60% of the balance posted at the end of February 2013.</w:t>
      </w:r>
    </w:p>
    <w:p>
      <w:pPr>
        <w:spacing w:after="0" w:line="170" w:lineRule="exact"/>
        <w:rPr>
          <w:rFonts w:ascii="Arial" w:cs="Arial" w:eastAsia="Arial" w:hAnsi="Arial"/>
          <w:sz w:val="18"/>
          <w:szCs w:val="18"/>
          <w:color w:val="auto"/>
        </w:rPr>
      </w:pPr>
    </w:p>
    <w:p>
      <w:pPr>
        <w:jc w:val="both"/>
        <w:ind w:left="1300" w:right="20"/>
        <w:spacing w:after="0" w:line="264" w:lineRule="auto"/>
        <w:rPr>
          <w:rFonts w:ascii="Arial" w:cs="Arial" w:eastAsia="Arial" w:hAnsi="Arial"/>
          <w:sz w:val="18"/>
          <w:szCs w:val="18"/>
          <w:color w:val="auto"/>
        </w:rPr>
      </w:pPr>
      <w:r>
        <w:rPr>
          <w:rFonts w:ascii="Arial" w:cs="Arial" w:eastAsia="Arial" w:hAnsi="Arial"/>
          <w:sz w:val="18"/>
          <w:szCs w:val="18"/>
          <w:color w:val="auto"/>
        </w:rPr>
        <w:t>At the end of December 2017, the level of compliance was not reached by 1.3%. This caused the bank to make a small increase in the legal banking reserve during January 2018. On January 30th, the trend was corrected, which allowed the bank to reach the target and eliminate the legal banking reserve at the end of the month.</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1.2.4 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612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611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November 2017, September 2017 and December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Consumer segment includes Mibanco's market share of 1.8% as of November 2017, 1.9% as of September 2017 and 2.2% as of December 2016.</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and Middle-market market shares are as of December 2017.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November 2017, BCP Stand-alone continued to lead the market with a share of 29%, which is significantly higher than the level posted by its closest competitor. Nevertheless, this share falls below the 30.0% posted in 4Q16, which reflects high competition in the Wholesale Banking segment and the Retail Banking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Middle-Market Banking increased their market share in +280 and +130 bps, respectively, with regards to the levels posted at the end of September. Corporate Banking maintained stable its participation compared to the market shared posted at the end of 2016; while Middle-Market Banking increased it in +170 bps. It is worth mentioning that both maintained their leadership in their respective markets.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Retail Banking, BCP reported a stable market share and continued to lead in almost all of its segments with the exception of SME-Business. In this segment BCP continues to place second but focused on increasing its share. It is important to note that this segment posted the highest growth in market share this quarter (+70 bps QoQ), and accumulated +390 bps of increased with regards to the level registered at the end of 2016.</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Mibanco slightly increased its market share by +10 bps in comparison to the level posted at the end of September. Mibanco increased its market share in +30 bps with regards to the level at the end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BCP Bolivia’s market share remained stable QoQ but grew +50 bps YoY, ranking fourth in the Bolivian Financial System.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Throughout 2017, Credicorp’s funding structure was characterized by an increase in Deposits’ share of total funding. In 4Q17, it is important to note i) significant growth in savings and time deposits; ii) the increase in BCRP instruments; and iii) in October 2017, the first issuance of LC-denominated bonds in the international market. All of the aforementioned was in line with the strategy to maintain internal limits for asset and liability mismatch in terms of both duration and currency. This allowed Credicorp to maintain its cost of funding at a relatively stable level that posted an increase of only 1bps QoQ. In the annual analysis, the cost of funding only increased 2bps.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16</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17</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23,341,517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24,506,234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24,193,949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5,368,222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5,075,162</w:t>
            </w:r>
          </w:p>
        </w:tc>
        <w:tc>
          <w:tcPr>
            <w:tcW w:w="1200" w:type="dxa"/>
            <w:vAlign w:val="bottom"/>
          </w:tcPr>
          <w:p>
            <w:pPr>
              <w:jc w:val="right"/>
              <w:spacing w:after="0"/>
              <w:rPr>
                <w:sz w:val="20"/>
                <w:szCs w:val="20"/>
                <w:color w:val="auto"/>
              </w:rPr>
            </w:pPr>
            <w:r>
              <w:rPr>
                <w:rFonts w:ascii="Arial" w:cs="Arial" w:eastAsia="Arial" w:hAnsi="Arial"/>
                <w:sz w:val="18"/>
                <w:szCs w:val="18"/>
                <w:color w:val="auto"/>
              </w:rPr>
              <w:t>5,576,327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26,684,133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26,652,822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28,633,099</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23,275,031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29,619,222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31,143,365</w:t>
            </w:r>
          </w:p>
        </w:tc>
        <w:tc>
          <w:tcPr>
            <w:tcW w:w="8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7,117,685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6,609,242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7,170,934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333,267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431,233</w:t>
            </w:r>
          </w:p>
        </w:tc>
        <w:tc>
          <w:tcPr>
            <w:tcW w:w="1200" w:type="dxa"/>
            <w:vAlign w:val="bottom"/>
          </w:tcPr>
          <w:p>
            <w:pPr>
              <w:jc w:val="right"/>
              <w:spacing w:after="0"/>
              <w:rPr>
                <w:sz w:val="20"/>
                <w:szCs w:val="20"/>
                <w:color w:val="auto"/>
              </w:rPr>
            </w:pPr>
            <w:r>
              <w:rPr>
                <w:rFonts w:ascii="Arial" w:cs="Arial" w:eastAsia="Arial" w:hAnsi="Arial"/>
                <w:sz w:val="18"/>
                <w:szCs w:val="18"/>
                <w:color w:val="auto"/>
              </w:rPr>
              <w:t>452,737</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92,893,915</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97,170,411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00" w:type="dxa"/>
            <w:vAlign w:val="bottom"/>
          </w:tcPr>
          <w:p>
            <w:pPr>
              <w:jc w:val="right"/>
              <w:spacing w:after="0"/>
              <w:rPr>
                <w:sz w:val="20"/>
                <w:szCs w:val="20"/>
                <w:color w:val="auto"/>
              </w:rPr>
            </w:pPr>
            <w:r>
              <w:rPr>
                <w:rFonts w:ascii="Arial" w:cs="Arial" w:eastAsia="Arial" w:hAnsi="Arial"/>
                <w:sz w:val="18"/>
                <w:szCs w:val="18"/>
                <w:color w:val="auto"/>
              </w:rPr>
              <w:t>7,562,947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8,867,185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7,996,889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11,265,406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8,107,103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9,286,032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14.5%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15,962,810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15,236,054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16,242,257</w:t>
            </w:r>
          </w:p>
        </w:tc>
        <w:tc>
          <w:tcPr>
            <w:tcW w:w="8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9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15,211,997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17,807,782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17,557,454</w:t>
            </w: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136,123,015</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142,912,039</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148,253,043</w:t>
            </w: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-8890</wp:posOffset>
            </wp:positionV>
            <wp:extent cx="44164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Includes acceptances outstanding, reserves for property and casualty claims, reserve for unearned premiums, reinsurance payable and other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154940</wp:posOffset>
            </wp:positionV>
            <wp:extent cx="5574030" cy="223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calculation of the average cost only includes the banking subsidiaries: BCP Stand-alone, Mibanco, BCP Bolivia and ASB.</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ratios differ from the previously reported, please consider these ratios.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figure of the Evolution of Credicorp’s funding structure and cost was calculated with quarter-end balances.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quarterly evolution shows slight variations in the funding structure to reflect, in order of growth, increases in </w:t>
      </w:r>
      <w:r>
        <w:rPr>
          <w:rFonts w:ascii="Arial" w:cs="Arial" w:eastAsia="Arial" w:hAnsi="Arial"/>
          <w:sz w:val="16"/>
          <w:szCs w:val="16"/>
          <w:b w:val="1"/>
          <w:bCs w:val="1"/>
          <w:color w:val="auto"/>
        </w:rPr>
        <w:t>Deposits, BCRP Instruments and Bonds</w:t>
      </w:r>
    </w:p>
    <w:p>
      <w:pPr>
        <w:spacing w:after="0" w:line="50" w:lineRule="exact"/>
        <w:rPr>
          <w:sz w:val="20"/>
          <w:szCs w:val="20"/>
          <w:color w:val="auto"/>
        </w:rPr>
      </w:pPr>
    </w:p>
    <w:p>
      <w:pPr>
        <w:ind w:firstLine="8"/>
        <w:spacing w:after="0" w:line="261" w:lineRule="auto"/>
        <w:tabs>
          <w:tab w:leader="none" w:pos="20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Subordinated Debt</w:t>
      </w:r>
      <w:r>
        <w:rPr>
          <w:rFonts w:ascii="Arial" w:cs="Arial" w:eastAsia="Arial" w:hAnsi="Arial"/>
          <w:sz w:val="18"/>
          <w:szCs w:val="18"/>
          <w:color w:val="auto"/>
        </w:rPr>
        <w:t>. This change in structure was different to that seen in previous quarters, particularly given that in the previous quarters it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reduction in BCRP Instruments that began in 2016.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The YoY evolution reflects a trend that began in 2016 to replace BCRP Instruments and Due to banks &amp; correspondents mainly with Deposits and, to a lesser extent, with Bonds &amp; subordinated debt, the latter to maintain structural funding.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16</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17</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23,341,517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24,506,234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24,193,949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5,368,222</w:t>
            </w:r>
          </w:p>
        </w:tc>
        <w:tc>
          <w:tcPr>
            <w:tcW w:w="1040" w:type="dxa"/>
            <w:vAlign w:val="bottom"/>
          </w:tcPr>
          <w:p>
            <w:pPr>
              <w:jc w:val="right"/>
              <w:spacing w:after="0"/>
              <w:rPr>
                <w:sz w:val="20"/>
                <w:szCs w:val="20"/>
                <w:color w:val="auto"/>
              </w:rPr>
            </w:pPr>
            <w:r>
              <w:rPr>
                <w:rFonts w:ascii="Arial" w:cs="Arial" w:eastAsia="Arial" w:hAnsi="Arial"/>
                <w:sz w:val="18"/>
                <w:szCs w:val="18"/>
                <w:color w:val="auto"/>
              </w:rPr>
              <w:t>5,075,162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5,576,327</w:t>
            </w:r>
          </w:p>
        </w:tc>
        <w:tc>
          <w:tcPr>
            <w:tcW w:w="72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26,684,133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26,652,822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28,633,099</w:t>
            </w: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23,275,031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29,619,222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31,143,365</w:t>
            </w:r>
          </w:p>
        </w:tc>
        <w:tc>
          <w:tcPr>
            <w:tcW w:w="72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7,117,685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6,609,242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7,170,934</w:t>
            </w: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333,267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431,233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452,737</w:t>
            </w:r>
          </w:p>
        </w:tc>
        <w:tc>
          <w:tcPr>
            <w:tcW w:w="720" w:type="dxa"/>
            <w:vAlign w:val="bottom"/>
          </w:tcPr>
          <w:p>
            <w:pPr>
              <w:spacing w:after="0"/>
              <w:rPr>
                <w:sz w:val="19"/>
                <w:szCs w:val="19"/>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0"/>
        </w:trPr>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92,893,915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97,170,411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At the subsidiary level,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expanded QoQ. This was primarily attributable to an increase at BCP Stand-alone and, to a lesser degree, to growth at Mibanco.</w:t>
      </w:r>
    </w:p>
    <w:p>
      <w:pPr>
        <w:spacing w:after="0" w:line="170"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 xml:space="preserve">The QoQ increase 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at BCP Stand-alone was primarily associated with fund captures from the Temporary Regimen to Repatriate Capital</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which was in effect until the last business day of December 2017. BCP Bolivia posted an increase in </w:t>
      </w:r>
      <w:r>
        <w:rPr>
          <w:rFonts w:ascii="Arial" w:cs="Arial" w:eastAsia="Arial" w:hAnsi="Arial"/>
          <w:sz w:val="18"/>
          <w:szCs w:val="18"/>
          <w:b w:val="1"/>
          <w:bCs w:val="1"/>
          <w:color w:val="auto"/>
        </w:rPr>
        <w:t>savings deposits</w:t>
      </w:r>
      <w:r>
        <w:rPr>
          <w:rFonts w:ascii="Arial" w:cs="Arial" w:eastAsia="Arial" w:hAnsi="Arial"/>
          <w:sz w:val="18"/>
          <w:szCs w:val="18"/>
          <w:color w:val="auto"/>
        </w:rPr>
        <w:t>, although less significant than that of BCP Stand-alone, after rolling out a major campaign “Promoción millonaria”.</w:t>
      </w:r>
    </w:p>
    <w:p>
      <w:pPr>
        <w:spacing w:after="0" w:line="19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Capital repatriation also drove significant QoQ expansion </w:t>
      </w:r>
      <w:r>
        <w:rPr>
          <w:rFonts w:ascii="Arial" w:cs="Arial" w:eastAsia="Arial" w:hAnsi="Arial"/>
          <w:sz w:val="17"/>
          <w:szCs w:val="17"/>
          <w:b w:val="1"/>
          <w:bCs w:val="1"/>
          <w:color w:val="auto"/>
        </w:rPr>
        <w:t>time deposits,</w:t>
      </w:r>
      <w:r>
        <w:rPr>
          <w:rFonts w:ascii="Arial" w:cs="Arial" w:eastAsia="Arial" w:hAnsi="Arial"/>
          <w:sz w:val="17"/>
          <w:szCs w:val="17"/>
          <w:color w:val="auto"/>
        </w:rPr>
        <w:t xml:space="preserve"> which was primarily attributable to BCP Stand-alone. Mibanco also posted a QoQ increase in </w:t>
      </w:r>
      <w:r>
        <w:rPr>
          <w:rFonts w:ascii="Arial" w:cs="Arial" w:eastAsia="Arial" w:hAnsi="Arial"/>
          <w:sz w:val="17"/>
          <w:szCs w:val="17"/>
          <w:b w:val="1"/>
          <w:bCs w:val="1"/>
          <w:color w:val="auto"/>
        </w:rPr>
        <w:t>time deposits</w:t>
      </w:r>
      <w:r>
        <w:rPr>
          <w:rFonts w:ascii="Arial" w:cs="Arial" w:eastAsia="Arial" w:hAnsi="Arial"/>
          <w:sz w:val="17"/>
          <w:szCs w:val="17"/>
          <w:color w:val="auto"/>
        </w:rPr>
        <w:t xml:space="preserve"> (although less significant), which was associated with aggressive affiliation initiatives in 4Q, mainly with companies.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the QoQ increase was attributable to the second mandatory deposit, which is made by employers in 4Q of every year in the month of November.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QoQ expansion was also seen in </w:t>
      </w:r>
      <w:r>
        <w:rPr>
          <w:rFonts w:ascii="Arial" w:cs="Arial" w:eastAsia="Arial" w:hAnsi="Arial"/>
          <w:sz w:val="18"/>
          <w:szCs w:val="18"/>
          <w:b w:val="1"/>
          <w:bCs w:val="1"/>
          <w:color w:val="auto"/>
        </w:rPr>
        <w:t>Interest-bearing demand deposits</w:t>
      </w:r>
      <w:r>
        <w:rPr>
          <w:rFonts w:ascii="Arial" w:cs="Arial" w:eastAsia="Arial" w:hAnsi="Arial"/>
          <w:sz w:val="18"/>
          <w:szCs w:val="18"/>
          <w:color w:val="auto"/>
        </w:rPr>
        <w:t>, which was primarily attributable to deposits in the financial system.</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aforementioned offset the slight contraction in </w:t>
      </w:r>
      <w:r>
        <w:rPr>
          <w:rFonts w:ascii="Arial" w:cs="Arial" w:eastAsia="Arial" w:hAnsi="Arial"/>
          <w:sz w:val="18"/>
          <w:szCs w:val="18"/>
          <w:b w:val="1"/>
          <w:bCs w:val="1"/>
          <w:color w:val="auto"/>
        </w:rPr>
        <w:t>Non-interest bearing demand deposits</w:t>
      </w:r>
      <w:r>
        <w:rPr>
          <w:rFonts w:ascii="Arial" w:cs="Arial" w:eastAsia="Arial" w:hAnsi="Arial"/>
          <w:sz w:val="18"/>
          <w:szCs w:val="18"/>
          <w:color w:val="auto"/>
        </w:rPr>
        <w:t>, which was mainly due to a decrease in the volume of current accounts in LC from corporate clients at BCP Stand-alone.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w:t>
      </w:r>
      <w:r>
        <w:rPr>
          <w:rFonts w:ascii="Arial" w:cs="Arial" w:eastAsia="Arial" w:hAnsi="Arial"/>
          <w:sz w:val="18"/>
          <w:szCs w:val="18"/>
          <w:color w:val="auto"/>
        </w:rPr>
        <w:t xml:space="preserve"> terms, total </w:t>
      </w:r>
      <w:r>
        <w:rPr>
          <w:rFonts w:ascii="Arial" w:cs="Arial" w:eastAsia="Arial" w:hAnsi="Arial"/>
          <w:sz w:val="18"/>
          <w:szCs w:val="18"/>
          <w:b w:val="1"/>
          <w:bCs w:val="1"/>
          <w:color w:val="auto"/>
        </w:rPr>
        <w:t>Deposits</w:t>
      </w:r>
      <w:r>
        <w:rPr>
          <w:rFonts w:ascii="Arial" w:cs="Arial" w:eastAsia="Arial" w:hAnsi="Arial"/>
          <w:sz w:val="18"/>
          <w:szCs w:val="18"/>
          <w:color w:val="auto"/>
        </w:rPr>
        <w:t xml:space="preserve"> increased +12.8% and registered growth in all deposit types but mainly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and </w:t>
      </w:r>
      <w:r>
        <w:rPr>
          <w:rFonts w:ascii="Arial" w:cs="Arial" w:eastAsia="Arial" w:hAnsi="Arial"/>
          <w:sz w:val="18"/>
          <w:szCs w:val="18"/>
          <w:b w:val="1"/>
          <w:bCs w:val="1"/>
          <w:color w:val="auto"/>
        </w:rPr>
        <w:t>Savings Deposits</w:t>
      </w:r>
      <w:r>
        <w:rPr>
          <w:rFonts w:ascii="Arial" w:cs="Arial" w:eastAsia="Arial" w:hAnsi="Arial"/>
          <w:sz w:val="18"/>
          <w:szCs w:val="18"/>
          <w:color w:val="auto"/>
        </w:rPr>
        <w:t>. The latter reflected both the positive impact of the Temporary Regimen for Capital Repatriation and the initiatives to capture deposits that were rolled out throughout the year. At the subsidiary level and by client type, growth in Deposits in 2017 was associated primarily with deposits from individuals through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Tax Benefit to promote repatriation of undeclared funds that Peruvian residents hold overseas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2.2.1 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90170</wp:posOffset>
            </wp:positionV>
            <wp:extent cx="3078480" cy="977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848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 dollarization at Credicorp increased QoQ given that, despite the increase in LC deposits, growth in FC deposits was greater. In the case of LC deposits, expansion was due primarily to Savings and Severance indemnity deposits while growth in FC deposits was associated with Time, Savings and Demand deposits.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evolution, however, a lower level of dollarization is evident given that growth in LC deposits in previous quarters allowed to keep the downward trend in the level of dollarization of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44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611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QoQ evolution reflects an increase in the dollarization level of time deposits and, to a lesser extent, in the level of demand deposits. In the case of time deposits, the increase in the dollarization level was due primarily to the effect of the capital repatriation initiative, which gained ground in 4Q17. Savings and Severance indemnity deposits continued to reflect a reduction in dollarization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on-going dollarization was evident in almost all deposit types. This was in line with the trend observed in previous quarters.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577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11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Demand deposits includes Mibanco's market share of 0.1% at the end of December 2016, 0.2% at the end of September 2017 and November 2017.</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Savings deposits includes Mibanco's market share of 1.2% at the end of December 2016 and September 2017, and 1.3% at the end of November 2017.</w:t>
      </w:r>
    </w:p>
    <w:p>
      <w:pPr>
        <w:spacing w:after="0" w:line="32" w:lineRule="exact"/>
        <w:rPr>
          <w:rFonts w:ascii="Arial" w:cs="Arial" w:eastAsia="Arial" w:hAnsi="Arial"/>
          <w:sz w:val="16"/>
          <w:szCs w:val="16"/>
          <w:color w:val="auto"/>
        </w:rPr>
      </w:pPr>
    </w:p>
    <w:p>
      <w:pPr>
        <w:ind w:firstLine="8"/>
        <w:spacing w:after="0" w:line="250" w:lineRule="auto"/>
        <w:tabs>
          <w:tab w:leader="none" w:pos="2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 deposits includes Mibanco's narket share of 6.0% at the end of December 2016, 5.8% at the end of September 2017 and 5.9% at the end of November 2017.</w:t>
      </w:r>
    </w:p>
    <w:p>
      <w:pPr>
        <w:ind w:firstLine="8"/>
        <w:spacing w:after="0" w:line="261" w:lineRule="auto"/>
        <w:tabs>
          <w:tab w:leader="none" w:pos="2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indemnity deposits includes Mibanco's market share of 1.2% at the end of December 2016 and September 2017, and 1.4% at the end of November 2017.</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November 2017, Credicorp’s subsidiaries in Peru, BCP and Mibanco, continued to lead the market for total deposits with a market share (MS) of 32.0%. This result was situated approximately 12.4 percentage points above that of the group’s closest competitor.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QoQ analysis reveals that the MS for total deposits remained stable (32.2% at the end of September 2017) due to the net effect between the increase in the MS of demand, savings and Severance indemnity deposits and the reduction in the MS of time deposits. It is important to note that the impact of capital repatriation was reflected in the month of December. As such, the increase in the MS of this type of deposit is hidden.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MS reported a stable trend in comparison to the evolution at the end of December 2016 (32.1%).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once again ranked fifth in the Bolivian financial market system with a relatively stable MS that was situated at 9.8% at the end of December 2017 (compared to 10.0% at the end of September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Dec 16</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17</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7,562,947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8,867,185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7,996,889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11,265,406</w:t>
            </w:r>
          </w:p>
        </w:tc>
        <w:tc>
          <w:tcPr>
            <w:tcW w:w="980" w:type="dxa"/>
            <w:vAlign w:val="bottom"/>
          </w:tcPr>
          <w:p>
            <w:pPr>
              <w:jc w:val="right"/>
              <w:spacing w:after="0"/>
              <w:rPr>
                <w:sz w:val="20"/>
                <w:szCs w:val="20"/>
                <w:color w:val="auto"/>
              </w:rPr>
            </w:pPr>
            <w:r>
              <w:rPr>
                <w:rFonts w:ascii="Arial" w:cs="Arial" w:eastAsia="Arial" w:hAnsi="Arial"/>
                <w:sz w:val="18"/>
                <w:szCs w:val="18"/>
                <w:color w:val="auto"/>
              </w:rPr>
              <w:t>8,107,103</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9,286,032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15,962,810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15,236,054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16,242,257</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2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15,211,997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17,807,782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17,557,454</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0"/>
        </w:trPr>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86"/>
              </w:rPr>
              <w:t>50,003,160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50,018,124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51,082,632</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180" w:firstLine="8"/>
        <w:spacing w:after="0" w:line="605"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Includes acceptances outstanding, reserves for property and casualty claims, reserve for unearned premiums, reinsurance payable and other liabilities. The </w:t>
      </w:r>
      <w:r>
        <w:rPr>
          <w:rFonts w:ascii="Arial" w:cs="Arial" w:eastAsia="Arial" w:hAnsi="Arial"/>
          <w:sz w:val="16"/>
          <w:szCs w:val="16"/>
          <w:b w:val="1"/>
          <w:bCs w:val="1"/>
          <w:color w:val="auto"/>
        </w:rPr>
        <w:t>Total of other funding sources</w:t>
      </w:r>
      <w:r>
        <w:rPr>
          <w:rFonts w:ascii="Arial" w:cs="Arial" w:eastAsia="Arial" w:hAnsi="Arial"/>
          <w:sz w:val="16"/>
          <w:szCs w:val="16"/>
          <w:color w:val="auto"/>
        </w:rPr>
        <w:t xml:space="preserve"> rose +2.1% QoQ due to an increase in BCRP Instruments and Bonds &amp; subordinated debt, mainly at BCP Stand-alone.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right="5720"/>
        <w:spacing w:after="0" w:line="277" w:lineRule="auto"/>
        <w:rPr>
          <w:sz w:val="20"/>
          <w:szCs w:val="20"/>
          <w:color w:val="auto"/>
        </w:rPr>
      </w:pPr>
      <w:r>
        <w:rPr>
          <w:rFonts w:ascii="Arial" w:cs="Arial" w:eastAsia="Arial" w:hAnsi="Arial"/>
          <w:sz w:val="17"/>
          <w:szCs w:val="17"/>
          <w:color w:val="auto"/>
        </w:rPr>
        <w:t xml:space="preserve">In share of </w:t>
      </w:r>
      <w:r>
        <w:rPr>
          <w:rFonts w:ascii="Arial" w:cs="Arial" w:eastAsia="Arial" w:hAnsi="Arial"/>
          <w:sz w:val="17"/>
          <w:szCs w:val="17"/>
          <w:b w:val="1"/>
          <w:bCs w:val="1"/>
          <w:color w:val="auto"/>
        </w:rPr>
        <w:t>BCRP Instruments</w:t>
      </w:r>
      <w:r>
        <w:rPr>
          <w:rFonts w:ascii="Arial" w:cs="Arial" w:eastAsia="Arial" w:hAnsi="Arial"/>
          <w:sz w:val="17"/>
          <w:szCs w:val="17"/>
          <w:color w:val="auto"/>
        </w:rPr>
        <w:t xml:space="preserve"> in total funding at Credicorp increased QoQ, mainly due to growth in </w:t>
      </w:r>
      <w:r>
        <w:rPr>
          <w:rFonts w:ascii="Arial" w:cs="Arial" w:eastAsia="Arial" w:hAnsi="Arial"/>
          <w:sz w:val="17"/>
          <w:szCs w:val="17"/>
          <w:b w:val="1"/>
          <w:bCs w:val="1"/>
          <w:color w:val="auto"/>
        </w:rPr>
        <w:t>Regular Repos</w:t>
      </w:r>
      <w:r>
        <w:rPr>
          <w:rFonts w:ascii="Arial" w:cs="Arial" w:eastAsia="Arial" w:hAnsi="Arial"/>
          <w:sz w:val="17"/>
          <w:szCs w:val="17"/>
          <w:color w:val="auto"/>
        </w:rPr>
        <w:t xml:space="preserve"> at BCRP. It is important to note that BCP Stand-alone accounted for approximately 97.2% of BCRP instruments at Credicorp; the remainder corresponds to Mibanco. YoY, </w:t>
      </w:r>
      <w:r>
        <w:rPr>
          <w:rFonts w:ascii="Arial" w:cs="Arial" w:eastAsia="Arial" w:hAnsi="Arial"/>
          <w:sz w:val="17"/>
          <w:szCs w:val="17"/>
          <w:b w:val="1"/>
          <w:bCs w:val="1"/>
          <w:color w:val="auto"/>
        </w:rPr>
        <w:t>BCRP instruments</w:t>
      </w:r>
      <w:r>
        <w:rPr>
          <w:rFonts w:ascii="Arial" w:cs="Arial" w:eastAsia="Arial" w:hAnsi="Arial"/>
          <w:sz w:val="17"/>
          <w:szCs w:val="17"/>
          <w:color w:val="auto"/>
        </w:rPr>
        <w:t xml:space="preserve"> reflected the drop seen in other quarters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-704215</wp:posOffset>
            </wp:positionV>
            <wp:extent cx="2992755" cy="1543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275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Bonds &amp; subordinated debt </w:t>
      </w:r>
      <w:r>
        <w:rPr>
          <w:rFonts w:ascii="Arial" w:cs="Arial" w:eastAsia="Arial" w:hAnsi="Arial"/>
          <w:sz w:val="18"/>
          <w:szCs w:val="18"/>
          <w:color w:val="auto"/>
        </w:rPr>
        <w:t>increased due to the first issuance of a Soles-denominated corporate bond made in the international market in the month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2017. This transaction was conducted through BCP Stand-alone for S/ 2,000 million at a rate of 4.85%.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of the aforementioned offset the contraction in </w:t>
      </w:r>
      <w:r>
        <w:rPr>
          <w:rFonts w:ascii="Arial" w:cs="Arial" w:eastAsia="Arial" w:hAnsi="Arial"/>
          <w:sz w:val="18"/>
          <w:szCs w:val="18"/>
          <w:b w:val="1"/>
          <w:bCs w:val="1"/>
          <w:color w:val="auto"/>
        </w:rPr>
        <w:t>Due to banks &amp; Correspondents</w:t>
      </w:r>
      <w:r>
        <w:rPr>
          <w:rFonts w:ascii="Arial" w:cs="Arial" w:eastAsia="Arial" w:hAnsi="Arial"/>
          <w:sz w:val="18"/>
          <w:szCs w:val="18"/>
          <w:color w:val="auto"/>
        </w:rPr>
        <w:t xml:space="preserve"> and to a lesser extent, in </w:t>
      </w:r>
      <w:r>
        <w:rPr>
          <w:rFonts w:ascii="Arial" w:cs="Arial" w:eastAsia="Arial" w:hAnsi="Arial"/>
          <w:sz w:val="18"/>
          <w:szCs w:val="18"/>
          <w:b w:val="1"/>
          <w:bCs w:val="1"/>
          <w:color w:val="auto"/>
        </w:rPr>
        <w:t>Other liabilities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Due to banks &amp; correspondents</w:t>
      </w:r>
      <w:r>
        <w:rPr>
          <w:rFonts w:ascii="Arial" w:cs="Arial" w:eastAsia="Arial" w:hAnsi="Arial"/>
          <w:sz w:val="18"/>
          <w:szCs w:val="18"/>
          <w:color w:val="auto"/>
        </w:rPr>
        <w:t xml:space="preserve"> was originated by a decrease in the level of debt obligations with foreign banks in 4Q17 through BCP Stand-alone.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slight reduction in </w:t>
      </w:r>
      <w:r>
        <w:rPr>
          <w:rFonts w:ascii="Arial" w:cs="Arial" w:eastAsia="Arial" w:hAnsi="Arial"/>
          <w:sz w:val="18"/>
          <w:szCs w:val="18"/>
          <w:b w:val="1"/>
          <w:bCs w:val="1"/>
          <w:color w:val="auto"/>
        </w:rPr>
        <w:t>Other liabilities</w:t>
      </w:r>
      <w:r>
        <w:rPr>
          <w:rFonts w:ascii="Arial" w:cs="Arial" w:eastAsia="Arial" w:hAnsi="Arial"/>
          <w:sz w:val="18"/>
          <w:szCs w:val="18"/>
          <w:color w:val="auto"/>
        </w:rPr>
        <w:t xml:space="preserve"> was due to a decrease in repo agreements with other banks at BCP Stand-alone and Credicorp Capital.</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reflects a trend that is more in line with that observed in previous quarters in that growth in Other source of funding was the primary driver of expansion in </w:t>
      </w:r>
      <w:r>
        <w:rPr>
          <w:rFonts w:ascii="Arial" w:cs="Arial" w:eastAsia="Arial" w:hAnsi="Arial"/>
          <w:sz w:val="18"/>
          <w:szCs w:val="18"/>
          <w:b w:val="1"/>
          <w:bCs w:val="1"/>
          <w:color w:val="auto"/>
        </w:rPr>
        <w:t>Bonds &amp; subordinated debt</w:t>
      </w:r>
      <w:r>
        <w:rPr>
          <w:rFonts w:ascii="Arial" w:cs="Arial" w:eastAsia="Arial" w:hAnsi="Arial"/>
          <w:sz w:val="18"/>
          <w:szCs w:val="18"/>
          <w:color w:val="auto"/>
        </w:rPr>
        <w:t xml:space="preserve">, followed by the increase in </w:t>
      </w:r>
      <w:r>
        <w:rPr>
          <w:rFonts w:ascii="Arial" w:cs="Arial" w:eastAsia="Arial" w:hAnsi="Arial"/>
          <w:sz w:val="18"/>
          <w:szCs w:val="18"/>
          <w:b w:val="1"/>
          <w:bCs w:val="1"/>
          <w:color w:val="auto"/>
        </w:rPr>
        <w:t>Due to banks &amp; correspondents</w:t>
      </w:r>
      <w:r>
        <w:rPr>
          <w:rFonts w:ascii="Arial" w:cs="Arial" w:eastAsia="Arial" w:hAnsi="Arial"/>
          <w:sz w:val="18"/>
          <w:szCs w:val="18"/>
          <w:color w:val="auto"/>
        </w:rPr>
        <w:t xml:space="preserve">. The aforementioned substituted </w:t>
      </w:r>
      <w:r>
        <w:rPr>
          <w:rFonts w:ascii="Arial" w:cs="Arial" w:eastAsia="Arial" w:hAnsi="Arial"/>
          <w:sz w:val="18"/>
          <w:szCs w:val="18"/>
          <w:b w:val="1"/>
          <w:bCs w:val="1"/>
          <w:color w:val="auto"/>
        </w:rPr>
        <w:t>BCRP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Instruments </w:t>
      </w:r>
      <w:r>
        <w:rPr>
          <w:rFonts w:ascii="Arial" w:cs="Arial" w:eastAsia="Arial" w:hAnsi="Arial"/>
          <w:sz w:val="18"/>
          <w:szCs w:val="18"/>
          <w:color w:val="auto"/>
        </w:rPr>
        <w:t>given that the main substitution and expansion repos expired in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154940</wp:posOffset>
            </wp:positionV>
            <wp:extent cx="3936365" cy="1457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3636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L/D ratio increased QoQ to situate at 103.4% after loans expanded at a greater rate than total deposits (+5.6% vs +4.6%). In the analysis by subsidiary, it is evident that this slight increase was associated with BCP Stand-alone. Nevertheless, in YoY terms, the L/D ratio continued to reflect the reduction observed in the previous quarters of 2017.</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7" w:lineRule="exact"/>
        <w:rPr>
          <w:sz w:val="20"/>
          <w:szCs w:val="20"/>
          <w:color w:val="auto"/>
        </w:rPr>
      </w:pPr>
    </w:p>
    <w:p>
      <w:pPr>
        <w:ind w:left="2240"/>
        <w:spacing w:after="0"/>
        <w:tabs>
          <w:tab w:leader="none" w:pos="798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142875</wp:posOffset>
            </wp:positionV>
            <wp:extent cx="6491605" cy="1346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160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analysis by currency indicates growth in the L/D ratio for LC at Credicorp while the L/D ratio for FC reported a decline. The latter was attributable to a decrease in the ratio at BCP Stand-alone, which reflects the effect of significant growth in FC deposits.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 L/D ratio reported a decrease that was attributable to on-going dedollarization of deposits in 2017. The L/D ratio for FC reported a significant decline due to considerable growth in FC deposits in 4Q.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Credicorp’s funding cost increased only +1 bps QoQ, which reflects the slight change in the funding structure discussed above, where Bonds &amp; subordinated debt, as well as BCRP Instruments, posted a marginal increase in their share of total funding, replacing Due to banks &amp; correspondents. The aforementioned was attenuated by growth in deposits, which expanded in volume only toward the end of the quarter after the Program to repatriate capital.</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the funding cost fell -4 bps YoY, in line with the evolution of the funding structure, which posted a significant increase in the share of total deposits in Credicorp’s total funding (62.9% in 4Q16 to 65.2% in 4Q17). As such, total deposits- a relatively lower cost alternative- replaced BCRP Instruments and Due to banks &amp; correspondents in the funding mix. Nevertheless, it is important to remember that growth in deposits was associated with a higher volume of savings and time deposits at the end of the quarter, which meant that interest expense, particularly on time deposits, had almost no impact on interest expenses.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accumulated terms, although the funding cost increased +2 bps with regard to the level in 2016, the level reported reflects relative stability considering that in 2014, Credicorp’s funding cost reflected an upward trend in a scenario in which the funding cost in LC increased, and funding for the banking business expanded primarily in LC to accompany significant dedollarization of loans at BCP Stand-alone. Additionally, growth in funding in LC was attributable primarily to an increase in structural funding from BCRP, mainly in 2015 and part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Nevertheless, in 2017, a more favorable context was generated mainly by:</w:t>
      </w:r>
    </w:p>
    <w:p>
      <w:pPr>
        <w:spacing w:after="0" w:line="225"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scenario characterized by on-going reductions in BCRP’s reference rate (100 bps at year-end), which helped stabilize the funding cost in LC and eventually led to a slight reduction at year-end after almost three years of upward pressure.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funding structure reflected an increase in the level of deposits, which constitute a lower-cost source of funding. Additionally, within the deposit structure, we see growth, measured in average daily balances, in savings deposits in LC, which also reported the lowest cost of all deposit types.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13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Time deposits and the recent issuance of corporate bonds increased their shares of total funding; the latter allow Credicorp to maintain an adequate level of structural funding. Both types of funding replaced BCRP repos, which expired at different dates throughout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funding cost by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BCP</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30"/>
                <w:szCs w:val="30"/>
                <w:b w:val="1"/>
                <w:bCs w:val="1"/>
                <w:color w:val="auto"/>
                <w:vertAlign w:val="superscript"/>
              </w:rPr>
              <w:t>(1)</w:t>
            </w:r>
          </w:p>
        </w:tc>
        <w:tc>
          <w:tcPr>
            <w:tcW w:w="260" w:type="dxa"/>
            <w:vAlign w:val="bottom"/>
            <w:vMerge w:val="restart"/>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9"/>
              </w:rPr>
              <w:t xml:space="preserve">Credicorp </w:t>
            </w:r>
            <w:r>
              <w:rPr>
                <w:rFonts w:ascii="Arial" w:cs="Arial" w:eastAsia="Arial" w:hAnsi="Arial"/>
                <w:sz w:val="30"/>
                <w:szCs w:val="30"/>
                <w:b w:val="1"/>
                <w:bCs w:val="1"/>
                <w:color w:val="auto"/>
                <w:w w:val="89"/>
                <w:vertAlign w:val="superscript"/>
              </w:rPr>
              <w:t>(1)(2)</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40" w:type="dxa"/>
            <w:vAlign w:val="bottom"/>
          </w:tcPr>
          <w:p>
            <w:pPr>
              <w:spacing w:after="0"/>
              <w:rPr>
                <w:sz w:val="22"/>
                <w:szCs w:val="22"/>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Mibanco</w:t>
            </w:r>
          </w:p>
        </w:tc>
        <w:tc>
          <w:tcPr>
            <w:tcW w:w="260" w:type="dxa"/>
            <w:vAlign w:val="bottom"/>
          </w:tcPr>
          <w:p>
            <w:pPr>
              <w:spacing w:after="0"/>
              <w:rPr>
                <w:sz w:val="22"/>
                <w:szCs w:val="22"/>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BCP Bolivia</w:t>
            </w:r>
          </w:p>
        </w:tc>
        <w:tc>
          <w:tcPr>
            <w:tcW w:w="2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Banking business</w:t>
            </w:r>
          </w:p>
        </w:tc>
        <w:tc>
          <w:tcPr>
            <w:tcW w:w="15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4Q16</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3Q17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4Q17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2014</w:t>
            </w: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57"/>
        </w:trPr>
        <w:tc>
          <w:tcPr>
            <w:tcW w:w="1040" w:type="dxa"/>
            <w:vAlign w:val="bottom"/>
          </w:tcPr>
          <w:p>
            <w:pPr>
              <w:jc w:val="center"/>
              <w:spacing w:after="0" w:line="256" w:lineRule="exact"/>
              <w:rPr>
                <w:sz w:val="20"/>
                <w:szCs w:val="20"/>
                <w:color w:val="auto"/>
              </w:rPr>
            </w:pPr>
            <w:r>
              <w:rPr>
                <w:rFonts w:ascii="Arial" w:cs="Arial" w:eastAsia="Arial" w:hAnsi="Arial"/>
                <w:sz w:val="18"/>
                <w:szCs w:val="18"/>
                <w:b w:val="1"/>
                <w:bCs w:val="1"/>
                <w:color w:val="auto"/>
                <w:w w:val="84"/>
              </w:rPr>
              <w:t xml:space="preserve">2016 </w:t>
            </w:r>
            <w:r>
              <w:rPr>
                <w:rFonts w:ascii="Arial" w:cs="Arial" w:eastAsia="Arial" w:hAnsi="Arial"/>
                <w:sz w:val="29"/>
                <w:szCs w:val="29"/>
                <w:b w:val="1"/>
                <w:bCs w:val="1"/>
                <w:color w:val="auto"/>
                <w:w w:val="84"/>
                <w:vertAlign w:val="superscript"/>
              </w:rPr>
              <w:t>(1)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banking business results, other subsidiaries and consolidation adjustments.</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funding cost at BCP Stand-alone, which experienced upward pressure as of 2014, stabilized toward the second half of 2017. 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which also experienced on-going upward pressure as of 2014, registered a turning point in 4Q16 and maintained downward trend in 2017.</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The funding cost at </w:t>
      </w:r>
      <w:r>
        <w:rPr>
          <w:rFonts w:ascii="Arial" w:cs="Arial" w:eastAsia="Arial" w:hAnsi="Arial"/>
          <w:sz w:val="17"/>
          <w:szCs w:val="17"/>
          <w:b w:val="1"/>
          <w:bCs w:val="1"/>
          <w:color w:val="auto"/>
        </w:rPr>
        <w:t>BCP Bolivia</w:t>
      </w:r>
      <w:r>
        <w:rPr>
          <w:rFonts w:ascii="Arial" w:cs="Arial" w:eastAsia="Arial" w:hAnsi="Arial"/>
          <w:sz w:val="17"/>
          <w:szCs w:val="17"/>
          <w:color w:val="auto"/>
        </w:rPr>
        <w:t xml:space="preserve"> increased +10 bps QoQ due to growth in interest expenses on deposits, specifically time deposits.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2.6 Mutual Funds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 change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 16</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17</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QoQ</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10,702,646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11,297,018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12,135,085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566,432</w:t>
            </w:r>
          </w:p>
        </w:tc>
        <w:tc>
          <w:tcPr>
            <w:tcW w:w="980" w:type="dxa"/>
            <w:vAlign w:val="bottom"/>
          </w:tcPr>
          <w:p>
            <w:pPr>
              <w:jc w:val="right"/>
              <w:spacing w:after="0"/>
              <w:rPr>
                <w:sz w:val="20"/>
                <w:szCs w:val="20"/>
                <w:color w:val="auto"/>
              </w:rPr>
            </w:pPr>
            <w:r>
              <w:rPr>
                <w:rFonts w:ascii="Arial" w:cs="Arial" w:eastAsia="Arial" w:hAnsi="Arial"/>
                <w:sz w:val="18"/>
                <w:szCs w:val="18"/>
                <w:color w:val="auto"/>
              </w:rPr>
              <w:t>552,046</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557,822</w:t>
            </w:r>
          </w:p>
        </w:tc>
        <w:tc>
          <w:tcPr>
            <w:tcW w:w="720" w:type="dxa"/>
            <w:vAlign w:val="bottom"/>
          </w:tcPr>
          <w:p>
            <w:pPr>
              <w:spacing w:after="0"/>
              <w:rPr>
                <w:sz w:val="19"/>
                <w:szCs w:val="19"/>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11,269,078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11,849,065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12,692,907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7"/>
              </w:rPr>
              <w:t>7.1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grew QoQ. This was mainly attributable to an increase in funds held by natural persons, which was in turn associated with the capital repatriation program (whose impact was greatest in 4Q17). The market share at the end of December 2017 increased and was situated at 41.0% in comparison to 40.4% at the end of September 2017. In this context, Credicorp Capital Fondos Peru continued to lead the Peruvian market and was situated approximately 20.2 percentage points above its closest competitor. In the YoY analysis, Credicorp Capital Fondos Peru reported expansion of +13.4% in funds under management.</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Funds under management at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increased QoQ due to growth in the investment volume, which was in line with a QoQ increase in the number of clients.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terms of market share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was situated at 13.5% at the end of December 2017 versus 13.0% at the end of September 2017. With this share, the fund maintained its position as the fourth largest competitor in the Bolivian market.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YoY terms, Credifondo Bolivia reported a decrease of -1.5% in its funds under management. Despite this, the fund increased its market share, going from 12.8% at the end of December 2016 to 13.5% at the end of December 2017.</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2017, the -10 bps drop in the cost of risk (CofR), which was situated at 1.78%, was particularly noteworthy. This level fell below the 1.82% registered in 2012, the year prior to the acquisition of Mibanco and the starting point for Peru’s economic slowdown. This result was even more noteworthy if we consider the provisions set aside in 2017 for the El Nino Phenomenon and the Lava Jato case. The CofR of the underlying portfolio fell -22 bps from 1.88% in 2016 to 1.66% in 2017, in line with portfolio growth and a decrease in provision requirements for the underlying portfolio. The latter reflects the improvements made over the last 3 years in commercial and risk management capabilities.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Portfolio quality and Provisions for loan losses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4Q16</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3Q17</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4Q17</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Provisions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(542,988)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(447,504)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(509,774)</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(2,063,209)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(2,057,478)</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Loan loss recoveries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83,727</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69,302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68,524</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277,714</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268,313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 net of recoveries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(459,261)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(378,202)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(441,250)</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(1,785,495)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(1,789,165)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1.94%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1.59%</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1.76%</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17 bps</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rPr>
              <w:t>-18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1.78%</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Provisions for loan losses / Net interest income </w:t>
            </w:r>
            <w:r>
              <w:rPr>
                <w:rFonts w:ascii="Arial" w:cs="Arial" w:eastAsia="Arial" w:hAnsi="Arial"/>
                <w:sz w:val="23"/>
                <w:szCs w:val="23"/>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255 bps</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w w:val="99"/>
              </w:rPr>
              <w:t>-121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94,780,539</w:t>
            </w:r>
          </w:p>
        </w:tc>
        <w:tc>
          <w:tcPr>
            <w:tcW w:w="2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95,142,268</w:t>
            </w:r>
          </w:p>
        </w:tc>
        <w:tc>
          <w:tcPr>
            <w:tcW w:w="2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100,477,774</w:t>
            </w:r>
          </w:p>
        </w:tc>
        <w:tc>
          <w:tcPr>
            <w:tcW w:w="2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w:t>
            </w:r>
          </w:p>
        </w:tc>
        <w:tc>
          <w:tcPr>
            <w:tcW w:w="2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w:t>
            </w:r>
          </w:p>
        </w:tc>
        <w:tc>
          <w:tcPr>
            <w:tcW w:w="2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Less - allowance for loan losses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4,207,133</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4,419,769</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4,500,498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Write-offs</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375,865</w:t>
            </w: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332,995</w:t>
            </w: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357,916</w:t>
            </w: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2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 xml:space="preserve">Internal overdue loans (IOLs) </w:t>
            </w:r>
            <w:r>
              <w:rPr>
                <w:rFonts w:ascii="Arial" w:cs="Arial" w:eastAsia="Arial" w:hAnsi="Arial"/>
                <w:sz w:val="19"/>
                <w:szCs w:val="19"/>
                <w:color w:val="auto"/>
                <w:vertAlign w:val="superscript"/>
              </w:rPr>
              <w:t>(3)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2,618,848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2,874,071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3,019,222</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Refinanced loans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844,054</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963,807</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915,297</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8.4%</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3,462,902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3,837,878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3,934,519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Delinquency ratio over 90 days</w:t>
            </w: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2.13%</w:t>
            </w: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2.28%</w:t>
            </w:r>
          </w:p>
        </w:tc>
        <w:tc>
          <w:tcPr>
            <w:tcW w:w="11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2.26%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IOL ratio</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3.02%</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4.03%</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3.92%</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Internal overdue loans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Coverage ratio of NPLs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121.5%</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115.2%</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114.4%</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provisions for loans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color w:val="auto"/>
        </w:rPr>
        <w:t xml:space="preserve">The QoQ analysis </w:t>
      </w:r>
      <w:r>
        <w:rPr>
          <w:rFonts w:ascii="Arial" w:cs="Arial" w:eastAsia="Arial" w:hAnsi="Arial"/>
          <w:sz w:val="18"/>
          <w:szCs w:val="18"/>
          <w:color w:val="auto"/>
        </w:rPr>
        <w:t>shows an increase of +16.7% in the</w:t>
      </w:r>
      <w:r>
        <w:rPr>
          <w:rFonts w:ascii="Arial" w:cs="Arial" w:eastAsia="Arial" w:hAnsi="Arial"/>
          <w:sz w:val="18"/>
          <w:szCs w:val="18"/>
          <w:b w:val="1"/>
          <w:bCs w:val="1"/>
          <w:color w:val="auto"/>
        </w:rPr>
        <w:t xml:space="preserve"> provision for loan losses net of recoveries, </w:t>
      </w:r>
      <w:r>
        <w:rPr>
          <w:rFonts w:ascii="Arial" w:cs="Arial" w:eastAsia="Arial" w:hAnsi="Arial"/>
          <w:sz w:val="18"/>
          <w:szCs w:val="18"/>
          <w:color w:val="auto"/>
        </w:rPr>
        <w:t>which was attributable to an increase in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in the SME-Pyme and Mibanco segments. The aforementioned led the </w:t>
      </w:r>
      <w:r>
        <w:rPr>
          <w:rFonts w:ascii="Arial" w:cs="Arial" w:eastAsia="Arial" w:hAnsi="Arial"/>
          <w:sz w:val="18"/>
          <w:szCs w:val="18"/>
          <w:b w:val="1"/>
          <w:bCs w:val="1"/>
          <w:color w:val="auto"/>
        </w:rPr>
        <w:t>cost of risk</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to increase +17 bps, situating at 1.76%. This growth was partially offset by the +5.6% QoQ expansion in total loans.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Coverage ratios for the internal overdue and non-performing loan portfolios </w:t>
      </w:r>
      <w:r>
        <w:rPr>
          <w:rFonts w:ascii="Arial" w:cs="Arial" w:eastAsia="Arial" w:hAnsi="Arial"/>
          <w:sz w:val="18"/>
          <w:szCs w:val="18"/>
          <w:color w:val="auto"/>
        </w:rPr>
        <w:t>fell given that growth in the allowance for loan losses was lower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internal overdue and non-performing loan portfolios.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 the YoY analysis</w:t>
      </w:r>
      <w:r>
        <w:rPr>
          <w:rFonts w:ascii="Arial" w:cs="Arial" w:eastAsia="Arial" w:hAnsi="Arial"/>
          <w:sz w:val="17"/>
          <w:szCs w:val="17"/>
          <w:color w:val="auto"/>
        </w:rPr>
        <w:t>, the provision for loan losses net of recoveries fell -3.9% due to the decrease in gross provisions. This, coupled with growth in quarter-end loan balances, led to a -18 bps drop in CofR. The coverage ratios for the internal overdue and non-performing loan portfolios posted a drop given that growth in the internal overdue and non-performing loan portfolios outpaced the increase in the allowance for loan losses.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accumulated terms</w:t>
      </w:r>
      <w:r>
        <w:rPr>
          <w:rFonts w:ascii="Arial" w:cs="Arial" w:eastAsia="Arial" w:hAnsi="Arial"/>
          <w:sz w:val="18"/>
          <w:szCs w:val="18"/>
          <w:color w:val="auto"/>
        </w:rPr>
        <w:t>, the CofR in 2017 fell -10 bps. This was mainly associated with growth in the loan balance and, to a lesser extent, with the fact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were relatively stable. It is important to note that growth in loans outpaced that of gross provisions, which reflects the good credit quality of the loans originated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Annualized provisions for loan losses net of recoveries over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3.2 Portfolio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154940</wp:posOffset>
            </wp:positionV>
            <wp:extent cx="5685790" cy="182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579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hanging="24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640" w:hanging="24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9" w:lineRule="exact"/>
        <w:rPr>
          <w:rFonts w:ascii="Arial" w:cs="Arial" w:eastAsia="Arial" w:hAnsi="Arial"/>
          <w:sz w:val="18"/>
          <w:szCs w:val="18"/>
          <w:color w:val="auto"/>
        </w:rPr>
      </w:pPr>
    </w:p>
    <w:p>
      <w:pPr>
        <w:ind w:left="400" w:right="20" w:hanging="9"/>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risk of the Underlying portfolio for March 17 and June 17 was calculated eliminating provisions related to the construction sector and the El Nino weather phenomenon.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indicators, it is important to note that:</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Traditional delinquency indicators (IOL and NPL ratios) continue to be distorted by the presence of loans with real estate collateral (commercial and residential properties). This means that a significant portion of loans that are more than 150 days past due cannot be written off although provisions have been set aside, given that foreclosure takes 5 years on average.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second half (2H) of each year, loans are more dynamic, mainly in SME-Pyme and Mibanco given that the main campaigns in these segments (Christmas Campaigns) are conducted in the second half of the year and these short-term loans are paid in full in 1H of the following year.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above reveals a QoQ improvement in traditional delinquency indicators. This was due to lower growth in the internal overdue and non-performing loan portfolios than in total loans.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figure shows the evolution of the cost of risk by business line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risk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154940</wp:posOffset>
            </wp:positionV>
            <wp:extent cx="5419725" cy="3035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1972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analyzing delinquency indicators by business line, it is important to note that, as is evident in the figure above, the Cost of Risk YoY (to eliminate the effect of loan seasonality) contracted for the fifth consecutive quarter (excluding 1Q17, which was affected by FEN). If we look at the historical trend for delinquency indicators, it is evident that 2015 marked a turning point for the cost of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accumulated analysis</w:t>
      </w:r>
      <w:r>
        <w:rPr>
          <w:rFonts w:ascii="Arial" w:cs="Arial" w:eastAsia="Arial" w:hAnsi="Arial"/>
          <w:sz w:val="18"/>
          <w:szCs w:val="18"/>
          <w:color w:val="auto"/>
        </w:rPr>
        <w:t xml:space="preserve">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154940</wp:posOffset>
            </wp:positionV>
            <wp:extent cx="4742180" cy="170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218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very important to note that the CofR in 2017 was situated at 1.78%, which fell below the 1.88% reported for the same period in 2016. This was important if we consider that:</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in 2017 includes provisions for FEN (1Q and 2Q) and construction companies (1Q);</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underlying portfolio reported a CofR of 1.66% in accumulated terms in 2017 versus 1.88% for the same period in 2016.</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left="130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risk in 2017 was lower than that reported in 2012, which is noteworthy given that 2012 excludes two fundamental factors: i) the negative effect on the risk mix generated by the acquisition of Mibanco (2015), and ii) the negative impact of the economic slowdown in the Peruvian economy.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154940</wp:posOffset>
            </wp:positionV>
            <wp:extent cx="5342890" cy="2049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289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hanging="644"/>
        <w:spacing w:after="0" w:line="28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cost of risk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was situated at 0.13%, which represents a slightly increase of +7 bps QoQ. This increase is due to the unusually low provisions level in 3Q17 in line with a provision reversal of a client in the Work-out unit.</w:t>
      </w:r>
    </w:p>
    <w:p>
      <w:pPr>
        <w:spacing w:after="0" w:line="166"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NPL ratio fell QoQ, mainly due to portfolio growth and, to a lesser extent, to a reduction in non-performing loans due to lower volumes of refinanced loans.</w:t>
      </w:r>
    </w:p>
    <w:p>
      <w:pPr>
        <w:spacing w:after="0" w:line="16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154940</wp:posOffset>
            </wp:positionV>
            <wp:extent cx="5257165" cy="1989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5716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hanging="644"/>
        <w:spacing w:after="0" w:line="28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 QoQ drop in the CofR that was primarily attributable to a reduction in provisions, which were unusually high in</w:t>
      </w:r>
      <w:r>
        <w:rPr>
          <w:rFonts w:ascii="Arial" w:cs="Arial" w:eastAsia="Arial" w:hAnsi="Arial"/>
          <w:sz w:val="18"/>
          <w:szCs w:val="18"/>
          <w:b w:val="1"/>
          <w:bCs w:val="1"/>
          <w:color w:val="auto"/>
        </w:rPr>
        <w:t xml:space="preserve"> </w:t>
      </w:r>
      <w:r>
        <w:rPr>
          <w:rFonts w:ascii="Arial" w:cs="Arial" w:eastAsia="Arial" w:hAnsi="Arial"/>
          <w:sz w:val="18"/>
          <w:szCs w:val="18"/>
          <w:color w:val="auto"/>
        </w:rPr>
        <w:t>3Q17. The IOL and NPL ratios remained relatively stable.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3164"/>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154940</wp:posOffset>
            </wp:positionV>
            <wp:extent cx="5746115" cy="2135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611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44" w:hanging="644"/>
        <w:spacing w:after="0" w:line="264" w:lineRule="auto"/>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important to consider that the SME-Business segment is also affected by the loan seasonality, therefore, YoY analysis is more accurate than QoQ analysis. As such, the CofR posted a significant decreased YoY, reaching levels more similar to those posted in the 4Q of previous years</w:t>
      </w:r>
    </w:p>
    <w:p>
      <w:pPr>
        <w:spacing w:after="0" w:line="181" w:lineRule="exact"/>
        <w:rPr>
          <w:sz w:val="20"/>
          <w:szCs w:val="20"/>
          <w:color w:val="auto"/>
        </w:rPr>
      </w:pPr>
    </w:p>
    <w:p>
      <w:pPr>
        <w:jc w:val="both"/>
        <w:ind w:left="644"/>
        <w:spacing w:after="0" w:line="264" w:lineRule="auto"/>
        <w:rPr>
          <w:sz w:val="20"/>
          <w:szCs w:val="20"/>
          <w:color w:val="auto"/>
        </w:rPr>
      </w:pPr>
      <w:r>
        <w:rPr>
          <w:rFonts w:ascii="Arial" w:cs="Arial" w:eastAsia="Arial" w:hAnsi="Arial"/>
          <w:sz w:val="18"/>
          <w:szCs w:val="18"/>
          <w:color w:val="auto"/>
        </w:rPr>
        <w:t>The IOL and NPL ratios improved QoQ, in line with the loan seasonality, aforementioned, which is reflected in the loan growth, but also with the contraction in the internal overdue and the non-performing loans portfolio due to write-offs and recoveries of overdue loans. YoY, both indicators rose slightly but they remained within the organization’s risk appetite.</w:t>
      </w:r>
    </w:p>
    <w:p>
      <w:pPr>
        <w:spacing w:after="0" w:line="177" w:lineRule="exact"/>
        <w:rPr>
          <w:sz w:val="20"/>
          <w:szCs w:val="20"/>
          <w:color w:val="auto"/>
        </w:rPr>
      </w:pPr>
    </w:p>
    <w:p>
      <w:pPr>
        <w:jc w:val="center"/>
        <w:ind w:right="136"/>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154940</wp:posOffset>
            </wp:positionV>
            <wp:extent cx="5746115" cy="2238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4611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44" w:hanging="644"/>
        <w:spacing w:after="0" w:line="261"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segment, it is important to analyze the early delinquency indicator, which excludes loans that are overdue less than 60 days (volatile loans with a very high percentage of recovery) and those overdue more than 150 days (loans for which provisions have been set aside but which cannot be written-off due to the existence of real estate collateral– commercial properties that take five years on average to liquidate).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25" w:name="page26"/>
    <w:bookmarkEnd w:id="25"/>
    <w:p>
      <w:pPr>
        <w:jc w:val="both"/>
        <w:ind w:left="644"/>
        <w:spacing w:after="0" w:line="259" w:lineRule="auto"/>
        <w:rPr>
          <w:sz w:val="20"/>
          <w:szCs w:val="20"/>
          <w:color w:val="auto"/>
        </w:rPr>
      </w:pPr>
      <w:r>
        <w:rPr>
          <w:rFonts w:ascii="Arial" w:cs="Arial" w:eastAsia="Arial" w:hAnsi="Arial"/>
          <w:sz w:val="18"/>
          <w:szCs w:val="18"/>
          <w:color w:val="auto"/>
        </w:rPr>
        <w:t>Since 2S14, SME-Pyme’s early delinquency continues to show a downward trend YoY, in line with on-going improvement in the risk quality of vintages, which in turn is explained by all adjustments made in the SME-Pyme business model. All this effort is more evident in vintages originated from 2015 and on. In this context, early delinquency fell -6 bps YoY in 4Q17. This improvement was also attributable to higher growth in the total portfolio.</w:t>
      </w:r>
    </w:p>
    <w:p>
      <w:pPr>
        <w:spacing w:after="0" w:line="187" w:lineRule="exact"/>
        <w:rPr>
          <w:sz w:val="20"/>
          <w:szCs w:val="20"/>
          <w:color w:val="auto"/>
        </w:rPr>
      </w:pPr>
    </w:p>
    <w:p>
      <w:pPr>
        <w:jc w:val="both"/>
        <w:ind w:left="644"/>
        <w:spacing w:after="0" w:line="264" w:lineRule="auto"/>
        <w:rPr>
          <w:sz w:val="20"/>
          <w:szCs w:val="20"/>
          <w:color w:val="auto"/>
        </w:rPr>
      </w:pPr>
      <w:r>
        <w:rPr>
          <w:rFonts w:ascii="Arial" w:cs="Arial" w:eastAsia="Arial" w:hAnsi="Arial"/>
          <w:sz w:val="18"/>
          <w:szCs w:val="18"/>
          <w:color w:val="auto"/>
        </w:rPr>
        <w:t>In line with the aforementioned, the CofR fell -38 bps YoY. This was due primarily to portfolio growth, which offset the slight increase in provisions. The latter was in line with the delinquency shown by some clients after the end of the skip program offered to them during El Nino Phenomenon.</w:t>
      </w:r>
    </w:p>
    <w:p>
      <w:pPr>
        <w:spacing w:after="0" w:line="177" w:lineRule="exact"/>
        <w:rPr>
          <w:sz w:val="20"/>
          <w:szCs w:val="20"/>
          <w:color w:val="auto"/>
        </w:rPr>
      </w:pPr>
    </w:p>
    <w:p>
      <w:pPr>
        <w:jc w:val="center"/>
        <w:ind w:right="136"/>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146050</wp:posOffset>
            </wp:positionV>
            <wp:extent cx="5282565" cy="2143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8256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644" w:hanging="644"/>
        <w:spacing w:after="0" w:line="289" w:lineRule="auto"/>
        <w:tabs>
          <w:tab w:leader="none" w:pos="6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 terms of </w:t>
      </w:r>
      <w:r>
        <w:rPr>
          <w:rFonts w:ascii="Arial" w:cs="Arial" w:eastAsia="Arial" w:hAnsi="Arial"/>
          <w:sz w:val="17"/>
          <w:szCs w:val="17"/>
          <w:b w:val="1"/>
          <w:bCs w:val="1"/>
          <w:color w:val="auto"/>
        </w:rPr>
        <w:t>Mortgage</w:t>
      </w:r>
      <w:r>
        <w:rPr>
          <w:rFonts w:ascii="Arial" w:cs="Arial" w:eastAsia="Arial" w:hAnsi="Arial"/>
          <w:sz w:val="17"/>
          <w:szCs w:val="17"/>
          <w:color w:val="auto"/>
        </w:rPr>
        <w:t xml:space="preserve"> loans, it is important to remember that these indicators are also affected by the existence of real estate collateral because the loans cannot be written-off until foreclosure, which takes 5 years on average. Traditional delinquency indicators increased QoQ given that the internal overdue and non-performing loan portfolios grew at a faster rate than the total portfolio.</w:t>
      </w:r>
    </w:p>
    <w:p>
      <w:pPr>
        <w:spacing w:after="0" w:line="162" w:lineRule="exact"/>
        <w:rPr>
          <w:rFonts w:ascii="Arial" w:cs="Arial" w:eastAsia="Arial" w:hAnsi="Arial"/>
          <w:sz w:val="17"/>
          <w:szCs w:val="17"/>
          <w:color w:val="auto"/>
        </w:rPr>
      </w:pPr>
    </w:p>
    <w:p>
      <w:pPr>
        <w:ind w:left="644" w:right="20"/>
        <w:spacing w:after="0" w:line="277" w:lineRule="auto"/>
        <w:rPr>
          <w:rFonts w:ascii="Arial" w:cs="Arial" w:eastAsia="Arial" w:hAnsi="Arial"/>
          <w:sz w:val="17"/>
          <w:szCs w:val="17"/>
          <w:color w:val="auto"/>
        </w:rPr>
      </w:pPr>
      <w:r>
        <w:rPr>
          <w:rFonts w:ascii="Arial" w:cs="Arial" w:eastAsia="Arial" w:hAnsi="Arial"/>
          <w:sz w:val="18"/>
          <w:szCs w:val="18"/>
          <w:color w:val="auto"/>
        </w:rPr>
        <w:t>The Early Delinquency indicator, which excludes the effect of loans that are more than 150 days overdue, fell -10 bps and is within the average range observed over the past two years.</w:t>
      </w:r>
    </w:p>
    <w:p>
      <w:pPr>
        <w:spacing w:after="0" w:line="170" w:lineRule="exact"/>
        <w:rPr>
          <w:rFonts w:ascii="Arial" w:cs="Arial" w:eastAsia="Arial" w:hAnsi="Arial"/>
          <w:sz w:val="17"/>
          <w:szCs w:val="17"/>
          <w:color w:val="auto"/>
        </w:rPr>
      </w:pPr>
    </w:p>
    <w:p>
      <w:pPr>
        <w:jc w:val="both"/>
        <w:ind w:left="644"/>
        <w:spacing w:after="0" w:line="264" w:lineRule="auto"/>
        <w:rPr>
          <w:rFonts w:ascii="Arial" w:cs="Arial" w:eastAsia="Arial" w:hAnsi="Arial"/>
          <w:sz w:val="17"/>
          <w:szCs w:val="17"/>
          <w:color w:val="auto"/>
        </w:rPr>
      </w:pPr>
      <w:r>
        <w:rPr>
          <w:rFonts w:ascii="Arial" w:cs="Arial" w:eastAsia="Arial" w:hAnsi="Arial"/>
          <w:sz w:val="18"/>
          <w:szCs w:val="18"/>
          <w:color w:val="auto"/>
        </w:rPr>
        <w:t>The CofR increased +31 bps QoQ due to an increase in provisions after some clients posted delinquency problems and, to a lesser extent, to an operating error in the MiVivienda portfolio in the month of October, which led the bank to set aside more provisions than necessary. However, it is important to note that the CofR is still within the organization risk appetite levels.</w:t>
      </w:r>
    </w:p>
    <w:p>
      <w:pPr>
        <w:spacing w:after="0" w:line="181"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6"/>
          <w:szCs w:val="16"/>
          <w:color w:val="auto"/>
        </w:rPr>
        <w:t>In the YoY analysis, early delinquency fell -4 bps and the cost of risk increased +38 bps, in line with the increase in provisions expense.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6" w:name="page27"/>
    <w:bookmarkEnd w:id="26"/>
    <w:p>
      <w:pPr>
        <w:ind w:left="3304"/>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154940</wp:posOffset>
            </wp:positionV>
            <wp:extent cx="5746115" cy="2126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1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44" w:hanging="644"/>
        <w:spacing w:after="0" w:line="258"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Consumer portfolio</w:t>
      </w:r>
      <w:r>
        <w:rPr>
          <w:rFonts w:ascii="Arial" w:cs="Arial" w:eastAsia="Arial" w:hAnsi="Arial"/>
          <w:sz w:val="18"/>
          <w:szCs w:val="18"/>
          <w:color w:val="auto"/>
        </w:rPr>
        <w:t>, the cost of risk fell QoQ and YoY, mainly due to a drop in provisions. This was in line with (i) the extinction of vintages originated prior to 2015; and (ii) the change in the risk profile for this portfolio. At the end of December 2017, 75% of the portfolio corresponds to vintages from 2016 or after, which have better risk quality than the ones of 2015 and before that triggered the delinquency problem. The portfolio’s new composition reflects the calibrated profile generated by changes in the risk policy for admissions, which also led to a decrease in the level of provisions.</w:t>
      </w:r>
    </w:p>
    <w:p>
      <w:pPr>
        <w:spacing w:after="0" w:line="187" w:lineRule="exact"/>
        <w:rPr>
          <w:rFonts w:ascii="Arial" w:cs="Arial" w:eastAsia="Arial" w:hAnsi="Arial"/>
          <w:sz w:val="18"/>
          <w:szCs w:val="18"/>
          <w:color w:val="auto"/>
        </w:rPr>
      </w:pPr>
    </w:p>
    <w:p>
      <w:pPr>
        <w:jc w:val="both"/>
        <w:ind w:left="644"/>
        <w:spacing w:after="0" w:line="312" w:lineRule="auto"/>
        <w:rPr>
          <w:rFonts w:ascii="Arial" w:cs="Arial" w:eastAsia="Arial" w:hAnsi="Arial"/>
          <w:sz w:val="18"/>
          <w:szCs w:val="18"/>
          <w:color w:val="auto"/>
        </w:rPr>
      </w:pPr>
      <w:r>
        <w:rPr>
          <w:rFonts w:ascii="Arial" w:cs="Arial" w:eastAsia="Arial" w:hAnsi="Arial"/>
          <w:sz w:val="16"/>
          <w:szCs w:val="16"/>
          <w:color w:val="auto"/>
        </w:rPr>
        <w:t>Early delinquency fell -20 bps QoQ and -38 bps YoY due to improvements in the risk quality of new vintages. In this context, the indicator reached levels similar to those seen in 2013 but with a lower cost of risk. It is evident that we have room to increase the speed of growth, which will allow us to maximize the portfolio’s profitability while maintaining this loan book within the organization’s risk appetite.</w:t>
      </w:r>
    </w:p>
    <w:p>
      <w:pPr>
        <w:spacing w:after="0" w:line="143"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154940</wp:posOffset>
            </wp:positionV>
            <wp:extent cx="5746115" cy="1844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4611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44" w:hanging="644"/>
        <w:spacing w:after="0" w:line="286" w:lineRule="auto"/>
        <w:tabs>
          <w:tab w:leader="none" w:pos="6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portfolio for the Credit Card segment reported a QoQ increase in the CofR; this was attributable to growth in provisions, which was partially offset by portfolio expansion. This expansion was, as mentioned last quarter, linked to the decision to increase the speed of growth in this segment to maximize the portfolio’s profitability. YoY, the CofR fell -8 bps, in line with a decrease in provisions.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27" w:name="page28"/>
    <w:bookmarkEnd w:id="27"/>
    <w:p>
      <w:pPr>
        <w:jc w:val="both"/>
        <w:ind w:left="644"/>
        <w:spacing w:after="0" w:line="312" w:lineRule="auto"/>
        <w:rPr>
          <w:sz w:val="20"/>
          <w:szCs w:val="20"/>
          <w:color w:val="auto"/>
        </w:rPr>
      </w:pPr>
      <w:r>
        <w:rPr>
          <w:rFonts w:ascii="Arial" w:cs="Arial" w:eastAsia="Arial" w:hAnsi="Arial"/>
          <w:sz w:val="16"/>
          <w:szCs w:val="16"/>
          <w:color w:val="auto"/>
        </w:rPr>
        <w:t>Early delinquency increased +58 bps QoQ and +36 bps YoY, in line with the delinquency problems faced by some clients in FEN disaster areas. This scenario also affected other entities in the country’s financial system. Nonetheless, the trend reflects an improvement in the risk quality of new vintages after corrective measures were applied to address the delinquency problem that became evident at the end of 2015.</w:t>
      </w:r>
    </w:p>
    <w:p>
      <w:pPr>
        <w:spacing w:after="0" w:line="143" w:lineRule="exact"/>
        <w:rPr>
          <w:sz w:val="20"/>
          <w:szCs w:val="20"/>
          <w:color w:val="auto"/>
        </w:rPr>
      </w:pPr>
    </w:p>
    <w:p>
      <w:pPr>
        <w:ind w:left="3364"/>
        <w:spacing w:after="0"/>
        <w:rPr>
          <w:sz w:val="20"/>
          <w:szCs w:val="20"/>
          <w:color w:val="auto"/>
        </w:rPr>
      </w:pPr>
      <w:r>
        <w:rPr>
          <w:rFonts w:ascii="Arial" w:cs="Arial" w:eastAsia="Arial" w:hAnsi="Arial"/>
          <w:sz w:val="18"/>
          <w:szCs w:val="18"/>
          <w:b w:val="1"/>
          <w:bCs w:val="1"/>
          <w:color w:val="auto"/>
        </w:rPr>
        <w:t>Mibanco – Portfolio quality and 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 w:hanging="260"/>
        <w:spacing w:after="0"/>
        <w:tabs>
          <w:tab w:leader="none" w:pos="584" w:val="left"/>
        </w:tabs>
        <w:numPr>
          <w:ilvl w:val="1"/>
          <w:numId w:val="36"/>
        </w:numPr>
        <w:rPr>
          <w:rFonts w:ascii="Arial" w:cs="Arial" w:eastAsia="Arial" w:hAnsi="Arial"/>
          <w:sz w:val="17"/>
          <w:szCs w:val="17"/>
          <w:color w:val="auto"/>
        </w:rPr>
      </w:pPr>
      <w:r>
        <w:rPr>
          <w:rFonts w:ascii="Arial" w:cs="Arial" w:eastAsia="Arial" w:hAnsi="Arial"/>
          <w:sz w:val="17"/>
          <w:szCs w:val="17"/>
          <w:color w:val="auto"/>
        </w:rPr>
        <w:t>Adjusted cost of risk of March 2017 and June 2017 calculated eliminating provisions related to the El Nino weather phenomenon.</w:t>
      </w:r>
    </w:p>
    <w:p>
      <w:pPr>
        <w:spacing w:after="0" w:line="236"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risk at Mibanco increased +53 bps QoQ and + 96 bps YoY. This was due primarily to an increase in provisions to cover slight deterioration at the portfolio level. The IOL and NPL ratios posted increases both QoQ and YoY, which was attributable to the expiration of the skip programs offered to clients affected by FEN.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8" w:name="page29"/>
    <w:bookmarkEnd w:id="28"/>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year 2017 was marked by low growth in average daily loan balances (+1.9%) and on-going reductions in loan NIM, which were offset by an improvement in returns on investments. In this context, NIM fell -14 bps with regard to 2016’s level due to a -42 bps drop in NIM on loans. Nevertheless, the improvement in the cost of risk led risk-adjusted NIM to fall only -8 bps. This is even more noteworthy if we consider that provisions for the year incorporate the effects of FEN and Lava Jato. In 4Q17, loans registered gradual recovery, particularly in lower-margin segments such as Wholesale Banking. The aforementioned led to a slight drop of -4 bps in NIM.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3Q17</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4Q17</w:t>
            </w:r>
          </w:p>
        </w:tc>
        <w:tc>
          <w:tcPr>
            <w:tcW w:w="2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2017 / 2018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2,784,031</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2,768,798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2,832,384</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2.3%</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1.7%</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10,742,216</w:t>
            </w:r>
          </w:p>
        </w:tc>
        <w:tc>
          <w:tcPr>
            <w:tcW w:w="3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11,056,862</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2,443,554</w:t>
            </w: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2,396,969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2,460,935</w:t>
            </w:r>
          </w:p>
        </w:tc>
        <w:tc>
          <w:tcPr>
            <w:tcW w:w="240" w:type="dxa"/>
            <w:vAlign w:val="bottom"/>
          </w:tcPr>
          <w:p>
            <w:pPr>
              <w:spacing w:after="0"/>
              <w:rPr>
                <w:sz w:val="12"/>
                <w:szCs w:val="12"/>
                <w:color w:val="auto"/>
              </w:rPr>
            </w:pP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9,479,867</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9,572,633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2,902</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8,530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10,030</w:t>
            </w:r>
          </w:p>
        </w:tc>
        <w:tc>
          <w:tcPr>
            <w:tcW w:w="9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245.6%</w:t>
            </w:r>
          </w:p>
        </w:tc>
        <w:tc>
          <w:tcPr>
            <w:tcW w:w="114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51,831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52,906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13,022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21,172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23,311</w:t>
            </w:r>
          </w:p>
        </w:tc>
        <w:tc>
          <w:tcPr>
            <w:tcW w:w="240" w:type="dxa"/>
            <w:vAlign w:val="bottom"/>
          </w:tcPr>
          <w:p>
            <w:pPr>
              <w:spacing w:after="0"/>
              <w:rPr>
                <w:sz w:val="12"/>
                <w:szCs w:val="12"/>
                <w:color w:val="auto"/>
              </w:rPr>
            </w:pP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79.0%</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48,626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88,359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306,891</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330,378</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324,082</w:t>
            </w:r>
          </w:p>
        </w:tc>
        <w:tc>
          <w:tcPr>
            <w:tcW w:w="9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w:t>
            </w:r>
          </w:p>
        </w:tc>
        <w:tc>
          <w:tcPr>
            <w:tcW w:w="114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1,103,834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1,299,845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17,662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11,749</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14,026</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19.4%</w:t>
            </w:r>
          </w:p>
        </w:tc>
        <w:tc>
          <w:tcPr>
            <w:tcW w:w="20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-20.6%</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58,058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43,119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740,609</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744,282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766,410</w:t>
            </w:r>
          </w:p>
        </w:tc>
        <w:tc>
          <w:tcPr>
            <w:tcW w:w="9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3.5%</w:t>
            </w:r>
          </w:p>
        </w:tc>
        <w:tc>
          <w:tcPr>
            <w:tcW w:w="114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2,864,185</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2,985,375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273,957</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287,046</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293,368</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7.1%</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1,062,751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1,132,041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207,077</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185,962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179,841</w:t>
            </w:r>
          </w:p>
        </w:tc>
        <w:tc>
          <w:tcPr>
            <w:tcW w:w="9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-13.2%</w:t>
            </w:r>
          </w:p>
        </w:tc>
        <w:tc>
          <w:tcPr>
            <w:tcW w:w="114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822,513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763,436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208,677</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203,083</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213,108</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778,644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835,255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50,898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68,191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80,093</w:t>
            </w: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57.4%</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200,277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254,643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gridSpan w:val="2"/>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2,043,422</w:t>
            </w:r>
          </w:p>
        </w:tc>
        <w:tc>
          <w:tcPr>
            <w:tcW w:w="2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2,024,516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2,065,974</w:t>
            </w:r>
          </w:p>
        </w:tc>
        <w:tc>
          <w:tcPr>
            <w:tcW w:w="240" w:type="dxa"/>
            <w:vAlign w:val="bottom"/>
          </w:tcPr>
          <w:p>
            <w:pPr>
              <w:spacing w:after="0"/>
              <w:rPr>
                <w:sz w:val="15"/>
                <w:szCs w:val="15"/>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7,878,031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8,071,487</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Risk-adjusted 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1,584,161</w:t>
            </w: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1,646,314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1,624,724</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6,092,536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6,282,322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56"/>
        </w:trPr>
        <w:tc>
          <w:tcPr>
            <w:tcW w:w="324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Average interest earning assets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146,583,248</w:t>
            </w:r>
          </w:p>
        </w:tc>
        <w:tc>
          <w:tcPr>
            <w:tcW w:w="2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152,336,614</w:t>
            </w:r>
          </w:p>
        </w:tc>
        <w:tc>
          <w:tcPr>
            <w:tcW w:w="24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156,414,367</w:t>
            </w:r>
          </w:p>
        </w:tc>
        <w:tc>
          <w:tcPr>
            <w:tcW w:w="2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145,273,182</w:t>
            </w:r>
          </w:p>
        </w:tc>
        <w:tc>
          <w:tcPr>
            <w:tcW w:w="3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152,823,723</w:t>
            </w:r>
          </w:p>
        </w:tc>
        <w:tc>
          <w:tcPr>
            <w:tcW w:w="2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1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32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5.58%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5.28%</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-4bps</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-30bps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5.42%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5.28%</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-14bps</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b w:val="1"/>
                <w:bCs w:val="1"/>
                <w:color w:val="auto"/>
                <w:vertAlign w:val="superscript"/>
              </w:rPr>
              <w:t>(1)(2)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8.32%</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8.20%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8.10%</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-10bps</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-22bps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8.27%</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7.85%</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-42bps</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b w:val="1"/>
                <w:bCs w:val="1"/>
                <w:color w:val="auto"/>
                <w:vertAlign w:val="superscript"/>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4.15%</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-17bps</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-17bps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4.19%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4.11%</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-8bps</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w w:val="94"/>
              </w:rPr>
              <w:t>Net provisions for loan losses / Net interest income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22.48%</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18.68%</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21.36%</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268bps</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4"/>
              </w:rPr>
              <w:t>-112bps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22.66%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22.17%</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-49bps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beginning this discussion, it is important to remember that in order to manage NIM with greater precision and clarity, and to ensure better disclosure, in 1Q17 we began excluding the derivatives result from NII to include it in non-financial income. For comparative purposes, these changes have been applied retroactively to 4Q16 and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QoQ analysis reveals a +2.3% increase in interest income, which was due primarily to growth in </w:t>
      </w:r>
      <w:r>
        <w:rPr>
          <w:rFonts w:ascii="Arial" w:cs="Arial" w:eastAsia="Arial" w:hAnsi="Arial"/>
          <w:sz w:val="16"/>
          <w:szCs w:val="16"/>
          <w:b w:val="1"/>
          <w:bCs w:val="1"/>
          <w:color w:val="auto"/>
        </w:rPr>
        <w:t>interest income on loans</w:t>
      </w:r>
      <w:r>
        <w:rPr>
          <w:rFonts w:ascii="Arial" w:cs="Arial" w:eastAsia="Arial" w:hAnsi="Arial"/>
          <w:sz w:val="16"/>
          <w:szCs w:val="16"/>
          <w:color w:val="auto"/>
        </w:rPr>
        <w:t>. This was attributable to:</w:t>
      </w:r>
    </w:p>
    <w:p>
      <w:pPr>
        <w:spacing w:after="0" w:line="252" w:lineRule="exact"/>
        <w:rPr>
          <w:sz w:val="20"/>
          <w:szCs w:val="20"/>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VOLUME EFFECT: higher growth in average daily loan balances, as indicated in the section 1.2 Credicorp Loans, after three quarters of very low growth.</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MIX BY CURRENCY: loan expansion was generated primarily in LC loans, which grew 4.2% QoQ. This rate outpaced that of FC loans (1.1% QoQ).</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YoY</w:t>
      </w:r>
      <w:r>
        <w:rPr>
          <w:rFonts w:ascii="Arial" w:cs="Arial" w:eastAsia="Arial" w:hAnsi="Arial"/>
          <w:sz w:val="17"/>
          <w:szCs w:val="17"/>
          <w:color w:val="auto"/>
        </w:rPr>
        <w:t>, interest income expanded +1.7%, mainly due to higher</w:t>
      </w:r>
      <w:r>
        <w:rPr>
          <w:rFonts w:ascii="Arial" w:cs="Arial" w:eastAsia="Arial" w:hAnsi="Arial"/>
          <w:sz w:val="17"/>
          <w:szCs w:val="17"/>
          <w:b w:val="1"/>
          <w:bCs w:val="1"/>
          <w:color w:val="auto"/>
        </w:rPr>
        <w:t xml:space="preserve"> interest income on securities </w:t>
      </w:r>
      <w:r>
        <w:rPr>
          <w:rFonts w:ascii="Arial" w:cs="Arial" w:eastAsia="Arial" w:hAnsi="Arial"/>
          <w:sz w:val="17"/>
          <w:szCs w:val="17"/>
          <w:color w:val="auto"/>
        </w:rPr>
        <w:t>due to more active management of the investment portfolio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context of low loan growth to maximize the profitability of IEA. </w:t>
      </w:r>
      <w:r>
        <w:rPr>
          <w:rFonts w:ascii="Arial" w:cs="Arial" w:eastAsia="Arial" w:hAnsi="Arial"/>
          <w:sz w:val="17"/>
          <w:szCs w:val="17"/>
          <w:b w:val="1"/>
          <w:bCs w:val="1"/>
          <w:color w:val="auto"/>
        </w:rPr>
        <w:t>Interest income on loans</w:t>
      </w:r>
      <w:r>
        <w:rPr>
          <w:rFonts w:ascii="Arial" w:cs="Arial" w:eastAsia="Arial" w:hAnsi="Arial"/>
          <w:sz w:val="17"/>
          <w:szCs w:val="17"/>
          <w:color w:val="auto"/>
        </w:rPr>
        <w:t xml:space="preserve"> followed the same trend described in the QoQ evolution.</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accumulated level, the +2.9% increase in interest income was associated with growth in interest on securities due to the more active management of the investment portfolio above mentioned. The aforementioned was reinforced by growth in interest income on loans in the second half of the year, which went hand-in-hand with an improvement in loan expansion.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4.2 Interest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expenses increased 3.0% QoQ, which is in line with the slight change in structural funding explained in section 2. Funding sources, in particular:</w:t>
      </w:r>
    </w:p>
    <w:p>
      <w:pPr>
        <w:spacing w:after="0" w:line="248"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Growth in the level of Bonds &amp; subordinated debt, after an issuance of LC-denominated bonds in October 2017 that increased QoQ interest expenses on securities.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in Other expenses is associated with the derivatives business at Credicorp Capital.</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slight increase in interest expenses on deposits, which mainly reflects an increase in the average volume of Deposits, particularly in terms of time deposits.</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and accumulated</w:t>
      </w:r>
      <w:r>
        <w:rPr>
          <w:rFonts w:ascii="Arial" w:cs="Arial" w:eastAsia="Arial" w:hAnsi="Arial"/>
          <w:sz w:val="16"/>
          <w:szCs w:val="16"/>
          <w:color w:val="auto"/>
        </w:rPr>
        <w:t xml:space="preserve"> analysis, interest expenses grew +3.5% and +4.2%; this was mainly due to an increase in interest expenses on deposits that was related to both a volume effect and a rate effect given that the deposits that posted the highest growth were Time deposits, which carry higher rates. It is important to note the drop in </w:t>
      </w:r>
      <w:r>
        <w:rPr>
          <w:rFonts w:ascii="Arial" w:cs="Arial" w:eastAsia="Arial" w:hAnsi="Arial"/>
          <w:sz w:val="16"/>
          <w:szCs w:val="16"/>
          <w:b w:val="1"/>
          <w:bCs w:val="1"/>
          <w:color w:val="auto"/>
        </w:rPr>
        <w:t>Interest on loans</w:t>
      </w:r>
      <w:r>
        <w:rPr>
          <w:rFonts w:ascii="Arial" w:cs="Arial" w:eastAsia="Arial" w:hAnsi="Arial"/>
          <w:sz w:val="16"/>
          <w:szCs w:val="16"/>
          <w:color w:val="auto"/>
        </w:rPr>
        <w:t>. This was related to a decrease in BCRP instruments, whose funding cost is higher than that of loans.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90170</wp:posOffset>
            </wp:positionV>
            <wp:extent cx="5368290" cy="2409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6829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4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NIM posted a 4 bps drop due to loan growth driven by lower-margin businesses, as we explained previously. Risk-adjusted NIM fell (-17pbs) given the slight drop in NIM, aforementioned, which was accentuated by the increase in CofR. The latter reached a more normalized level after the unusually low level posted in 3Q17.</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deterioration in NIM was related to 6.7% growth in average IEA versus low growth of 1.1% in NII. All of this, despite a t-2.8% drop YoY in net provisions for loan losses led to reduction of -17 bps in Risk-adjusted NIM.</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At </w:t>
      </w:r>
      <w:r>
        <w:rPr>
          <w:rFonts w:ascii="Arial" w:cs="Arial" w:eastAsia="Arial" w:hAnsi="Arial"/>
          <w:sz w:val="17"/>
          <w:szCs w:val="17"/>
          <w:b w:val="1"/>
          <w:bCs w:val="1"/>
          <w:color w:val="auto"/>
        </w:rPr>
        <w:t>the accumulated level</w:t>
      </w:r>
      <w:r>
        <w:rPr>
          <w:rFonts w:ascii="Arial" w:cs="Arial" w:eastAsia="Arial" w:hAnsi="Arial"/>
          <w:sz w:val="17"/>
          <w:szCs w:val="17"/>
          <w:color w:val="auto"/>
        </w:rPr>
        <w:t>, NIM and risk-adjusted NIM contracted, in line with i) growth in IEAs; this was led by the investment portfolio, which is less profitable than loans, and ii) the gradual recovery of loan growth in Wholesale Banking, which posted a contraction in their margins due to aggressive competition. All aforementioned was partially offset by net interest income obtained in year-end campaigns in segments with better margins.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345"/>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4"/>
              </w:rPr>
              <w:t xml:space="preserve">NIM on loans </w:t>
            </w:r>
            <w:r>
              <w:rPr>
                <w:rFonts w:ascii="Arial" w:cs="Arial" w:eastAsia="Arial" w:hAnsi="Arial"/>
                <w:sz w:val="18"/>
                <w:szCs w:val="18"/>
                <w:color w:val="auto"/>
                <w:w w:val="94"/>
              </w:rPr>
              <w:t>dropped 10 bps QoQ, which was in line with significant growth</w:t>
            </w:r>
          </w:p>
        </w:tc>
        <w:tc>
          <w:tcPr>
            <w:tcW w:w="3420" w:type="dxa"/>
            <w:vAlign w:val="bottom"/>
          </w:tcPr>
          <w:p>
            <w:pPr>
              <w:ind w:left="2300"/>
              <w:spacing w:after="0"/>
              <w:rPr>
                <w:sz w:val="20"/>
                <w:szCs w:val="20"/>
                <w:color w:val="auto"/>
              </w:rPr>
            </w:pPr>
            <w:r>
              <w:rPr>
                <w:rFonts w:ascii="Arial" w:cs="Arial" w:eastAsia="Arial" w:hAnsi="Arial"/>
                <w:sz w:val="18"/>
                <w:szCs w:val="18"/>
                <w:b w:val="1"/>
                <w:bCs w:val="1"/>
                <w:color w:val="auto"/>
                <w:w w:val="89"/>
              </w:rPr>
              <w:t>NIM on loans</w:t>
            </w:r>
            <w:r>
              <w:rPr>
                <w:rFonts w:ascii="Arial" w:cs="Arial" w:eastAsia="Arial" w:hAnsi="Arial"/>
                <w:sz w:val="30"/>
                <w:szCs w:val="30"/>
                <w:b w:val="1"/>
                <w:bCs w:val="1"/>
                <w:color w:val="auto"/>
                <w:w w:val="89"/>
                <w:vertAlign w:val="superscript"/>
              </w:rPr>
              <w:t>3</w:t>
            </w:r>
          </w:p>
        </w:tc>
      </w:tr>
      <w:tr>
        <w:trPr>
          <w:trHeight w:val="215"/>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volumes in Wholesale Banking at the end of 4Q, which attenuated the</w:t>
            </w:r>
          </w:p>
        </w:tc>
        <w:tc>
          <w:tcPr>
            <w:tcW w:w="3420" w:type="dxa"/>
            <w:vAlign w:val="bottom"/>
          </w:tcPr>
          <w:p>
            <w:pPr>
              <w:spacing w:after="0"/>
              <w:rPr>
                <w:sz w:val="18"/>
                <w:szCs w:val="18"/>
                <w:color w:val="auto"/>
              </w:rPr>
            </w:pPr>
          </w:p>
        </w:tc>
      </w:tr>
      <w:tr>
        <w:trPr>
          <w:trHeight w:val="216"/>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increase in the net interest income obtained through campaigns in higher-</w:t>
            </w:r>
          </w:p>
        </w:tc>
        <w:tc>
          <w:tcPr>
            <w:tcW w:w="3420" w:type="dxa"/>
            <w:vAlign w:val="bottom"/>
          </w:tcPr>
          <w:p>
            <w:pPr>
              <w:spacing w:after="0"/>
              <w:rPr>
                <w:sz w:val="18"/>
                <w:szCs w:val="18"/>
                <w:color w:val="auto"/>
              </w:rPr>
            </w:pPr>
          </w:p>
        </w:tc>
      </w:tr>
      <w:tr>
        <w:trPr>
          <w:trHeight w:val="230"/>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margin segments (SME-Pyme and Mibanco).</w:t>
            </w:r>
          </w:p>
        </w:tc>
        <w:tc>
          <w:tcPr>
            <w:tcW w:w="3420" w:type="dxa"/>
            <w:vAlign w:val="bottom"/>
          </w:tcPr>
          <w:p>
            <w:pPr>
              <w:spacing w:after="0"/>
              <w:rPr>
                <w:sz w:val="20"/>
                <w:szCs w:val="20"/>
                <w:color w:val="auto"/>
              </w:rPr>
            </w:pPr>
          </w:p>
        </w:tc>
      </w:tr>
      <w:tr>
        <w:trPr>
          <w:trHeight w:val="418"/>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 xml:space="preserve">In </w:t>
            </w:r>
            <w:r>
              <w:rPr>
                <w:rFonts w:ascii="Arial" w:cs="Arial" w:eastAsia="Arial" w:hAnsi="Arial"/>
                <w:sz w:val="18"/>
                <w:szCs w:val="18"/>
                <w:b w:val="1"/>
                <w:bCs w:val="1"/>
                <w:color w:val="auto"/>
                <w:w w:val="94"/>
              </w:rPr>
              <w:t>YoY and accumulated</w:t>
            </w:r>
            <w:r>
              <w:rPr>
                <w:rFonts w:ascii="Arial" w:cs="Arial" w:eastAsia="Arial" w:hAnsi="Arial"/>
                <w:sz w:val="18"/>
                <w:szCs w:val="18"/>
                <w:color w:val="auto"/>
                <w:w w:val="94"/>
              </w:rPr>
              <w:t>, this indicator posted a similar trend to that seen in</w:t>
            </w:r>
          </w:p>
        </w:tc>
        <w:tc>
          <w:tcPr>
            <w:tcW w:w="3420" w:type="dxa"/>
            <w:vAlign w:val="bottom"/>
          </w:tcPr>
          <w:p>
            <w:pPr>
              <w:spacing w:after="0"/>
              <w:rPr>
                <w:sz w:val="24"/>
                <w:szCs w:val="24"/>
                <w:color w:val="auto"/>
              </w:rPr>
            </w:pPr>
          </w:p>
        </w:tc>
      </w:tr>
      <w:tr>
        <w:trPr>
          <w:trHeight w:val="230"/>
        </w:trPr>
        <w:tc>
          <w:tcPr>
            <w:tcW w:w="5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QoQ evolution.</w:t>
            </w:r>
          </w:p>
        </w:tc>
        <w:tc>
          <w:tcPr>
            <w:tcW w:w="3420" w:type="dxa"/>
            <w:vAlign w:val="bottom"/>
          </w:tcPr>
          <w:p>
            <w:pPr>
              <w:spacing w:after="0"/>
              <w:rPr>
                <w:sz w:val="20"/>
                <w:szCs w:val="20"/>
                <w:color w:val="auto"/>
              </w:rPr>
            </w:pPr>
          </w:p>
        </w:tc>
      </w:tr>
      <w:tr>
        <w:trPr>
          <w:trHeight w:val="1067"/>
        </w:trPr>
        <w:tc>
          <w:tcPr>
            <w:tcW w:w="5840" w:type="dxa"/>
            <w:vAlign w:val="bottom"/>
            <w:tcBorders>
              <w:right w:val="single" w:sz="8" w:color="auto"/>
            </w:tcBorders>
          </w:tcPr>
          <w:p>
            <w:pPr>
              <w:spacing w:after="0"/>
              <w:rPr>
                <w:sz w:val="24"/>
                <w:szCs w:val="24"/>
                <w:color w:val="auto"/>
              </w:rPr>
            </w:pP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-1337310</wp:posOffset>
            </wp:positionV>
            <wp:extent cx="2315210" cy="1337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5210" cy="13379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shows interest margins for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760" w:type="dxa"/>
            <w:vAlign w:val="bottom"/>
          </w:tcPr>
          <w:p>
            <w:pPr>
              <w:spacing w:after="0"/>
              <w:rPr>
                <w:sz w:val="20"/>
                <w:szCs w:val="20"/>
                <w:color w:val="auto"/>
              </w:rPr>
            </w:pPr>
            <w:r>
              <w:rPr>
                <w:rFonts w:ascii="Arial" w:cs="Arial" w:eastAsia="Arial" w:hAnsi="Arial"/>
                <w:sz w:val="18"/>
                <w:szCs w:val="18"/>
                <w:b w:val="1"/>
                <w:bCs w:val="1"/>
                <w:color w:val="auto"/>
              </w:rPr>
              <w:t xml:space="preserve">NIM Breakdown </w:t>
            </w:r>
            <w:r>
              <w:rPr>
                <w:rFonts w:ascii="Arial" w:cs="Arial" w:eastAsia="Arial" w:hAnsi="Arial"/>
                <w:sz w:val="30"/>
                <w:szCs w:val="30"/>
                <w:b w:val="1"/>
                <w:bCs w:val="1"/>
                <w:color w:val="auto"/>
                <w:vertAlign w:val="superscript"/>
              </w:rPr>
              <w:t>(1)</w:t>
            </w:r>
          </w:p>
        </w:tc>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b w:val="1"/>
                <w:bCs w:val="1"/>
                <w:color w:val="auto"/>
                <w:w w:val="88"/>
              </w:rPr>
              <w:t>BCP Stand-alone</w:t>
            </w:r>
          </w:p>
        </w:tc>
        <w:tc>
          <w:tcPr>
            <w:tcW w:w="24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Mibanco</w:t>
            </w:r>
          </w:p>
        </w:tc>
        <w:tc>
          <w:tcPr>
            <w:tcW w:w="2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4"/>
              </w:rPr>
              <w:t>BCP Bolivia</w:t>
            </w:r>
          </w:p>
        </w:tc>
        <w:tc>
          <w:tcPr>
            <w:tcW w:w="24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rPr>
              <w:t>ASB</w:t>
            </w: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 xml:space="preserve">Creditcorp </w:t>
            </w:r>
            <w:r>
              <w:rPr>
                <w:rFonts w:ascii="Arial" w:cs="Arial" w:eastAsia="Arial" w:hAnsi="Arial"/>
                <w:sz w:val="30"/>
                <w:szCs w:val="3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7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4Q16</w:t>
            </w:r>
          </w:p>
        </w:tc>
        <w:tc>
          <w:tcPr>
            <w:tcW w:w="8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3Q17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4Q17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YTD - Dec 16</w:t>
            </w: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YTD - Dec 17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right="760" w:firstLine="8"/>
        <w:spacing w:after="0" w:line="250"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Crédito and Eliminations for consolidation purposes.</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QoQ</w:t>
      </w:r>
      <w:r>
        <w:rPr>
          <w:rFonts w:ascii="Arial" w:cs="Arial" w:eastAsia="Arial" w:hAnsi="Arial"/>
          <w:sz w:val="16"/>
          <w:szCs w:val="16"/>
          <w:color w:val="auto"/>
        </w:rPr>
        <w:t xml:space="preserve"> evolution of global NIM by subsidiary shows a reduction in Credicorp’s margin. This was mainly attributable to BCP Stand-alone, which represents around 65% of net interest income. The significant recovery of loans, particularly in Wholesale Banking, was not reflected in NIM given that the largest volume was captured at the end of 4Q17 and diluted significant net interest income that was obtained from end-of-year campaigns in higher-margin segments.</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24% of net interest income, posted significant growth QoQ, YoY and in accumulated terms that was mainly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its loan portfolio. However, the good evolution of Mibanco’s NIM could not offset the impact generated through BCP Stand-alone.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w:t>
      </w:r>
      <w:r>
        <w:rPr>
          <w:rFonts w:ascii="Arial" w:cs="Arial" w:eastAsia="Arial" w:hAnsi="Arial"/>
          <w:sz w:val="18"/>
          <w:szCs w:val="18"/>
          <w:color w:val="auto"/>
        </w:rPr>
        <w:t xml:space="preserve"> we see that Credicorp’s NIM deteriorated, in line with the deterioration of NIM at BCP Stand-alone. This deterioration was not offset by Mibanco’s consistently good NIM. The evolution of Mibanco’s margin at the accumulated level is also attributable to a decline in the funding cost as deposits increased their share of the mix and due to banks and correspondents posted lower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435673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31" w:name="page32"/>
    <w:bookmarkEnd w:id="31"/>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main components of non-financial income, Fee income and Gains on foreign exchange transactions, were more dynamic in 4Q in comparison to previous quarters. Fee income expanded 4.7% throughout the year while Gains in foreign exchange transactions attenuated the contraction in play until 3Q. In accumulated terms, non-financial income increased +17.9%. This was mainly attributable to the sale of remaining shares in BCI and Enel in 2H17 and an improvement in fee income, primarily at BCP Stand-alone and, to a lesser extent, to the performance of Credicorp Capital. The aforementioned attenuated the slight reduction in gains on foreign exchange transactions.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8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4Q17</w:t>
            </w:r>
          </w:p>
        </w:tc>
        <w:tc>
          <w:tcPr>
            <w:tcW w:w="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 / 2016</w:t>
            </w:r>
          </w:p>
        </w:tc>
        <w:tc>
          <w:tcPr>
            <w:tcW w:w="120" w:type="dxa"/>
            <w:vAlign w:val="bottom"/>
            <w:tcBorders>
              <w:bottom w:val="single" w:sz="8" w:color="CCEEFF"/>
            </w:tcBorders>
          </w:tcPr>
          <w:p>
            <w:pPr>
              <w:spacing w:after="0"/>
              <w:rPr>
                <w:sz w:val="16"/>
                <w:szCs w:val="16"/>
                <w:color w:val="auto"/>
              </w:rPr>
            </w:pPr>
          </w:p>
        </w:tc>
      </w:tr>
      <w:tr>
        <w:trPr>
          <w:trHeight w:val="183"/>
        </w:trPr>
        <w:tc>
          <w:tcPr>
            <w:tcW w:w="244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Fee income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711,756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719,539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783,976</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2,777,375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2,906,547</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96"/>
              </w:rPr>
              <w:t>Net gain on foreign exchange transactions</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174,530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150,777</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172,709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14.5%</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679,274</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650,228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89"/>
        </w:trPr>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4,747</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999.1%</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200.3%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10,145</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27,667</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346,122</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237,705</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-31.3%</w:t>
            </w:r>
          </w:p>
        </w:tc>
        <w:tc>
          <w:tcPr>
            <w:tcW w:w="24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312,609</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724,799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131.9%</w:t>
            </w: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46,920</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25,713</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8,213</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-68.1%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18,997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103,580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445.2%</w:t>
            </w: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Result on exchange difference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4,028</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1,991</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-50.6%</w:t>
            </w:r>
          </w:p>
        </w:tc>
        <w:tc>
          <w:tcPr>
            <w:tcW w:w="24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(42,189)</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17,394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141.2%</w:t>
            </w:r>
          </w:p>
        </w:tc>
      </w:tr>
      <w:tr>
        <w:trPr>
          <w:trHeight w:val="162"/>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53,758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44,733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69,249</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54.8%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206,850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252,497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56"/>
        </w:trPr>
        <w:tc>
          <w:tcPr>
            <w:tcW w:w="2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non financial income</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1,016,276</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1,290,384</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1,278,590</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-0.9</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w w:val="80"/>
              </w:rPr>
              <w:t>25.8</w:t>
            </w:r>
          </w:p>
        </w:tc>
        <w:tc>
          <w:tcPr>
            <w:tcW w:w="2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3,963,061</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4,671,261</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17.9</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6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85"/>
        </w:trPr>
        <w:tc>
          <w:tcPr>
            <w:tcW w:w="25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Millions (S/)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4Q17</w:t>
            </w:r>
          </w:p>
        </w:tc>
        <w:tc>
          <w:tcPr>
            <w:tcW w:w="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 / 2016</w:t>
            </w:r>
          </w:p>
        </w:tc>
        <w:tc>
          <w:tcPr>
            <w:tcW w:w="120" w:type="dxa"/>
            <w:vAlign w:val="bottom"/>
            <w:tcBorders>
              <w:bottom w:val="single" w:sz="8" w:color="CCEEFF"/>
            </w:tcBorders>
          </w:tcPr>
          <w:p>
            <w:pPr>
              <w:spacing w:after="0"/>
              <w:rPr>
                <w:sz w:val="16"/>
                <w:szCs w:val="16"/>
                <w:color w:val="auto"/>
              </w:rPr>
            </w:pPr>
          </w:p>
        </w:tc>
      </w:tr>
      <w:tr>
        <w:trPr>
          <w:trHeight w:val="142"/>
        </w:trPr>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EPS contribution (50%)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9.40</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86.2%</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110.8%</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36.0</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35.0%</w:t>
            </w: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w w:val="96"/>
              </w:rPr>
              <w:t>(-) Private health insurance deduction (50%)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-2.88</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-5.58</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-4.65</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61.7%</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-16.5</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-19.8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19.5%</w:t>
            </w:r>
          </w:p>
        </w:tc>
      </w:tr>
      <w:tr>
        <w:trPr>
          <w:trHeight w:val="142"/>
        </w:trPr>
        <w:tc>
          <w:tcPr>
            <w:tcW w:w="2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Net gain from associates excluding</w:t>
            </w: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Non-recurring income / expense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1.58</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-0.53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4.75</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999.1%</w:t>
            </w:r>
          </w:p>
        </w:tc>
        <w:tc>
          <w:tcPr>
            <w:tcW w:w="24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10.1</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16.2</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60.4%</w:t>
            </w:r>
          </w:p>
        </w:tc>
      </w:tr>
      <w:tr>
        <w:trPr>
          <w:trHeight w:val="156"/>
        </w:trPr>
        <w:tc>
          <w:tcPr>
            <w:tcW w:w="26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 Non-recurring income/expense</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Net gain from associates</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1.58</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-0.53</w:t>
            </w:r>
          </w:p>
        </w:tc>
        <w:tc>
          <w:tcPr>
            <w:tcW w:w="2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4.75</w:t>
            </w:r>
          </w:p>
        </w:tc>
        <w:tc>
          <w:tcPr>
            <w:tcW w:w="2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-999.1</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16.2</w:t>
            </w:r>
          </w:p>
        </w:tc>
        <w:tc>
          <w:tcPr>
            <w:tcW w:w="2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60.4</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QoQ evolution of non-financial income shows:</w:t>
      </w:r>
    </w:p>
    <w:p>
      <w:pPr>
        <w:spacing w:after="0" w:line="221" w:lineRule="exact"/>
        <w:rPr>
          <w:sz w:val="20"/>
          <w:szCs w:val="20"/>
          <w:color w:val="auto"/>
        </w:rPr>
      </w:pPr>
    </w:p>
    <w:p>
      <w:pPr>
        <w:ind w:left="1300" w:hanging="644"/>
        <w:spacing w:after="0" w:line="347"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An increase in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which was mainly attributable to an increase in income from corporate finance at Credicorp Capital Peru and Chile, and to a lesser extent, to better performance at BCP, which we will see later in the report in section 5.1.2 the Banking Business.</w:t>
      </w:r>
    </w:p>
    <w:p>
      <w:pPr>
        <w:spacing w:after="0" w:line="116" w:lineRule="exact"/>
        <w:rPr>
          <w:rFonts w:ascii="Arial" w:cs="Arial" w:eastAsia="Arial" w:hAnsi="Arial"/>
          <w:sz w:val="16"/>
          <w:szCs w:val="16"/>
          <w:color w:val="auto"/>
        </w:rPr>
      </w:pPr>
    </w:p>
    <w:p>
      <w:pPr>
        <w:ind w:left="1300" w:hanging="644"/>
        <w:spacing w:after="0" w:line="28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Higher Net gains </w:t>
      </w:r>
      <w:r>
        <w:rPr>
          <w:rFonts w:ascii="Arial" w:cs="Arial" w:eastAsia="Arial" w:hAnsi="Arial"/>
          <w:sz w:val="18"/>
          <w:szCs w:val="18"/>
          <w:color w:val="auto"/>
        </w:rPr>
        <w:t>on foreign exchange transactions at BCP Stand-alone; this was primarily attributable to the fact that higher margins were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in the last quarter of the year due to exchange rate volatility.</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Other income</w:t>
      </w:r>
      <w:r>
        <w:rPr>
          <w:rFonts w:ascii="Arial" w:cs="Arial" w:eastAsia="Arial" w:hAnsi="Arial"/>
          <w:sz w:val="18"/>
          <w:szCs w:val="18"/>
          <w:color w:val="auto"/>
        </w:rPr>
        <w:t xml:space="preserve"> due to a reversal of the excess provisions made for a project related to the improvement of the process at ATMs that require lower expenses than expected.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offset:</w:t>
      </w:r>
    </w:p>
    <w:p>
      <w:pPr>
        <w:spacing w:after="0" w:line="221" w:lineRule="exact"/>
        <w:rPr>
          <w:sz w:val="20"/>
          <w:szCs w:val="20"/>
          <w:color w:val="auto"/>
        </w:rPr>
      </w:pPr>
    </w:p>
    <w:p>
      <w:pPr>
        <w:ind w:left="1300" w:hanging="644"/>
        <w:spacing w:after="0" w:line="347"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decline in </w:t>
      </w:r>
      <w:r>
        <w:rPr>
          <w:rFonts w:ascii="Arial" w:cs="Arial" w:eastAsia="Arial" w:hAnsi="Arial"/>
          <w:sz w:val="16"/>
          <w:szCs w:val="16"/>
          <w:b w:val="1"/>
          <w:bCs w:val="1"/>
          <w:color w:val="auto"/>
        </w:rPr>
        <w:t>Net gains on sales of securities</w:t>
      </w:r>
      <w:r>
        <w:rPr>
          <w:rFonts w:ascii="Arial" w:cs="Arial" w:eastAsia="Arial" w:hAnsi="Arial"/>
          <w:sz w:val="16"/>
          <w:szCs w:val="16"/>
          <w:color w:val="auto"/>
        </w:rPr>
        <w:t xml:space="preserve"> due to the high level posted in 3Q17, which in turn was related to the sale of BCI shares in 3Q17 (S/281 million). This was partially attenuated by the gains generated by the sale of shares in ENEL (S/163 million) in 4Q17.</w:t>
      </w:r>
    </w:p>
    <w:p>
      <w:pPr>
        <w:spacing w:after="0" w:line="116" w:lineRule="exact"/>
        <w:rPr>
          <w:rFonts w:ascii="Arial" w:cs="Arial" w:eastAsia="Arial" w:hAnsi="Arial"/>
          <w:sz w:val="16"/>
          <w:szCs w:val="16"/>
          <w:color w:val="auto"/>
        </w:rPr>
      </w:pPr>
    </w:p>
    <w:p>
      <w:pPr>
        <w:ind w:left="1300" w:hanging="644"/>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 drop in income relative to the </w:t>
      </w:r>
      <w:r>
        <w:rPr>
          <w:rFonts w:ascii="Arial" w:cs="Arial" w:eastAsia="Arial" w:hAnsi="Arial"/>
          <w:sz w:val="16"/>
          <w:szCs w:val="16"/>
          <w:b w:val="1"/>
          <w:bCs w:val="1"/>
          <w:color w:val="auto"/>
        </w:rPr>
        <w:t>Derivatives result</w:t>
      </w:r>
      <w:r>
        <w:rPr>
          <w:rFonts w:ascii="Arial" w:cs="Arial" w:eastAsia="Arial" w:hAnsi="Arial"/>
          <w:sz w:val="16"/>
          <w:szCs w:val="16"/>
          <w:color w:val="auto"/>
        </w:rPr>
        <w:t xml:space="preserve"> due to a lower income made in the forward business at Credicorp Capital Colombia.</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reveals a significant increase of 25.8% in non-financial income that was due to </w:t>
      </w:r>
      <w:r>
        <w:rPr>
          <w:rFonts w:ascii="Arial" w:cs="Arial" w:eastAsia="Arial" w:hAnsi="Arial"/>
          <w:sz w:val="18"/>
          <w:szCs w:val="18"/>
          <w:b w:val="1"/>
          <w:bCs w:val="1"/>
          <w:color w:val="auto"/>
        </w:rPr>
        <w:t>gains on sales of securities</w:t>
      </w:r>
      <w:r>
        <w:rPr>
          <w:rFonts w:ascii="Arial" w:cs="Arial" w:eastAsia="Arial" w:hAnsi="Arial"/>
          <w:sz w:val="18"/>
          <w:szCs w:val="18"/>
          <w:color w:val="auto"/>
        </w:rPr>
        <w:t xml:space="preserve"> stemming from the sale of shares in Enel and to a lesser extent, due to an increase in fee income. The aforementioned offset the drop in the </w:t>
      </w:r>
      <w:r>
        <w:rPr>
          <w:rFonts w:ascii="Arial" w:cs="Arial" w:eastAsia="Arial" w:hAnsi="Arial"/>
          <w:sz w:val="18"/>
          <w:szCs w:val="18"/>
          <w:b w:val="1"/>
          <w:bCs w:val="1"/>
          <w:color w:val="auto"/>
        </w:rPr>
        <w:t>derivative result.</w:t>
      </w:r>
    </w:p>
    <w:p>
      <w:pPr>
        <w:spacing w:after="0" w:line="38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In accumulated terms, Non-financial income increased 17.9% with regard to the level reported in 2016. This was due primarily to:</w:t>
      </w:r>
    </w:p>
    <w:p>
      <w:pPr>
        <w:spacing w:after="0" w:line="221" w:lineRule="exact"/>
        <w:rPr>
          <w:sz w:val="20"/>
          <w:szCs w:val="20"/>
          <w:color w:val="auto"/>
        </w:rPr>
      </w:pPr>
    </w:p>
    <w:p>
      <w:pPr>
        <w:ind w:left="1300" w:hanging="644"/>
        <w:spacing w:after="0" w:line="28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Net gains on sales of securities, </w:t>
      </w:r>
      <w:r>
        <w:rPr>
          <w:rFonts w:ascii="Arial" w:cs="Arial" w:eastAsia="Arial" w:hAnsi="Arial"/>
          <w:sz w:val="18"/>
          <w:szCs w:val="18"/>
          <w:color w:val="auto"/>
        </w:rPr>
        <w:t>which is attributable primarily to the sale of two investments: remaining shares in BCI in 3Q17 and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Enel in 4Q17.</w:t>
      </w:r>
    </w:p>
    <w:p>
      <w:pPr>
        <w:spacing w:after="0" w:line="161"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Fee income</w:t>
      </w:r>
      <w:r>
        <w:rPr>
          <w:rFonts w:ascii="Arial" w:cs="Arial" w:eastAsia="Arial" w:hAnsi="Arial"/>
          <w:sz w:val="18"/>
          <w:szCs w:val="18"/>
          <w:color w:val="auto"/>
        </w:rPr>
        <w:t>, mainly due to an improvement in banking commissions at BCP Stand-alone and Mibanco and, to a lesser extent, to better performance at Credicorp Capital, particularly in 4Q17 as indicated above.</w:t>
      </w:r>
    </w:p>
    <w:p>
      <w:pPr>
        <w:spacing w:after="0" w:line="161"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Derivative result,</w:t>
      </w:r>
      <w:r>
        <w:rPr>
          <w:rFonts w:ascii="Arial" w:cs="Arial" w:eastAsia="Arial" w:hAnsi="Arial"/>
          <w:sz w:val="18"/>
          <w:szCs w:val="18"/>
          <w:color w:val="auto"/>
        </w:rPr>
        <w:t xml:space="preserve"> primarily from BCP Stand-alone, which signed addenda to swap contracts to cover fixed income instruments in 1Q17 to reduce the ineffectiveness of accounting hedge.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aforementioned offset the drop in </w:t>
      </w:r>
      <w:r>
        <w:rPr>
          <w:rFonts w:ascii="Arial" w:cs="Arial" w:eastAsia="Arial" w:hAnsi="Arial"/>
          <w:sz w:val="18"/>
          <w:szCs w:val="18"/>
          <w:b w:val="1"/>
          <w:bCs w:val="1"/>
          <w:color w:val="auto"/>
        </w:rPr>
        <w:t>Gains on foreign exchange transactions</w:t>
      </w:r>
      <w:r>
        <w:rPr>
          <w:rFonts w:ascii="Arial" w:cs="Arial" w:eastAsia="Arial" w:hAnsi="Arial"/>
          <w:sz w:val="18"/>
          <w:szCs w:val="18"/>
          <w:color w:val="auto"/>
        </w:rPr>
        <w:t>, which was attributable to i) higher competition that reduced volumes and ii) lower margins given exchange rate volatility was low in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fee income at Credicorp in 4Q17.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154940</wp:posOffset>
            </wp:positionV>
            <wp:extent cx="4613910" cy="2058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1391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next figure shows the YoY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154940</wp:posOffset>
            </wp:positionV>
            <wp:extent cx="4562475" cy="2084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6247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114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Year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4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3Q17</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2017 / 2016</w:t>
            </w:r>
          </w:p>
        </w:tc>
        <w:tc>
          <w:tcPr>
            <w:tcW w:w="180" w:type="dxa"/>
            <w:vAlign w:val="bottom"/>
            <w:tcBorders>
              <w:bottom w:val="single" w:sz="8" w:color="CCEEFF"/>
            </w:tcBorders>
          </w:tcPr>
          <w:p>
            <w:pPr>
              <w:spacing w:after="0"/>
              <w:rPr>
                <w:sz w:val="21"/>
                <w:szCs w:val="21"/>
                <w:color w:val="auto"/>
              </w:rPr>
            </w:pPr>
          </w:p>
        </w:tc>
      </w:tr>
      <w:tr>
        <w:trPr>
          <w:trHeight w:val="250"/>
        </w:trPr>
        <w:tc>
          <w:tcPr>
            <w:tcW w:w="35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178,844</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666,719</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702,281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71,153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68,748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73,043</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287,116</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286,153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181,020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24,518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26,809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26,466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93,922</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102,000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21,669</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71.6%</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68,180</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67,533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18,962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19,540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20,667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9.0%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75,315</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77,020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38,102</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42,236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43,753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49,225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52,127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5.9%</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19.1%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170,333</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188,729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100,746</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384,419</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392,267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23,394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21,287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19,949</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-14.7%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69,575</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76,963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47,465</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44,603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Corporate finance and mutual funds </w:t>
            </w:r>
            <w:r>
              <w:rPr>
                <w:rFonts w:ascii="Arial" w:cs="Arial" w:eastAsia="Arial" w:hAnsi="Arial"/>
                <w:sz w:val="29"/>
                <w:szCs w:val="29"/>
                <w:color w:val="auto"/>
                <w:vertAlign w:val="superscript"/>
              </w:rPr>
              <w:t>(4)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8,502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14,667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21.1%</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72.5%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48,288</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60,651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ASB</w:t>
            </w:r>
            <w:r>
              <w:rPr>
                <w:rFonts w:ascii="Arial" w:cs="Arial" w:eastAsia="Arial" w:hAnsi="Arial"/>
                <w:sz w:val="13"/>
                <w:szCs w:val="13"/>
                <w:color w:val="auto"/>
              </w:rPr>
              <w:t xml:space="preserve"> (4)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362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Others</w:t>
            </w:r>
            <w:r>
              <w:rPr>
                <w:rFonts w:ascii="Arial" w:cs="Arial" w:eastAsia="Arial" w:hAnsi="Arial"/>
                <w:sz w:val="14"/>
                <w:szCs w:val="14"/>
                <w:color w:val="auto"/>
              </w:rPr>
              <w:t xml:space="preserve"> (4)(5)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55,921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56,393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53,155</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191,185</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206,963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597,127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621,394</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641,012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2,315,721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2,443,297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fee income in the banking business increased +3.2% QoQ, mainly due to:</w:t>
      </w:r>
    </w:p>
    <w:p>
      <w:pPr>
        <w:spacing w:after="0" w:line="225" w:lineRule="exact"/>
        <w:rPr>
          <w:sz w:val="20"/>
          <w:szCs w:val="20"/>
          <w:color w:val="auto"/>
        </w:rPr>
      </w:pPr>
    </w:p>
    <w:p>
      <w:pPr>
        <w:ind w:left="1300" w:right="20" w:hanging="644"/>
        <w:spacing w:after="0" w:line="282"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Higher income from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which was attributable to the fact that BCP assumed the expense of insurance for guarantees on SME-Pyme loans in the areas affected by FEN in 3Q17, which was reversed this quarter.</w:t>
      </w:r>
    </w:p>
    <w:p>
      <w:pPr>
        <w:spacing w:after="0" w:line="161"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Higher income from </w:t>
      </w:r>
      <w:r>
        <w:rPr>
          <w:rFonts w:ascii="Arial" w:cs="Arial" w:eastAsia="Arial" w:hAnsi="Arial"/>
          <w:sz w:val="18"/>
          <w:szCs w:val="18"/>
          <w:b w:val="1"/>
          <w:bCs w:val="1"/>
          <w:color w:val="auto"/>
        </w:rPr>
        <w:t>Credit Cards</w:t>
      </w:r>
      <w:r>
        <w:rPr>
          <w:rFonts w:ascii="Arial" w:cs="Arial" w:eastAsia="Arial" w:hAnsi="Arial"/>
          <w:sz w:val="18"/>
          <w:szCs w:val="18"/>
          <w:color w:val="auto"/>
        </w:rPr>
        <w:t>, mainly due to commissions received from establishments for credit card consumption, particularly in the month of December.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72" w:gutter="0" w:footer="0" w:header="0"/>
        </w:sectPr>
      </w:pPr>
    </w:p>
    <w:bookmarkStart w:id="34" w:name="page35"/>
    <w:bookmarkEnd w:id="34"/>
    <w:p>
      <w:pPr>
        <w:ind w:right="1280" w:firstLine="656"/>
        <w:spacing w:after="0" w:line="563" w:lineRule="auto"/>
        <w:tabs>
          <w:tab w:leader="none" w:pos="129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increase in </w:t>
      </w:r>
      <w:r>
        <w:rPr>
          <w:rFonts w:ascii="Arial" w:cs="Arial" w:eastAsia="Arial" w:hAnsi="Arial"/>
          <w:sz w:val="16"/>
          <w:szCs w:val="16"/>
          <w:b w:val="1"/>
          <w:bCs w:val="1"/>
          <w:color w:val="auto"/>
        </w:rPr>
        <w:t>The Off-balance sheets</w:t>
      </w:r>
      <w:r>
        <w:rPr>
          <w:rFonts w:ascii="Arial" w:cs="Arial" w:eastAsia="Arial" w:hAnsi="Arial"/>
          <w:sz w:val="16"/>
          <w:szCs w:val="16"/>
          <w:color w:val="auto"/>
        </w:rPr>
        <w:t xml:space="preserve"> due to higher income for commissions relative to guarantee letters for companies. The aforementioned offset the </w:t>
      </w:r>
      <w:r>
        <w:rPr>
          <w:rFonts w:ascii="Arial" w:cs="Arial" w:eastAsia="Arial" w:hAnsi="Arial"/>
          <w:sz w:val="16"/>
          <w:szCs w:val="16"/>
          <w:b w:val="1"/>
          <w:bCs w:val="1"/>
          <w:color w:val="auto"/>
        </w:rPr>
        <w:t>Others</w:t>
      </w:r>
      <w:r>
        <w:rPr>
          <w:rFonts w:ascii="Arial" w:cs="Arial" w:eastAsia="Arial" w:hAnsi="Arial"/>
          <w:sz w:val="16"/>
          <w:szCs w:val="16"/>
          <w:color w:val="auto"/>
        </w:rPr>
        <w:t xml:space="preserve"> account due to a decrease in income for commissions from BCP Bolivia for overseas transfers.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growth was situated at 7.3%. This was attributable to:</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Higher gains in </w:t>
      </w:r>
      <w:r>
        <w:rPr>
          <w:rFonts w:ascii="Arial" w:cs="Arial" w:eastAsia="Arial" w:hAnsi="Arial"/>
          <w:sz w:val="18"/>
          <w:szCs w:val="18"/>
          <w:b w:val="1"/>
          <w:bCs w:val="1"/>
          <w:color w:val="auto"/>
        </w:rPr>
        <w:t>Miscellaneous accounts</w:t>
      </w:r>
      <w:r>
        <w:rPr>
          <w:rFonts w:ascii="Arial" w:cs="Arial" w:eastAsia="Arial" w:hAnsi="Arial"/>
          <w:sz w:val="18"/>
          <w:szCs w:val="18"/>
          <w:color w:val="auto"/>
        </w:rPr>
        <w:t xml:space="preserve"> due to an increase in income for savings and current account maintenance fees.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Higher gains from </w:t>
      </w:r>
      <w:r>
        <w:rPr>
          <w:rFonts w:ascii="Arial" w:cs="Arial" w:eastAsia="Arial" w:hAnsi="Arial"/>
          <w:sz w:val="18"/>
          <w:szCs w:val="18"/>
          <w:b w:val="1"/>
          <w:bCs w:val="1"/>
          <w:color w:val="auto"/>
        </w:rPr>
        <w:t>The Off-balance sheets</w:t>
      </w:r>
      <w:r>
        <w:rPr>
          <w:rFonts w:ascii="Arial" w:cs="Arial" w:eastAsia="Arial" w:hAnsi="Arial"/>
          <w:sz w:val="18"/>
          <w:szCs w:val="18"/>
          <w:color w:val="auto"/>
        </w:rPr>
        <w:t>, which was mainly attributable to guarantee letters as explained above.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Higher income from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due to an increase in the volume of transactions for transfers from savings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00" w:hanging="644"/>
        <w:spacing w:after="0" w:line="313"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Higher income from commissions in the </w:t>
      </w:r>
      <w:r>
        <w:rPr>
          <w:rFonts w:ascii="Arial" w:cs="Arial" w:eastAsia="Arial" w:hAnsi="Arial"/>
          <w:sz w:val="17"/>
          <w:szCs w:val="17"/>
          <w:b w:val="1"/>
          <w:bCs w:val="1"/>
          <w:color w:val="auto"/>
        </w:rPr>
        <w:t>Miscellaneous accounts</w:t>
      </w:r>
      <w:r>
        <w:rPr>
          <w:rFonts w:ascii="Arial" w:cs="Arial" w:eastAsia="Arial" w:hAnsi="Arial"/>
          <w:sz w:val="17"/>
          <w:szCs w:val="17"/>
          <w:color w:val="auto"/>
        </w:rPr>
        <w:t>, mainly associated with income generated by commissions charged by establishments when clients use debit cards, which is in line with the increase in transactional activity in 2017 compared to 2016.</w:t>
      </w:r>
    </w:p>
    <w:p>
      <w:pPr>
        <w:spacing w:after="0" w:line="138" w:lineRule="exact"/>
        <w:rPr>
          <w:rFonts w:ascii="Arial" w:cs="Arial" w:eastAsia="Arial" w:hAnsi="Arial"/>
          <w:sz w:val="17"/>
          <w:szCs w:val="17"/>
          <w:color w:val="auto"/>
        </w:rPr>
      </w:pPr>
    </w:p>
    <w:p>
      <w:pPr>
        <w:ind w:left="1300" w:right="20" w:hanging="644"/>
        <w:spacing w:after="0" w:line="282"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Growth in income for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this was primarily attributable to an increase in the volume of drafts sent through Agentes BCP, which is another positive effect of growth in transactional volumes</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Income from </w:t>
      </w:r>
      <w:r>
        <w:rPr>
          <w:rFonts w:ascii="Arial" w:cs="Arial" w:eastAsia="Arial" w:hAnsi="Arial"/>
          <w:sz w:val="18"/>
          <w:szCs w:val="18"/>
          <w:b w:val="1"/>
          <w:bCs w:val="1"/>
          <w:color w:val="auto"/>
        </w:rPr>
        <w:t>The Off-balance sheets,</w:t>
      </w:r>
      <w:r>
        <w:rPr>
          <w:rFonts w:ascii="Arial" w:cs="Arial" w:eastAsia="Arial" w:hAnsi="Arial"/>
          <w:sz w:val="18"/>
          <w:szCs w:val="18"/>
          <w:color w:val="auto"/>
        </w:rPr>
        <w:t xml:space="preserve"> particularly in Wholesale Banking, relative to Guarantee Letters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insurance underwriting result fell -1.3% QoQ. This decrease was registered in the property and casualty line and was associated with an increase in claims in Personal Lines and a decrease in the net earned premium in Cars, which was attributable to higher underwriting reserves. Nonetheless, this effect was mitigated by a decrease in the acquisition cost for life insurance given that reinsurance profit sharing is reported in 4Q17. In the YoY analysis, the underwriting result increased +9.1% due to a decrease in the loss ratio in the life insurance segment due to the reinsurance scheme that was implemented for disability and survivorship insurances of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3"/>
          </w:tcPr>
          <w:p>
            <w:pPr>
              <w:ind w:left="800"/>
              <w:spacing w:after="0"/>
              <w:rPr>
                <w:sz w:val="20"/>
                <w:szCs w:val="20"/>
                <w:color w:val="auto"/>
              </w:rPr>
            </w:pPr>
            <w:r>
              <w:rPr>
                <w:rFonts w:ascii="Arial" w:cs="Arial" w:eastAsia="Arial" w:hAnsi="Arial"/>
                <w:sz w:val="18"/>
                <w:szCs w:val="18"/>
                <w:b w:val="1"/>
                <w:bCs w:val="1"/>
                <w:color w:val="auto"/>
                <w:w w:val="92"/>
              </w:rPr>
              <w:t>Year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4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4Q16</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2017 / 2016</w:t>
            </w:r>
          </w:p>
        </w:tc>
        <w:tc>
          <w:tcPr>
            <w:tcW w:w="160" w:type="dxa"/>
            <w:vAlign w:val="bottom"/>
            <w:tcBorders>
              <w:bottom w:val="single" w:sz="8" w:color="CCEEFF"/>
            </w:tcBorders>
          </w:tcPr>
          <w:p>
            <w:pPr>
              <w:spacing w:after="0"/>
              <w:rPr>
                <w:sz w:val="21"/>
                <w:szCs w:val="2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472,111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473,457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470,837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1,875,973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(297,576)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(275,722)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(283,354)</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(1,098,905)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(1,118,304)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6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(63,333)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(74,776)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(66,141)</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(239,491)</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(264,643)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111,202</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122,959</w:t>
            </w:r>
          </w:p>
        </w:tc>
        <w:tc>
          <w:tcPr>
            <w:tcW w:w="200" w:type="dxa"/>
            <w:vAlign w:val="bottom"/>
          </w:tcPr>
          <w:p>
            <w:pPr>
              <w:spacing w:after="0"/>
              <w:rPr>
                <w:sz w:val="18"/>
                <w:szCs w:val="18"/>
                <w:color w:val="auto"/>
              </w:rPr>
            </w:pP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w w:val="86"/>
              </w:rPr>
              <w:t>121,342</w:t>
            </w:r>
          </w:p>
        </w:tc>
        <w:tc>
          <w:tcPr>
            <w:tcW w:w="2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511,807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142875</wp:posOffset>
            </wp:positionV>
            <wp:extent cx="3567430" cy="180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743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6.1</w:t>
            </w:r>
          </w:p>
        </w:tc>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Net earned premiums</w:t>
            </w:r>
          </w:p>
        </w:tc>
        <w:tc>
          <w:tcPr>
            <w:tcW w:w="424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52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Written premiums by business</w:t>
            </w:r>
          </w:p>
        </w:tc>
        <w:tc>
          <w:tcPr>
            <w:tcW w:w="4240" w:type="dxa"/>
            <w:vAlign w:val="bottom"/>
          </w:tcPr>
          <w:p>
            <w:pPr>
              <w:jc w:val="center"/>
              <w:ind w:left="1570"/>
              <w:spacing w:after="0"/>
              <w:rPr>
                <w:sz w:val="20"/>
                <w:szCs w:val="20"/>
                <w:color w:val="auto"/>
              </w:rPr>
            </w:pPr>
            <w:r>
              <w:rPr>
                <w:rFonts w:ascii="Arial" w:cs="Arial" w:eastAsia="Arial" w:hAnsi="Arial"/>
                <w:sz w:val="18"/>
                <w:szCs w:val="18"/>
                <w:b w:val="1"/>
                <w:bCs w:val="1"/>
                <w:color w:val="auto"/>
                <w:w w:val="88"/>
              </w:rPr>
              <w:t>Net earned premiums by business</w:t>
            </w:r>
          </w:p>
        </w:tc>
      </w:tr>
      <w:tr>
        <w:trPr>
          <w:trHeight w:val="230"/>
        </w:trPr>
        <w:tc>
          <w:tcPr>
            <w:tcW w:w="440" w:type="dxa"/>
            <w:vAlign w:val="bottom"/>
          </w:tcPr>
          <w:p>
            <w:pPr>
              <w:spacing w:after="0"/>
              <w:rPr>
                <w:sz w:val="20"/>
                <w:szCs w:val="20"/>
                <w:color w:val="auto"/>
              </w:rPr>
            </w:pPr>
          </w:p>
        </w:tc>
        <w:tc>
          <w:tcPr>
            <w:tcW w:w="5240" w:type="dxa"/>
            <w:vAlign w:val="bottom"/>
          </w:tcPr>
          <w:p>
            <w:pPr>
              <w:jc w:val="center"/>
              <w:ind w:right="290"/>
              <w:spacing w:after="0"/>
              <w:rPr>
                <w:sz w:val="20"/>
                <w:szCs w:val="20"/>
                <w:color w:val="auto"/>
              </w:rPr>
            </w:pPr>
            <w:r>
              <w:rPr>
                <w:rFonts w:ascii="Arial" w:cs="Arial" w:eastAsia="Arial" w:hAnsi="Arial"/>
                <w:sz w:val="18"/>
                <w:szCs w:val="18"/>
                <w:color w:val="auto"/>
                <w:w w:val="95"/>
              </w:rPr>
              <w:t>(S/ millions)</w:t>
            </w:r>
          </w:p>
        </w:tc>
        <w:tc>
          <w:tcPr>
            <w:tcW w:w="4240" w:type="dxa"/>
            <w:vAlign w:val="bottom"/>
          </w:tcPr>
          <w:p>
            <w:pPr>
              <w:jc w:val="center"/>
              <w:ind w:left="1570"/>
              <w:spacing w:after="0"/>
              <w:rPr>
                <w:sz w:val="20"/>
                <w:szCs w:val="20"/>
                <w:color w:val="auto"/>
              </w:rPr>
            </w:pPr>
            <w:r>
              <w:rPr>
                <w:rFonts w:ascii="Arial" w:cs="Arial" w:eastAsia="Arial" w:hAnsi="Arial"/>
                <w:sz w:val="18"/>
                <w:szCs w:val="18"/>
                <w:color w:val="auto"/>
                <w:w w:val="95"/>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137160</wp:posOffset>
            </wp:positionV>
            <wp:extent cx="6517640" cy="13633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1764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Total premiums </w:t>
      </w:r>
      <w:r>
        <w:rPr>
          <w:rFonts w:ascii="Arial" w:cs="Arial" w:eastAsia="Arial" w:hAnsi="Arial"/>
          <w:sz w:val="18"/>
          <w:szCs w:val="18"/>
          <w:color w:val="auto"/>
        </w:rPr>
        <w:t>increased +14.8% QoQ in the life insurance and property and casualty lines. The increase in life insurance registered in all business lines</w:t>
      </w:r>
      <w:r>
        <w:rPr>
          <w:rFonts w:ascii="Arial" w:cs="Arial" w:eastAsia="Arial" w:hAnsi="Arial"/>
          <w:sz w:val="18"/>
          <w:szCs w:val="18"/>
          <w:b w:val="1"/>
          <w:bCs w:val="1"/>
          <w:color w:val="auto"/>
        </w:rPr>
        <w:t xml:space="preserve"> </w:t>
      </w:r>
      <w:r>
        <w:rPr>
          <w:rFonts w:ascii="Arial" w:cs="Arial" w:eastAsia="Arial" w:hAnsi="Arial"/>
          <w:sz w:val="18"/>
          <w:szCs w:val="18"/>
          <w:color w:val="auto"/>
        </w:rPr>
        <w:t>and was mainly attributable to i) higher sales for the new product “Renta Flex”, (ii) higher premiums in alliances´ channels in Credit Life, and ii) Individual Life due to an increase in premium turnover in direct business channels. In terms of property and casualty insurance, the increase was generated mainly in the Wholesale Lines and Car Lines in the corporate channel.</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In the YoY analysis, total premiums increased +17.7% QoQ. This was mainly attributable to an increase in Life insurance business, which was associated with i) the higher sales of “Renta Flex” and ii) higher premiums in credit life due to a growth in alliances´ channels.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fell slightly QoQ by -0.6%. This was primarily attributable to the property and insurance business. The drop in this component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Cars segment was associated with higher reserves, which was in line with the increase in premiums. The life insurance business was stable this quarter due to the net effect between the increase in Credit Life and Individual Life and the decrease in Annuities.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net earned premiums decreased -0.3% due to a reduction in life insurance, which was associated with an increase in ceded premiums for disability and survivorship insurance. Nevertheless, this effect was mitigated by the increase in property and casualty insurance given that fewer reserves were set aside in 4Q17.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annual analysis, in 2017 total premiums increased +6.7% with regard to 2016. This was mainly attributable to growth in all of the segments of the life insurance business, especially in Annuities due to the sale of a new product “Renta Flex” and in Credit Life following a premiums increase in alliances´ channels.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142875</wp:posOffset>
            </wp:positionV>
            <wp:extent cx="3249930" cy="16205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4993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rose +2.8% QoQ due to an increase in the loss ratio in the property and casualty line given that the result for life insurance was similar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last quarter. The increase in property and casualty was registered in i) Personal Lines after unreported cases of fraud were included in the balance and ii) in Private Medical due IBNR (incurred but not reported) provisions due to a lag in billing process.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YoY analysis claims fell -4.8% (-6.8% in life insurance and -2.5% in property and casualty). The drop in the life business was associated with AFPs due to the reinsurance scheme implemented in 2017, Credit Life due to a reduction in IBNR reserves and Individual Life due to a decrease in the number of cases reported in 4Q17. In the property and casualty line, Cars posted a drop in claims that was associated with fewer reported events in 4Q17.</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annual analysis, at the end of 2017, the net loss ratio rose +1.8% due to an increase in claims in property and casualty insurance. The aforementioned was attributable to damage (rains and floods) caused by the El Nino Phenomenon, which mainly affected the Commercial Lines.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142875</wp:posOffset>
            </wp:positionV>
            <wp:extent cx="3764915" cy="1878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6491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1060" w:type="dxa"/>
            <w:vAlign w:val="bottom"/>
            <w:gridSpan w:val="3"/>
          </w:tcPr>
          <w:p>
            <w:pPr>
              <w:ind w:left="680"/>
              <w:spacing w:after="0"/>
              <w:rPr>
                <w:sz w:val="20"/>
                <w:szCs w:val="20"/>
                <w:color w:val="auto"/>
              </w:rPr>
            </w:pPr>
            <w:r>
              <w:rPr>
                <w:rFonts w:ascii="Arial" w:cs="Arial" w:eastAsia="Arial" w:hAnsi="Arial"/>
                <w:sz w:val="18"/>
                <w:szCs w:val="18"/>
                <w:b w:val="1"/>
                <w:bCs w:val="1"/>
                <w:color w:val="auto"/>
                <w:w w:val="92"/>
              </w:rPr>
              <w:t>Year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4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2017 / 2016</w:t>
            </w:r>
          </w:p>
        </w:tc>
        <w:tc>
          <w:tcPr>
            <w:tcW w:w="160" w:type="dxa"/>
            <w:vAlign w:val="bottom"/>
            <w:tcBorders>
              <w:bottom w:val="single" w:sz="8" w:color="CCEEFF"/>
            </w:tcBorders>
          </w:tcPr>
          <w:p>
            <w:pPr>
              <w:spacing w:after="0"/>
              <w:rPr>
                <w:sz w:val="21"/>
                <w:szCs w:val="2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(53,162)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(52,986)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(47,822)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(26,369)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(34,386)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(36,246)</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(102,670)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0"/>
              </w:rPr>
              <w:t>(119,354)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17,926</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42.3%</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62,016</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58,862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(63,333</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(66,141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(239,491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(264,643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acquisition cost</w:t>
      </w:r>
      <w:r>
        <w:rPr>
          <w:rFonts w:ascii="Arial" w:cs="Arial" w:eastAsia="Arial" w:hAnsi="Arial"/>
          <w:sz w:val="18"/>
          <w:szCs w:val="18"/>
          <w:color w:val="auto"/>
        </w:rPr>
        <w:t xml:space="preserve"> fell -11.5% due to an increase in underwriting income from life insurance given that:</w:t>
      </w:r>
    </w:p>
    <w:p>
      <w:pPr>
        <w:spacing w:after="0" w:line="229"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reinsurance profit sharing was reported in 4Q17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commissions were reported in property and casualty insurance due to the elimination of transactions between affiliates.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cost of acquisition grew +4.4% due to an increase in underwriting expenses in property and casualty insurance after provisions were set aside in 4Q17 for uncollectible premiums in the Car and Commercial Lines, which was attenuated by a decrease in commissions in property and casualty insurance and an increase in underwriting income from life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annual analysis, acquisition costs increased +10.5%. This was primarily attributable to an increase in the underwriting expense in:</w:t>
      </w:r>
    </w:p>
    <w:p>
      <w:pPr>
        <w:spacing w:after="0" w:line="225"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life insurance due to an increase in bonuses for the sales force, and 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property and casualty insurance due to uncollectible premiums in 2017 for Car insurance.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2017, the efficiency ratio deteriorated slightly (+20 bps) and situated at 43.7%. This was attributable to low loan growth, which led operating income to fall below expectations. This scenario was, nonetheless, partially offset by adequate control of operating expenses, which were highly pressured by the significant increase in operating expenses for the strategic project “Transformation”, mainly at BCP Stand-alone. It is important to note the improvement that Mibanco has posted in its efficiency, which offset slight deterioration at other subsidiaries.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717,062</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760,441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804,067</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2,935,842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3,064,273</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607,628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534,204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601,846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2,101,579</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2,165,570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114,489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114,799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117,414</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455,298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462,058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49,766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35,693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42,912</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20.2%</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-13.8%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184,971</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179,773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1,488,945</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1,445,137</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1,566,239</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5,677,690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5,871,674</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3,450,384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3,397,502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3,508,447</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13,171,836</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13,641,425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1,502,512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1,484,220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1,589,468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5,732,209</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5,956,544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45.3%</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160 bps</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180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43.7%</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 bps</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(4)</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3.79%</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17 bps</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3.68%</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3.65%</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 bps</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 on derivatives+ Result on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expenses increased +8.4% QoQ, in line with the seasonality that operating expenses report every4Q. The increase was due primarily to an increase in Administrative, general and tax expenses, which we will discuss later in this report. The aforementioned was accentuated by the increase in Salaries and employee benefits, which was associated with organic growth in personnel.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and in accumulated terms, total expenses increased primarily due to higher expenses for Salaries and employee benefits, and solely in the case of accumulated figures, this increase is attributable to higher Administrative, general and tax expenses. These increases are explained primarily by higher investment in projects related to digital and cultural transformation.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Administrative and general expenses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ind w:left="400"/>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tcPr>
          <w:p>
            <w:pPr>
              <w:ind w:left="660"/>
              <w:spacing w:after="0"/>
              <w:rPr>
                <w:sz w:val="20"/>
                <w:szCs w:val="20"/>
                <w:color w:val="auto"/>
              </w:rPr>
            </w:pPr>
            <w:r>
              <w:rPr>
                <w:rFonts w:ascii="Arial" w:cs="Arial" w:eastAsia="Arial" w:hAnsi="Arial"/>
                <w:sz w:val="14"/>
                <w:szCs w:val="14"/>
                <w:b w:val="1"/>
                <w:bCs w:val="1"/>
                <w:color w:val="auto"/>
                <w:w w:val="72"/>
              </w:rPr>
              <w:t>Year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4Q16</w:t>
            </w:r>
          </w:p>
        </w:tc>
        <w:tc>
          <w:tcPr>
            <w:tcW w:w="200" w:type="dxa"/>
            <w:vAlign w:val="bottom"/>
          </w:tcPr>
          <w:p>
            <w:pPr>
              <w:spacing w:after="0"/>
              <w:rPr>
                <w:sz w:val="14"/>
                <w:szCs w:val="14"/>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3Q17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4Q17</w:t>
            </w:r>
          </w:p>
        </w:tc>
        <w:tc>
          <w:tcPr>
            <w:tcW w:w="2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2017 / 2016</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91,088</w:t>
            </w:r>
          </w:p>
        </w:tc>
        <w:tc>
          <w:tcPr>
            <w:tcW w:w="200" w:type="dxa"/>
            <w:vAlign w:val="bottom"/>
            <w:vMerge w:val="continue"/>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68,154</w:t>
            </w:r>
          </w:p>
        </w:tc>
        <w:tc>
          <w:tcPr>
            <w:tcW w:w="2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88,126</w:t>
            </w:r>
          </w:p>
        </w:tc>
        <w:tc>
          <w:tcPr>
            <w:tcW w:w="220" w:type="dxa"/>
            <w:vAlign w:val="bottom"/>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15%</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29.3%</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-3.3%</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276,469</w:t>
            </w:r>
          </w:p>
        </w:tc>
        <w:tc>
          <w:tcPr>
            <w:tcW w:w="220" w:type="dxa"/>
            <w:vAlign w:val="bottom"/>
            <w:vMerge w:val="continue"/>
            <w:shd w:val="clear" w:color="auto" w:fill="CCEEFF"/>
          </w:tcPr>
          <w:p>
            <w:pPr>
              <w:spacing w:after="0"/>
              <w:rPr>
                <w:sz w:val="12"/>
                <w:szCs w:val="12"/>
                <w:color w:val="auto"/>
              </w:rPr>
            </w:pPr>
          </w:p>
        </w:tc>
        <w:tc>
          <w:tcPr>
            <w:tcW w:w="68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281,475</w:t>
            </w:r>
          </w:p>
        </w:tc>
        <w:tc>
          <w:tcPr>
            <w:tcW w:w="22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56,002</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55,544</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61,020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229,839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220,547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68,388</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63,124</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70,427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251,265</w:t>
            </w:r>
          </w:p>
        </w:tc>
        <w:tc>
          <w:tcPr>
            <w:tcW w:w="90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263,560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Minor expenses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67,818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54,665</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70,374</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230,202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240,218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65,330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54,255</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51,016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238,004</w:t>
            </w:r>
          </w:p>
        </w:tc>
        <w:tc>
          <w:tcPr>
            <w:tcW w:w="90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215,912</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Programs and systems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64,721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72,197</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69,640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229,389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255,217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28,267</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21,398</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24,742</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104,561</w:t>
            </w:r>
          </w:p>
        </w:tc>
        <w:tc>
          <w:tcPr>
            <w:tcW w:w="90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87,564</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46,233</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43,633</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44,334</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180,311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177,791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44,533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25,424</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52,667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107.2%</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125,220</w:t>
            </w:r>
          </w:p>
        </w:tc>
        <w:tc>
          <w:tcPr>
            <w:tcW w:w="90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157,833</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Channels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53,106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52,600</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59,470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181,312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204,073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23,211</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10,031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55,006</w:t>
            </w:r>
          </w:p>
        </w:tc>
        <w:tc>
          <w:tcPr>
            <w:tcW w:w="90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61,384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Total administrative and general</w:t>
            </w: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607,628</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534,204</w:t>
            </w:r>
          </w:p>
        </w:tc>
        <w:tc>
          <w:tcPr>
            <w:tcW w:w="16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601,846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2,101,579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2,165,570</w:t>
            </w:r>
          </w:p>
        </w:tc>
        <w:tc>
          <w:tcPr>
            <w:tcW w:w="2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20" w:firstLine="8"/>
        <w:spacing w:after="0" w:line="561"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Others include ASB, BCP Bolivia, Grupo Credito and eliminations for consolidation. The main accounts that generated growth in administrative and general expenses are:</w:t>
      </w:r>
    </w:p>
    <w:p>
      <w:pPr>
        <w:ind w:left="880" w:hanging="494"/>
        <w:spacing w:after="0" w:line="282"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given that 3Q17 reported the lowest level for this quarterly expense in 2017. The high level of expenses for this concept throughout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was associated with digital and cultural transformation at BCP Stand-alone.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ind w:left="880" w:hanging="49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due to recurring expenses in advertising and publicity at BCP Stand-alone through different campaigns at year-end.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YoY total administrative and general expenses fell slightly by -1.0%, which was due primarily to a contraction in expenses for systems outsourcing.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Operating Expenses / Total Average Assets Ratio</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operating expenses/average total assets ratio increased QoQ, in line with the aforementioned seasonality of operating expenses. Growth was due primarily to an increase in expenses for consultants and seasonal expenses in marketing. In a context in which the main asset- loans- reported low expansion, the efficiency ratio of average assets increased QoQ. Nevertheless, this ratio improved slightly in the YoY evolution and in accumulated terms.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154305</wp:posOffset>
            </wp:positionV>
            <wp:extent cx="4107815" cy="19723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0781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following figure, we can appreciate the evolution of the efficiency ratio with regard to average assets in the last 4 years. It is important to note that better levels were achieved throughout 2017. This was due primarily to on-going control and adequate management of operating expenses in a context of low growth in assets and moreover, in loans, in the years 2016 and 2017, as is evident in the figure below. Please note that the improvement seen in asset expansion in 4Q17 reflects more dynamism in terms of loans, our most important asset.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154940</wp:posOffset>
            </wp:positionV>
            <wp:extent cx="4202430" cy="19983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0243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7.2 Efficiency Ratio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30"/>
          <w:szCs w:val="30"/>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Credicorp</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5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BCP Stand-alone</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Mibanco</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BCP Bolivia</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ASB</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Grupo Pacífico</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Prima</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Credicorp</w:t>
            </w:r>
          </w:p>
        </w:tc>
        <w:tc>
          <w:tcPr>
            <w:tcW w:w="120" w:type="dxa"/>
            <w:vAlign w:val="bottom"/>
            <w:tcBorders>
              <w:bottom w:val="single" w:sz="8" w:color="CCEEFF"/>
            </w:tcBorders>
          </w:tcPr>
          <w:p>
            <w:pPr>
              <w:spacing w:after="0"/>
              <w:rPr>
                <w:sz w:val="14"/>
                <w:szCs w:val="14"/>
                <w:color w:val="auto"/>
              </w:rPr>
            </w:pPr>
          </w:p>
        </w:tc>
      </w:tr>
      <w:tr>
        <w:trPr>
          <w:trHeight w:val="169"/>
        </w:trPr>
        <w:tc>
          <w:tcPr>
            <w:tcW w:w="1500" w:type="dxa"/>
            <w:vAlign w:val="bottom"/>
            <w:shd w:val="clear" w:color="auto" w:fill="CCEEFF"/>
          </w:tcPr>
          <w:p>
            <w:pPr>
              <w:jc w:val="center"/>
              <w:ind w:right="50"/>
              <w:spacing w:after="0" w:line="169" w:lineRule="exact"/>
              <w:rPr>
                <w:sz w:val="20"/>
                <w:szCs w:val="20"/>
                <w:color w:val="auto"/>
              </w:rPr>
            </w:pPr>
            <w:r>
              <w:rPr>
                <w:rFonts w:ascii="Arial" w:cs="Arial" w:eastAsia="Arial" w:hAnsi="Arial"/>
                <w:sz w:val="12"/>
                <w:szCs w:val="12"/>
                <w:b w:val="1"/>
                <w:bCs w:val="1"/>
                <w:color w:val="auto"/>
              </w:rPr>
              <w:t xml:space="preserve">4Q16 </w:t>
            </w:r>
            <w:r>
              <w:rPr>
                <w:rFonts w:ascii="Arial" w:cs="Arial" w:eastAsia="Arial" w:hAnsi="Arial"/>
                <w:sz w:val="19"/>
                <w:szCs w:val="19"/>
                <w:b w:val="1"/>
                <w:bCs w:val="1"/>
                <w:color w:val="auto"/>
                <w:vertAlign w:val="superscript"/>
              </w:rPr>
              <w:t>(2)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w w:val="95"/>
              </w:rPr>
              <w:t>43.5%</w:t>
            </w:r>
          </w:p>
        </w:tc>
      </w:tr>
      <w:tr>
        <w:trPr>
          <w:trHeight w:val="149"/>
        </w:trPr>
        <w:tc>
          <w:tcPr>
            <w:tcW w:w="15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93"/>
              </w:rPr>
              <w:t>3Q17</w:t>
            </w: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51.3%</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106.9%</w:t>
            </w: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95"/>
              </w:rPr>
              <w:t>43.7%</w:t>
            </w:r>
          </w:p>
        </w:tc>
      </w:tr>
      <w:tr>
        <w:trPr>
          <w:trHeight w:val="162"/>
        </w:trPr>
        <w:tc>
          <w:tcPr>
            <w:tcW w:w="1500" w:type="dxa"/>
            <w:vAlign w:val="bottom"/>
            <w:shd w:val="clear" w:color="auto" w:fill="CCEEFF"/>
          </w:tcPr>
          <w:p>
            <w:pPr>
              <w:jc w:val="center"/>
              <w:ind w:right="30"/>
              <w:spacing w:after="0"/>
              <w:rPr>
                <w:sz w:val="20"/>
                <w:szCs w:val="20"/>
                <w:color w:val="auto"/>
              </w:rPr>
            </w:pPr>
            <w:r>
              <w:rPr>
                <w:rFonts w:ascii="Arial" w:cs="Arial" w:eastAsia="Arial" w:hAnsi="Arial"/>
                <w:sz w:val="14"/>
                <w:szCs w:val="14"/>
                <w:b w:val="1"/>
                <w:bCs w:val="1"/>
                <w:color w:val="auto"/>
                <w:w w:val="93"/>
              </w:rPr>
              <w:t>4Q17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104.8%</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w w:val="95"/>
              </w:rPr>
              <w:t>45.3%</w:t>
            </w:r>
          </w:p>
        </w:tc>
      </w:tr>
      <w:tr>
        <w:trPr>
          <w:trHeight w:val="142"/>
        </w:trPr>
        <w:tc>
          <w:tcPr>
            <w:tcW w:w="1500" w:type="dxa"/>
            <w:vAlign w:val="bottom"/>
            <w:tcBorders>
              <w:bottom w:val="single" w:sz="8" w:color="CCEEFF"/>
            </w:tcBorders>
          </w:tcPr>
          <w:p>
            <w:pPr>
              <w:jc w:val="center"/>
              <w:ind w:right="50"/>
              <w:spacing w:after="0" w:line="142" w:lineRule="exact"/>
              <w:rPr>
                <w:sz w:val="20"/>
                <w:szCs w:val="20"/>
                <w:color w:val="auto"/>
              </w:rPr>
            </w:pPr>
            <w:r>
              <w:rPr>
                <w:rFonts w:ascii="Arial" w:cs="Arial" w:eastAsia="Arial" w:hAnsi="Arial"/>
                <w:sz w:val="14"/>
                <w:szCs w:val="14"/>
                <w:b w:val="1"/>
                <w:bCs w:val="1"/>
                <w:color w:val="auto"/>
                <w:w w:val="95"/>
              </w:rPr>
              <w:t>Var. QoQ</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360 bps</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w w:val="87"/>
              </w:rPr>
              <w:t>-320 bps</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w w:val="84"/>
              </w:rPr>
              <w:t>850 bps</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 bps</w:t>
            </w:r>
          </w:p>
        </w:tc>
        <w:tc>
          <w:tcPr>
            <w:tcW w:w="2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 bps</w:t>
            </w:r>
          </w:p>
        </w:tc>
        <w:tc>
          <w:tcPr>
            <w:tcW w:w="2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-210 bps</w:t>
            </w:r>
          </w:p>
        </w:tc>
        <w:tc>
          <w:tcPr>
            <w:tcW w:w="2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160 bps</w:t>
            </w:r>
          </w:p>
        </w:tc>
        <w:tc>
          <w:tcPr>
            <w:tcW w:w="120" w:type="dxa"/>
            <w:vAlign w:val="bottom"/>
            <w:tcBorders>
              <w:bottom w:val="single" w:sz="8" w:color="CCEEFF"/>
            </w:tcBorders>
          </w:tcPr>
          <w:p>
            <w:pPr>
              <w:spacing w:after="0"/>
              <w:rPr>
                <w:sz w:val="12"/>
                <w:szCs w:val="12"/>
                <w:color w:val="auto"/>
              </w:rPr>
            </w:pPr>
          </w:p>
        </w:tc>
      </w:tr>
      <w:tr>
        <w:trPr>
          <w:trHeight w:val="142"/>
        </w:trPr>
        <w:tc>
          <w:tcPr>
            <w:tcW w:w="1500" w:type="dxa"/>
            <w:vAlign w:val="bottom"/>
            <w:shd w:val="clear" w:color="auto" w:fill="CCEEFF"/>
          </w:tcPr>
          <w:p>
            <w:pPr>
              <w:jc w:val="center"/>
              <w:ind w:right="30"/>
              <w:spacing w:after="0" w:line="142" w:lineRule="exact"/>
              <w:rPr>
                <w:sz w:val="20"/>
                <w:szCs w:val="20"/>
                <w:color w:val="auto"/>
              </w:rPr>
            </w:pPr>
            <w:r>
              <w:rPr>
                <w:rFonts w:ascii="Arial" w:cs="Arial" w:eastAsia="Arial" w:hAnsi="Arial"/>
                <w:sz w:val="14"/>
                <w:szCs w:val="14"/>
                <w:b w:val="1"/>
                <w:bCs w:val="1"/>
                <w:color w:val="auto"/>
                <w:w w:val="97"/>
              </w:rPr>
              <w:t>Var. YoY</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310 bps</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w w:val="87"/>
              </w:rPr>
              <w:t>-770 bps</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b w:val="1"/>
                <w:bCs w:val="1"/>
                <w:color w:val="auto"/>
                <w:w w:val="84"/>
              </w:rPr>
              <w:t>610 bps</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 bps</w:t>
            </w:r>
          </w:p>
        </w:tc>
        <w:tc>
          <w:tcPr>
            <w:tcW w:w="2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2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480 bps</w:t>
            </w:r>
          </w:p>
        </w:tc>
        <w:tc>
          <w:tcPr>
            <w:tcW w:w="2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1580 bps</w:t>
            </w:r>
          </w:p>
        </w:tc>
        <w:tc>
          <w:tcPr>
            <w:tcW w:w="240" w:type="dxa"/>
            <w:vAlign w:val="bottom"/>
            <w:shd w:val="clear" w:color="auto" w:fill="CCEEFF"/>
          </w:tcPr>
          <w:p>
            <w:pPr>
              <w:spacing w:after="0"/>
              <w:rPr>
                <w:sz w:val="12"/>
                <w:szCs w:val="12"/>
                <w:color w:val="auto"/>
              </w:rPr>
            </w:pPr>
          </w:p>
        </w:tc>
        <w:tc>
          <w:tcPr>
            <w:tcW w:w="104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180 bps</w:t>
            </w:r>
          </w:p>
        </w:tc>
        <w:tc>
          <w:tcPr>
            <w:tcW w:w="120" w:type="dxa"/>
            <w:vAlign w:val="bottom"/>
            <w:shd w:val="clear" w:color="auto" w:fill="CCEEFF"/>
          </w:tcPr>
          <w:p>
            <w:pPr>
              <w:spacing w:after="0"/>
              <w:rPr>
                <w:sz w:val="12"/>
                <w:szCs w:val="12"/>
                <w:color w:val="auto"/>
              </w:rPr>
            </w:pPr>
          </w:p>
        </w:tc>
      </w:tr>
      <w:tr>
        <w:trPr>
          <w:trHeight w:val="142"/>
        </w:trPr>
        <w:tc>
          <w:tcPr>
            <w:tcW w:w="1500" w:type="dxa"/>
            <w:vAlign w:val="bottom"/>
          </w:tcPr>
          <w:p>
            <w:pPr>
              <w:jc w:val="center"/>
              <w:ind w:right="30"/>
              <w:spacing w:after="0" w:line="142" w:lineRule="exact"/>
              <w:rPr>
                <w:sz w:val="20"/>
                <w:szCs w:val="20"/>
                <w:color w:val="auto"/>
              </w:rPr>
            </w:pPr>
            <w:r>
              <w:rPr>
                <w:rFonts w:ascii="Arial" w:cs="Arial" w:eastAsia="Arial" w:hAnsi="Arial"/>
                <w:sz w:val="14"/>
                <w:szCs w:val="14"/>
                <w:b w:val="1"/>
                <w:bCs w:val="1"/>
                <w:color w:val="auto"/>
                <w:w w:val="89"/>
              </w:rPr>
              <w:t>2016</w:t>
            </w:r>
          </w:p>
        </w:tc>
        <w:tc>
          <w:tcPr>
            <w:tcW w:w="13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40.6%</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56.4%</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56.7%</w:t>
            </w:r>
          </w:p>
        </w:tc>
        <w:tc>
          <w:tcPr>
            <w:tcW w:w="12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23.3%</w:t>
            </w:r>
          </w:p>
        </w:tc>
        <w:tc>
          <w:tcPr>
            <w:tcW w:w="12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27.5%</w:t>
            </w:r>
          </w:p>
        </w:tc>
        <w:tc>
          <w:tcPr>
            <w:tcW w:w="12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44.6%</w:t>
            </w:r>
          </w:p>
        </w:tc>
        <w:tc>
          <w:tcPr>
            <w:tcW w:w="12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100.3%</w:t>
            </w:r>
          </w:p>
        </w:tc>
        <w:tc>
          <w:tcPr>
            <w:tcW w:w="116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5"/>
              </w:rPr>
              <w:t>43.5%</w:t>
            </w:r>
          </w:p>
        </w:tc>
      </w:tr>
      <w:tr>
        <w:trPr>
          <w:trHeight w:val="162"/>
        </w:trPr>
        <w:tc>
          <w:tcPr>
            <w:tcW w:w="1500" w:type="dxa"/>
            <w:vAlign w:val="bottom"/>
            <w:shd w:val="clear" w:color="auto" w:fill="CCEEFF"/>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w w:val="95"/>
              </w:rPr>
              <w:t>43.7%</w:t>
            </w:r>
          </w:p>
        </w:tc>
      </w:tr>
      <w:tr>
        <w:trPr>
          <w:trHeight w:val="106"/>
        </w:trPr>
        <w:tc>
          <w:tcPr>
            <w:tcW w:w="1500" w:type="dxa"/>
            <w:vAlign w:val="bottom"/>
          </w:tcPr>
          <w:p>
            <w:pPr>
              <w:jc w:val="center"/>
              <w:ind w:right="30"/>
              <w:spacing w:after="0" w:line="106" w:lineRule="exact"/>
              <w:rPr>
                <w:sz w:val="20"/>
                <w:szCs w:val="20"/>
                <w:color w:val="auto"/>
              </w:rPr>
            </w:pPr>
            <w:r>
              <w:rPr>
                <w:rFonts w:ascii="Arial" w:cs="Arial" w:eastAsia="Arial" w:hAnsi="Arial"/>
                <w:sz w:val="12"/>
                <w:szCs w:val="12"/>
                <w:b w:val="1"/>
                <w:bCs w:val="1"/>
                <w:color w:val="auto"/>
              </w:rPr>
              <w:t>Var.</w:t>
            </w:r>
          </w:p>
        </w:tc>
        <w:tc>
          <w:tcPr>
            <w:tcW w:w="10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85"/>
        </w:trPr>
        <w:tc>
          <w:tcPr>
            <w:tcW w:w="1500" w:type="dxa"/>
            <w:vAlign w:val="bottom"/>
          </w:tcPr>
          <w:p>
            <w:pPr>
              <w:jc w:val="center"/>
              <w:ind w:right="30"/>
              <w:spacing w:after="0"/>
              <w:rPr>
                <w:sz w:val="20"/>
                <w:szCs w:val="20"/>
                <w:color w:val="auto"/>
              </w:rPr>
            </w:pPr>
            <w:r>
              <w:rPr>
                <w:rFonts w:ascii="Arial" w:cs="Arial" w:eastAsia="Arial" w:hAnsi="Arial"/>
                <w:sz w:val="14"/>
                <w:szCs w:val="14"/>
                <w:b w:val="1"/>
                <w:bCs w:val="1"/>
                <w:color w:val="auto"/>
                <w:w w:val="91"/>
              </w:rPr>
              <w:t>2017 / 2016</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90 bps</w:t>
            </w:r>
          </w:p>
        </w:tc>
        <w:tc>
          <w:tcPr>
            <w:tcW w:w="220" w:type="dxa"/>
            <w:vAlign w:val="bottom"/>
          </w:tcPr>
          <w:p>
            <w:pPr>
              <w:spacing w:after="0"/>
              <w:rPr>
                <w:sz w:val="16"/>
                <w:szCs w:val="16"/>
                <w:color w:val="auto"/>
              </w:rPr>
            </w:pPr>
          </w:p>
        </w:tc>
        <w:tc>
          <w:tcPr>
            <w:tcW w:w="1020" w:type="dxa"/>
            <w:vAlign w:val="bottom"/>
          </w:tcPr>
          <w:p>
            <w:pPr>
              <w:ind w:left="500"/>
              <w:spacing w:after="0"/>
              <w:rPr>
                <w:sz w:val="20"/>
                <w:szCs w:val="20"/>
                <w:color w:val="auto"/>
              </w:rPr>
            </w:pPr>
            <w:r>
              <w:rPr>
                <w:rFonts w:ascii="Arial" w:cs="Arial" w:eastAsia="Arial" w:hAnsi="Arial"/>
                <w:sz w:val="14"/>
                <w:szCs w:val="14"/>
                <w:b w:val="1"/>
                <w:bCs w:val="1"/>
                <w:color w:val="auto"/>
                <w:w w:val="87"/>
              </w:rPr>
              <w:t>-580 bps</w:t>
            </w:r>
          </w:p>
        </w:tc>
        <w:tc>
          <w:tcPr>
            <w:tcW w:w="220" w:type="dxa"/>
            <w:vAlign w:val="bottom"/>
          </w:tcPr>
          <w:p>
            <w:pPr>
              <w:spacing w:after="0"/>
              <w:rPr>
                <w:sz w:val="16"/>
                <w:szCs w:val="16"/>
                <w:color w:val="auto"/>
              </w:rPr>
            </w:pPr>
          </w:p>
        </w:tc>
        <w:tc>
          <w:tcPr>
            <w:tcW w:w="1020" w:type="dxa"/>
            <w:vAlign w:val="bottom"/>
          </w:tcPr>
          <w:p>
            <w:pPr>
              <w:ind w:left="560"/>
              <w:spacing w:after="0"/>
              <w:rPr>
                <w:sz w:val="20"/>
                <w:szCs w:val="20"/>
                <w:color w:val="auto"/>
              </w:rPr>
            </w:pPr>
            <w:r>
              <w:rPr>
                <w:rFonts w:ascii="Arial" w:cs="Arial" w:eastAsia="Arial" w:hAnsi="Arial"/>
                <w:sz w:val="14"/>
                <w:szCs w:val="14"/>
                <w:b w:val="1"/>
                <w:bCs w:val="1"/>
                <w:color w:val="auto"/>
                <w:w w:val="84"/>
              </w:rPr>
              <w:t>120 bps</w:t>
            </w:r>
          </w:p>
        </w:tc>
        <w:tc>
          <w:tcPr>
            <w:tcW w:w="2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-100 bps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140 bps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280 bps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210 bps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 bps</w:t>
            </w:r>
          </w:p>
        </w:tc>
      </w:tr>
      <w:tr>
        <w:trPr>
          <w:trHeight w:val="20"/>
        </w:trPr>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8"/>
        <w:spacing w:after="0" w:line="258" w:lineRule="auto"/>
        <w:tabs>
          <w:tab w:leader="none" w:pos="2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income + acquisition cost - other expenses) / (Net interest income + fee income + Net gain on foreign exchange transactions + Result on exchange difference + Net gain on derivates + Net gain from associates + Net earned premiums).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analysis of the </w:t>
      </w:r>
      <w:r>
        <w:rPr>
          <w:rFonts w:ascii="Arial" w:cs="Arial" w:eastAsia="Arial" w:hAnsi="Arial"/>
          <w:sz w:val="18"/>
          <w:szCs w:val="18"/>
          <w:b w:val="1"/>
          <w:bCs w:val="1"/>
          <w:color w:val="auto"/>
        </w:rPr>
        <w:t>efficiency ratio by subsidiaries</w:t>
      </w:r>
      <w:r>
        <w:rPr>
          <w:rFonts w:ascii="Arial" w:cs="Arial" w:eastAsia="Arial" w:hAnsi="Arial"/>
          <w:sz w:val="18"/>
          <w:szCs w:val="18"/>
          <w:color w:val="auto"/>
        </w:rPr>
        <w:t xml:space="preserve"> shows a slight deterioration QoQ, which was attributable mainly to BCP Stand-alone, and, to a lesser extent, to BCP Bolivar and Prima. The aforementioned was offset by significant improvement in operating efficiency at Mibanco.</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important to note the positive evolution, for three consecutive quarters, of Mibanco’s efficiency ratio. This is attributable to on-going control of operating expenses and to a significant improvement in income generation, which reflect the results of the productivity improvement project. The aforementioned led the bank to post a QoQ improvement over last quarter’s record low and hit a new milestone in the evolution of this indicator.</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Credicorp’s efficiency ratio rose +180 bps due to results at BCP Stand-alone and, to a lesser extent, at Credicorp’s other subsidiaries with the exception of Mibanco, which reported significant improvement of 770 bps.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accumulated analysis shows a slight increase of +20 bps in the efficiency ratio due to deterioration in almost all of Credicorp’s subsidiaries, with the exception of Mibanco and, to a lesser degree, BCP Bolivia. It is important to recall that Mibanco reduced its efficiency ratio significantly in 2017 by -580 bps.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494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b w:val="1"/>
                <w:bCs w:val="1"/>
                <w:color w:val="auto"/>
              </w:rPr>
              <w:t>8.1</w:t>
            </w:r>
          </w:p>
        </w:tc>
        <w:tc>
          <w:tcPr>
            <w:tcW w:w="494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 – BAP</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16</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 17</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Treasury Stocks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(209,322)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(208,968)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(208,937)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271,124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271,948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13,539,091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15,883,350</w:t>
            </w:r>
          </w:p>
        </w:tc>
        <w:tc>
          <w:tcPr>
            <w:tcW w:w="1040" w:type="dxa"/>
            <w:vAlign w:val="bottom"/>
          </w:tcPr>
          <w:p>
            <w:pPr>
              <w:jc w:val="right"/>
              <w:spacing w:after="0"/>
              <w:rPr>
                <w:sz w:val="20"/>
                <w:szCs w:val="20"/>
                <w:color w:val="auto"/>
              </w:rPr>
            </w:pPr>
            <w:r>
              <w:rPr>
                <w:rFonts w:ascii="Arial" w:cs="Arial" w:eastAsia="Arial" w:hAnsi="Arial"/>
                <w:sz w:val="18"/>
                <w:szCs w:val="18"/>
                <w:color w:val="auto"/>
              </w:rPr>
              <w:t>14,647,709</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52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324,474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348,646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348,646</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1,337,942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1,310,325</w:t>
            </w:r>
          </w:p>
        </w:tc>
        <w:tc>
          <w:tcPr>
            <w:tcW w:w="1040" w:type="dxa"/>
            <w:vAlign w:val="bottom"/>
          </w:tcPr>
          <w:p>
            <w:pPr>
              <w:jc w:val="right"/>
              <w:spacing w:after="0"/>
              <w:rPr>
                <w:sz w:val="20"/>
                <w:szCs w:val="20"/>
                <w:color w:val="auto"/>
              </w:rPr>
            </w:pPr>
            <w:r>
              <w:rPr>
                <w:rFonts w:ascii="Arial" w:cs="Arial" w:eastAsia="Arial" w:hAnsi="Arial"/>
                <w:sz w:val="18"/>
                <w:szCs w:val="18"/>
                <w:color w:val="auto"/>
              </w:rPr>
              <w:t>1,394,135</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816,250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810,250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5,108,527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5,013,769</w:t>
            </w:r>
          </w:p>
        </w:tc>
        <w:tc>
          <w:tcPr>
            <w:tcW w:w="1040" w:type="dxa"/>
            <w:vAlign w:val="bottom"/>
          </w:tcPr>
          <w:p>
            <w:pPr>
              <w:jc w:val="right"/>
              <w:spacing w:after="0"/>
              <w:rPr>
                <w:sz w:val="20"/>
                <w:szCs w:val="20"/>
                <w:color w:val="auto"/>
              </w:rPr>
            </w:pPr>
            <w:r>
              <w:rPr>
                <w:rFonts w:ascii="Arial" w:cs="Arial" w:eastAsia="Arial" w:hAnsi="Arial"/>
                <w:sz w:val="18"/>
                <w:szCs w:val="18"/>
                <w:color w:val="auto"/>
              </w:rPr>
              <w:t>4,439,741</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02"/>
        </w:trPr>
        <w:tc>
          <w:tcPr>
            <w:tcW w:w="52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(728,626)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(615,630)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(663,528)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(636,245)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(636,671)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(635,975)</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5"/>
        </w:trPr>
        <w:tc>
          <w:tcPr>
            <w:tcW w:w="52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67"/>
        </w:trPr>
        <w:tc>
          <w:tcPr>
            <w:tcW w:w="5220" w:type="dxa"/>
            <w:vAlign w:val="bottom"/>
            <w:gridSpan w:val="3"/>
            <w:shd w:val="clear" w:color="auto" w:fill="CCEEFF"/>
          </w:tcPr>
          <w:p>
            <w:pPr>
              <w:spacing w:after="0" w:line="266"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30"/>
                <w:szCs w:val="30"/>
                <w:color w:val="auto"/>
                <w:vertAlign w:val="superscript"/>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22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21,174,710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23,501,188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21,722,983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522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Tier I </w:t>
            </w:r>
            <w:r>
              <w:rPr>
                <w:rFonts w:ascii="Arial" w:cs="Arial" w:eastAsia="Arial" w:hAnsi="Arial"/>
                <w:sz w:val="27"/>
                <w:szCs w:val="27"/>
                <w:color w:val="auto"/>
                <w:vertAlign w:val="superscript"/>
              </w:rPr>
              <w:t>(5)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12,121,151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12,669,949</w:t>
            </w:r>
          </w:p>
        </w:tc>
        <w:tc>
          <w:tcPr>
            <w:tcW w:w="1040" w:type="dxa"/>
            <w:vAlign w:val="bottom"/>
          </w:tcPr>
          <w:p>
            <w:pPr>
              <w:jc w:val="right"/>
              <w:spacing w:after="0"/>
              <w:rPr>
                <w:sz w:val="20"/>
                <w:szCs w:val="20"/>
                <w:color w:val="auto"/>
              </w:rPr>
            </w:pPr>
            <w:r>
              <w:rPr>
                <w:rFonts w:ascii="Arial" w:cs="Arial" w:eastAsia="Arial" w:hAnsi="Arial"/>
                <w:sz w:val="18"/>
                <w:szCs w:val="18"/>
                <w:color w:val="auto"/>
              </w:rPr>
              <w:t>12,644,124</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9,053,559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10,831,239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9,078,858</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82"/>
        </w:trPr>
        <w:tc>
          <w:tcPr>
            <w:tcW w:w="5220" w:type="dxa"/>
            <w:vAlign w:val="bottom"/>
            <w:gridSpan w:val="3"/>
          </w:tcPr>
          <w:p>
            <w:pPr>
              <w:spacing w:after="0" w:line="182"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16,495,175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16,596,755</w:t>
            </w:r>
          </w:p>
        </w:tc>
        <w:tc>
          <w:tcPr>
            <w:tcW w:w="1040" w:type="dxa"/>
            <w:vAlign w:val="bottom"/>
          </w:tcPr>
          <w:p>
            <w:pPr>
              <w:jc w:val="right"/>
              <w:spacing w:after="0"/>
              <w:rPr>
                <w:sz w:val="20"/>
                <w:szCs w:val="20"/>
                <w:color w:val="auto"/>
              </w:rPr>
            </w:pPr>
            <w:r>
              <w:rPr>
                <w:rFonts w:ascii="Arial" w:cs="Arial" w:eastAsia="Arial" w:hAnsi="Arial"/>
                <w:sz w:val="18"/>
                <w:szCs w:val="18"/>
                <w:color w:val="auto"/>
              </w:rPr>
              <w:t>17,385,609</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961,365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903,684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913,427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FCG Capital Requirements related to operations with ICG </w:t>
            </w:r>
            <w:r>
              <w:rPr>
                <w:rFonts w:ascii="Arial" w:cs="Arial" w:eastAsia="Arial" w:hAnsi="Arial"/>
                <w:sz w:val="29"/>
                <w:szCs w:val="29"/>
                <w:color w:val="auto"/>
                <w:vertAlign w:val="superscript"/>
              </w:rPr>
              <w:t>(8)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(197,486)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(246,221)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(287,730)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45.7%</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ICG Capital Requirements related to operations with FCG </w:t>
            </w:r>
            <w:r>
              <w:rPr>
                <w:rFonts w:ascii="Arial" w:cs="Arial" w:eastAsia="Arial" w:hAnsi="Arial"/>
                <w:sz w:val="30"/>
                <w:szCs w:val="30"/>
                <w:color w:val="auto"/>
                <w:vertAlign w:val="superscript"/>
              </w:rPr>
              <w:t>(9)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17,259,053</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17,254,218</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18,011,306</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20" w:type="dxa"/>
            <w:vAlign w:val="bottom"/>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0"/>
        </w:trPr>
        <w:tc>
          <w:tcPr>
            <w:tcW w:w="522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11,071 million) and optional capital reserves (S/ 3,577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Minority interest includes Tier I (S/ 349 million) and Tier II (S/ 3 million) minority interest</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perpetual subordinated debt.</w:t>
      </w:r>
    </w:p>
    <w:p>
      <w:pPr>
        <w:ind w:firstLine="8"/>
        <w:spacing w:after="0" w:line="25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2017, Credicorp reported a comfortable capitalization level that was 21% higher than the capital required by the Peruvian Regulator. This ratio posted a slight decrease as a result of the reduction in regulatory capital (-7.6% QoQ), which in turn is attributable to decrease in Legal and other capital reserves due to Special Dividend Payment made in 4Q17.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growth in regulatory capital requirement is explained by the higher requirement in the Financial Consolidated Group, which in turn is the effect of loan growth achieved in 4Q17.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regulatory capital ratio also decreased from 1.23 in 4Q16 to 1.21 in 4Q17, This was due to the effect of Special Dividend Payment on the level of Regulatory capital, which did not grew that much although net income generation in 4Q17. However, regulatory capital requirement did increase due to loan growth posted in 4Q17.</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4"/>
              </w:rPr>
              <w:t>8.2 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16</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2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 17</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3,582,218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3,885,494</w:t>
            </w:r>
          </w:p>
        </w:tc>
        <w:tc>
          <w:tcPr>
            <w:tcW w:w="1040" w:type="dxa"/>
            <w:vAlign w:val="bottom"/>
          </w:tcPr>
          <w:p>
            <w:pPr>
              <w:jc w:val="right"/>
              <w:spacing w:after="0"/>
              <w:rPr>
                <w:sz w:val="20"/>
                <w:szCs w:val="20"/>
                <w:color w:val="auto"/>
              </w:rPr>
            </w:pPr>
            <w:r>
              <w:rPr>
                <w:rFonts w:ascii="Arial" w:cs="Arial" w:eastAsia="Arial" w:hAnsi="Arial"/>
                <w:sz w:val="18"/>
                <w:szCs w:val="18"/>
                <w:color w:val="auto"/>
              </w:rPr>
              <w:t>3,885,494</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1,181,200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1,157,365</w:t>
            </w:r>
          </w:p>
        </w:tc>
        <w:tc>
          <w:tcPr>
            <w:tcW w:w="1040" w:type="dxa"/>
            <w:vAlign w:val="bottom"/>
          </w:tcPr>
          <w:p>
            <w:pPr>
              <w:jc w:val="right"/>
              <w:spacing w:after="0"/>
              <w:rPr>
                <w:sz w:val="20"/>
                <w:szCs w:val="20"/>
                <w:color w:val="auto"/>
              </w:rPr>
            </w:pPr>
            <w:r>
              <w:rPr>
                <w:rFonts w:ascii="Arial" w:cs="Arial" w:eastAsia="Arial" w:hAnsi="Arial"/>
                <w:sz w:val="18"/>
                <w:szCs w:val="18"/>
                <w:color w:val="auto"/>
              </w:rPr>
              <w:t>1,234,999</w:t>
            </w:r>
          </w:p>
        </w:tc>
        <w:tc>
          <w:tcPr>
            <w:tcW w:w="240" w:type="dxa"/>
            <w:vAlign w:val="bottom"/>
          </w:tcPr>
          <w:p>
            <w:pPr>
              <w:spacing w:after="0"/>
              <w:rPr>
                <w:sz w:val="22"/>
                <w:szCs w:val="22"/>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734,625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729,225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4,520,406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4,492,968</w:t>
            </w:r>
          </w:p>
        </w:tc>
        <w:tc>
          <w:tcPr>
            <w:tcW w:w="1040" w:type="dxa"/>
            <w:vAlign w:val="bottom"/>
          </w:tcPr>
          <w:p>
            <w:pPr>
              <w:jc w:val="right"/>
              <w:spacing w:after="0"/>
              <w:rPr>
                <w:sz w:val="20"/>
                <w:szCs w:val="20"/>
                <w:color w:val="auto"/>
              </w:rPr>
            </w:pPr>
            <w:r>
              <w:rPr>
                <w:rFonts w:ascii="Arial" w:cs="Arial" w:eastAsia="Arial" w:hAnsi="Arial"/>
                <w:sz w:val="18"/>
                <w:szCs w:val="18"/>
                <w:color w:val="auto"/>
              </w:rPr>
              <w:t>3,978,406</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tcPr>
          <w:p>
            <w:pPr>
              <w:spacing w:after="0" w:line="201" w:lineRule="exact"/>
              <w:rPr>
                <w:sz w:val="20"/>
                <w:szCs w:val="20"/>
                <w:color w:val="auto"/>
              </w:rPr>
            </w:pPr>
            <w:r>
              <w:rPr>
                <w:rFonts w:ascii="Arial" w:cs="Arial" w:eastAsia="Arial" w:hAnsi="Arial"/>
                <w:sz w:val="18"/>
                <w:szCs w:val="18"/>
                <w:color w:val="auto"/>
                <w:w w:val="92"/>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(1,207,968)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(1,240,854)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(1,241,060)</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(1,513,593)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(1,478,915)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(1,587,715)</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305,624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238,060</w:t>
            </w:r>
          </w:p>
        </w:tc>
        <w:tc>
          <w:tcPr>
            <w:tcW w:w="1040" w:type="dxa"/>
            <w:vAlign w:val="bottom"/>
          </w:tcPr>
          <w:p>
            <w:pPr>
              <w:jc w:val="right"/>
              <w:spacing w:after="0"/>
              <w:rPr>
                <w:sz w:val="20"/>
                <w:szCs w:val="20"/>
                <w:color w:val="auto"/>
              </w:rPr>
            </w:pPr>
            <w:r>
              <w:rPr>
                <w:rFonts w:ascii="Arial" w:cs="Arial" w:eastAsia="Arial" w:hAnsi="Arial"/>
                <w:sz w:val="18"/>
                <w:szCs w:val="18"/>
                <w:color w:val="auto"/>
              </w:rPr>
              <w:t>346,656</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15,859,119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16,840,857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16,398,322</w:t>
            </w:r>
          </w:p>
        </w:tc>
        <w:tc>
          <w:tcPr>
            <w:tcW w:w="24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34,128,386</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31,827,183</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33,218,412</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4.4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10,761,497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11,810,950</w:t>
            </w:r>
          </w:p>
        </w:tc>
        <w:tc>
          <w:tcPr>
            <w:tcW w:w="1040" w:type="dxa"/>
            <w:vAlign w:val="bottom"/>
          </w:tcPr>
          <w:p>
            <w:pPr>
              <w:jc w:val="right"/>
              <w:spacing w:after="0"/>
              <w:rPr>
                <w:sz w:val="20"/>
                <w:szCs w:val="20"/>
                <w:color w:val="auto"/>
              </w:rPr>
            </w:pPr>
            <w:r>
              <w:rPr>
                <w:rFonts w:ascii="Arial" w:cs="Arial" w:eastAsia="Arial" w:hAnsi="Arial"/>
                <w:sz w:val="18"/>
                <w:szCs w:val="18"/>
                <w:color w:val="auto"/>
              </w:rPr>
              <w:t>11,805,448</w:t>
            </w:r>
          </w:p>
        </w:tc>
        <w:tc>
          <w:tcPr>
            <w:tcW w:w="24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5,097,621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5,029,906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4,592,875</w:t>
            </w: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103,350,374</w:t>
            </w:r>
          </w:p>
        </w:tc>
        <w:tc>
          <w:tcPr>
            <w:tcW w:w="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102,972,396</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108,950,140</w:t>
            </w:r>
          </w:p>
        </w:tc>
        <w:tc>
          <w:tcPr>
            <w:tcW w:w="2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w w:val="79"/>
              </w:rPr>
              <w:t>5.8</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745,539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1,757,740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1,391,099</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94,495,998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92,589,212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98,799,888</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8,108,836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8,625,445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8,759,154</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102,769,621</w:t>
            </w:r>
          </w:p>
        </w:tc>
        <w:tc>
          <w:tcPr>
            <w:tcW w:w="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102,362,554</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108,293,546</w:t>
            </w:r>
          </w:p>
        </w:tc>
        <w:tc>
          <w:tcPr>
            <w:tcW w:w="2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w w:val="79"/>
              </w:rPr>
              <w:t>5.8</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103,350,374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102,972,396</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108,950,140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580,752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609,842</w:t>
            </w:r>
          </w:p>
        </w:tc>
        <w:tc>
          <w:tcPr>
            <w:tcW w:w="1040" w:type="dxa"/>
            <w:vAlign w:val="bottom"/>
          </w:tcPr>
          <w:p>
            <w:pPr>
              <w:jc w:val="right"/>
              <w:spacing w:after="0"/>
              <w:rPr>
                <w:sz w:val="20"/>
                <w:szCs w:val="20"/>
                <w:color w:val="auto"/>
              </w:rPr>
            </w:pPr>
            <w:r>
              <w:rPr>
                <w:rFonts w:ascii="Arial" w:cs="Arial" w:eastAsia="Arial" w:hAnsi="Arial"/>
                <w:sz w:val="18"/>
                <w:szCs w:val="18"/>
                <w:color w:val="auto"/>
              </w:rPr>
              <w:t>656,594</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 RWA Deferred tax assets generated as a result of temporary</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differences in income tax, in excess of 10% of CET1</w:t>
            </w: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40" w:type="dxa"/>
            <w:vAlign w:val="bottom"/>
            <w:tcBorders>
              <w:right w:val="single" w:sz="8" w:color="CCEEFF"/>
            </w:tcBorders>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w w:val="95"/>
              </w:rPr>
              <w:t>(-) RWA Deferred tax assets generated as a result of past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12,681,668</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12,778,437</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13,569,117</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79"/>
              </w:rPr>
              <w:t>6.2</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74,554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175,774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139,110</w:t>
            </w:r>
          </w:p>
        </w:tc>
        <w:tc>
          <w:tcPr>
            <w:tcW w:w="24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9,449,600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9,258,921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9,879,989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810,884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862,544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875,915</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2,346,631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2,481,198</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2,674,103</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104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2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spacing w:after="0" w:line="302" w:lineRule="auto"/>
        <w:rPr>
          <w:sz w:val="20"/>
          <w:szCs w:val="20"/>
          <w:color w:val="auto"/>
        </w:rPr>
      </w:pPr>
      <w:r>
        <w:rPr>
          <w:rFonts w:ascii="Arial" w:cs="Arial" w:eastAsia="Arial" w:hAnsi="Arial"/>
          <w:sz w:val="16"/>
          <w:szCs w:val="16"/>
          <w:color w:val="auto"/>
        </w:rPr>
        <w:t>At the end of 4Q17, BCP Stand-alone reported a reduction in its BIS and Tier 1 ratios, which were situated at 15.05% and 10.84%, respectively. This was due primarily to an increase of 5.8% in risk-weighted assets (RWAs), in a scenario in which regulatory capital decreased 2.6% QoQ. RWAs grew mainly because of higher level of RWAs for credit risk, which reflects the loan expansion posted in 4Q17. However, regulatory capital and Tier 1 contracted due to reduction in Subordinated debt, as well as, larger deduction for investment in subsidiaries, all of which was partially offset by the increase in loan provisions.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common equity tier 1 ratio (CET1), which is considered the most rigorous measurement of capitalization levels, registered a reduction of -10 bps and situated at 11.83% at the end of December. This was mainly attributable higher level of RWAs in line with loan growth, which was partially offset by net income generation in 4Q17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240"/>
        <w:spacing w:after="0"/>
        <w:tabs>
          <w:tab w:leader="none" w:pos="7960" w:val="left"/>
        </w:tabs>
        <w:rPr>
          <w:sz w:val="20"/>
          <w:szCs w:val="20"/>
          <w:color w:val="auto"/>
        </w:rPr>
      </w:pPr>
      <w:r>
        <w:rPr>
          <w:rFonts w:ascii="Arial" w:cs="Arial" w:eastAsia="Arial" w:hAnsi="Arial"/>
          <w:sz w:val="18"/>
          <w:szCs w:val="18"/>
          <w:b w:val="1"/>
          <w:bCs w:val="1"/>
          <w:color w:val="auto"/>
        </w:rPr>
        <w:t>September 2017</w:t>
      </w:r>
      <w:r>
        <w:rPr>
          <w:sz w:val="20"/>
          <w:szCs w:val="20"/>
          <w:color w:val="auto"/>
        </w:rPr>
        <w:tab/>
      </w:r>
      <w:r>
        <w:rPr>
          <w:rFonts w:ascii="Arial" w:cs="Arial" w:eastAsia="Arial" w:hAnsi="Arial"/>
          <w:sz w:val="16"/>
          <w:szCs w:val="16"/>
          <w:b w:val="1"/>
          <w:bCs w:val="1"/>
          <w:color w:val="auto"/>
        </w:rPr>
        <w:t>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5746115" cy="15176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611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gain on sale of BCI shares to Credicorp contributed around 40bps and 50bps to the level of Retained earnings on the Common Equity Tier 1 ratio.</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investments in BCP Bolivia and other subsidiaries.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Banking business’s Distribution channels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4"/>
          </w:tcPr>
          <w:p>
            <w:pPr>
              <w:ind w:left="40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45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 16</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 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 17</w:t>
            </w: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ind w:left="280"/>
              <w:spacing w:after="0"/>
              <w:rPr>
                <w:sz w:val="20"/>
                <w:szCs w:val="20"/>
                <w:color w:val="auto"/>
              </w:rPr>
            </w:pPr>
            <w:r>
              <w:rPr>
                <w:rFonts w:ascii="Arial" w:cs="Arial" w:eastAsia="Arial" w:hAnsi="Arial"/>
                <w:sz w:val="18"/>
                <w:szCs w:val="18"/>
                <w:b w:val="1"/>
                <w:bCs w:val="1"/>
                <w:color w:val="auto"/>
              </w:rPr>
              <w:t>YoY</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2,345</w:t>
            </w:r>
          </w:p>
        </w:tc>
        <w:tc>
          <w:tcPr>
            <w:tcW w:w="880" w:type="dxa"/>
            <w:vAlign w:val="bottom"/>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2,329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8,896</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8,953</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9,212</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9,277</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9,412</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8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9,807</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9,967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291</w:t>
            </w:r>
          </w:p>
        </w:tc>
      </w:tr>
      <w:tr>
        <w:trPr>
          <w:trHeight w:val="20"/>
        </w:trPr>
        <w:tc>
          <w:tcPr>
            <w:tcW w:w="4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Mibanco does not have Agentes or ATMs because it uses the BCP network. Mibanco branches include Banco de la Nacion branches, which in Dec 16, Sep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17 and Dec 17 were 39, 39 and 38 respectively.</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posted a total of 9,967 points of contact at the end of 4Q17. This level represented an increase of 160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reported a total of 9,088 points of contact at the end of 4Q17, which represented an increase of 135 points QoQ. The aforementioned was mainly due to growth in the number of Agentes BCP (+137 QoQ), which was attributable to the commercial strategy to increase points of contact through cost-efficient channels.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number of branches at Mibanco was stable QoQ. It is important to note that Mibanco has an agreement with the Banco de la Nacion to use its branches throughout the country to reduce operating costs. At the end of 4Q17, these offices represented 11.7% (38 branches) of Mibanco’s 324 branches.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 increased its points of contact by 25 QoQ in 4Q17. The aforementioned was due primarily to an increase in the number of BCP agents, which was in line with the goal to reach 200 Agentes BCP at the end of 2017, which was achieved in 3Q17. QoQ, an increase was reported in branches under the new format “Cafe BCP”, which is equipped with a broad digital environment that is focused on improving the customer experience (dynamic and collaborative environment). This reflects a trend in the industry toward providing innovative banking products and services.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total of points of contact at BCP increased 192 units, which was mainly attributable to the increase in Agentes BCP (+212), which was in line with our banking penetration strategy and with migration to most cost-efficient channels. The number of branches fell by 4 YoY, which led to a -16 drop in ATMs YoY.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points of contact (+91 YoY), primarily due to an increase in Agentes BCP. Mibanco increased its total number of branches (+8 YoY), which was attributable to on-going business expansion.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ind w:left="740"/>
              <w:spacing w:after="0"/>
              <w:rPr>
                <w:sz w:val="20"/>
                <w:szCs w:val="20"/>
                <w:color w:val="auto"/>
              </w:rPr>
            </w:pPr>
            <w:r>
              <w:rPr>
                <w:rFonts w:ascii="Arial" w:cs="Arial" w:eastAsia="Arial" w:hAnsi="Arial"/>
                <w:sz w:val="18"/>
                <w:szCs w:val="18"/>
                <w:b w:val="1"/>
                <w:bCs w:val="1"/>
                <w:color w:val="auto"/>
              </w:rPr>
              <w:t>Points of contact – BCP Stand-alone</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 16</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Sep 17</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 17</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Provinces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Lima</w:t>
            </w:r>
          </w:p>
        </w:tc>
        <w:tc>
          <w:tcPr>
            <w:tcW w:w="8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8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Provinces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8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8,896</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8,953</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This quarter, the points of contact for BCP Stand-alone increased 135 points; Lima and Provinces posted an increase of 52 and 83 points respectively.</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YoY analysis shows significant growth of 212 units in Agentes BCP, which is reflects increases in both Lima (+139) and in the provinces (+73). The decision to offer more payment options for services through Agentes BCP, coupled with campaigns to promote the use of this channel, has increased the number of transactions in this venue. This growth is planned according to historical behavior in each territory to achieve benchmarks for total growth. In the Provinces, there was a decrease in ATMs YoY (-40), which was in line with the reduction in the number of branches (-4).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 of Transactions per channel </w:t>
            </w:r>
            <w:r>
              <w:rPr>
                <w:rFonts w:ascii="Arial" w:cs="Arial" w:eastAsia="Arial" w:hAnsi="Arial"/>
                <w:sz w:val="23"/>
                <w:szCs w:val="23"/>
                <w:b w:val="1"/>
                <w:bCs w:val="1"/>
                <w:color w:val="auto"/>
                <w:vertAlign w:val="superscript"/>
              </w:rPr>
              <w:t>(1)</w:t>
            </w:r>
          </w:p>
        </w:tc>
        <w:tc>
          <w:tcPr>
            <w:tcW w:w="10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8"/>
              </w:rPr>
              <w:t>Monthly average in each quarter</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ind w:left="440"/>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3Q17</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4Q17</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87"/>
              </w:rPr>
              <w:t>YoY</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8,568,809</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7.6%</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8,341,552</w:t>
            </w: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6.8%</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8,379,478</w:t>
            </w: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6.4%</w:t>
            </w:r>
          </w:p>
        </w:tc>
        <w:tc>
          <w:tcPr>
            <w:tcW w:w="88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0.5%</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5"/>
        </w:trPr>
        <w:tc>
          <w:tcPr>
            <w:tcW w:w="10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29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Telephone banking</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4,056,856</w:t>
            </w: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4,255,311</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4,892,314</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Cost-efficient</w:t>
            </w:r>
          </w:p>
        </w:tc>
        <w:tc>
          <w:tcPr>
            <w:tcW w:w="2900" w:type="dxa"/>
            <w:vAlign w:val="bottom"/>
            <w:gridSpan w:val="3"/>
            <w:vMerge w:val="restart"/>
          </w:tcPr>
          <w:p>
            <w:pPr>
              <w:ind w:left="100"/>
              <w:spacing w:after="0" w:line="139" w:lineRule="exact"/>
              <w:rPr>
                <w:sz w:val="20"/>
                <w:szCs w:val="20"/>
                <w:color w:val="auto"/>
              </w:rPr>
            </w:pPr>
            <w:r>
              <w:rPr>
                <w:rFonts w:ascii="Arial" w:cs="Arial" w:eastAsia="Arial" w:hAnsi="Arial"/>
                <w:sz w:val="14"/>
                <w:szCs w:val="14"/>
                <w:color w:val="auto"/>
              </w:rPr>
              <w:t>Agentes BCP</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40" w:type="dxa"/>
            <w:vAlign w:val="bottom"/>
            <w:vMerge w:val="continue"/>
          </w:tcPr>
          <w:p>
            <w:pPr>
              <w:spacing w:after="0"/>
              <w:rPr>
                <w:sz w:val="10"/>
                <w:szCs w:val="10"/>
                <w:color w:val="auto"/>
              </w:rPr>
            </w:pPr>
          </w:p>
        </w:tc>
        <w:tc>
          <w:tcPr>
            <w:tcW w:w="2900" w:type="dxa"/>
            <w:vAlign w:val="bottom"/>
            <w:gridSpan w:val="3"/>
            <w:vMerge w:val="continue"/>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color w:val="auto"/>
              </w:rPr>
              <w:t>16,725,157</w:t>
            </w:r>
          </w:p>
        </w:tc>
        <w:tc>
          <w:tcPr>
            <w:tcW w:w="220" w:type="dxa"/>
            <w:vAlign w:val="bottom"/>
            <w:vMerge w:val="continue"/>
          </w:tcPr>
          <w:p>
            <w:pPr>
              <w:spacing w:after="0"/>
              <w:rPr>
                <w:sz w:val="10"/>
                <w:szCs w:val="10"/>
                <w:color w:val="auto"/>
              </w:rPr>
            </w:pPr>
          </w:p>
        </w:tc>
        <w:tc>
          <w:tcPr>
            <w:tcW w:w="90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14.8%</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18,129,821</w:t>
            </w:r>
          </w:p>
        </w:tc>
        <w:tc>
          <w:tcPr>
            <w:tcW w:w="200" w:type="dxa"/>
            <w:vAlign w:val="bottom"/>
            <w:vMerge w:val="continue"/>
          </w:tcPr>
          <w:p>
            <w:pPr>
              <w:spacing w:after="0"/>
              <w:rPr>
                <w:sz w:val="10"/>
                <w:szCs w:val="10"/>
                <w:color w:val="auto"/>
              </w:rPr>
            </w:pPr>
          </w:p>
        </w:tc>
        <w:tc>
          <w:tcPr>
            <w:tcW w:w="92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14.7%</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19,383,629</w:t>
            </w:r>
          </w:p>
        </w:tc>
        <w:tc>
          <w:tcPr>
            <w:tcW w:w="200" w:type="dxa"/>
            <w:vAlign w:val="bottom"/>
            <w:vMerge w:val="continue"/>
          </w:tcPr>
          <w:p>
            <w:pPr>
              <w:spacing w:after="0"/>
              <w:rPr>
                <w:sz w:val="10"/>
                <w:szCs w:val="10"/>
                <w:color w:val="auto"/>
              </w:rPr>
            </w:pPr>
          </w:p>
        </w:tc>
        <w:tc>
          <w:tcPr>
            <w:tcW w:w="92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14.7%</w:t>
            </w:r>
          </w:p>
        </w:tc>
        <w:tc>
          <w:tcPr>
            <w:tcW w:w="88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6.9%</w:t>
            </w:r>
          </w:p>
        </w:tc>
        <w:tc>
          <w:tcPr>
            <w:tcW w:w="18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85"/>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2900" w:type="dxa"/>
            <w:vAlign w:val="bottom"/>
            <w:gridSpan w:val="3"/>
          </w:tcPr>
          <w:p>
            <w:pPr>
              <w:ind w:left="100"/>
              <w:spacing w:after="0"/>
              <w:rPr>
                <w:sz w:val="20"/>
                <w:szCs w:val="20"/>
                <w:color w:val="auto"/>
              </w:rPr>
            </w:pPr>
            <w:r>
              <w:rPr>
                <w:rFonts w:ascii="Arial" w:cs="Arial" w:eastAsia="Arial" w:hAnsi="Arial"/>
                <w:sz w:val="14"/>
                <w:szCs w:val="14"/>
                <w:color w:val="auto"/>
              </w:rPr>
              <w:t>ATMs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21,178,095</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18.7%</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21,552,167</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17.5%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22,034,832</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16.8%</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8"/>
              </w:rPr>
              <w:t>Digital</w:t>
            </w:r>
          </w:p>
        </w:tc>
        <w:tc>
          <w:tcPr>
            <w:tcW w:w="2900" w:type="dxa"/>
            <w:vAlign w:val="bottom"/>
            <w:gridSpan w:val="3"/>
            <w:vMerge w:val="restart"/>
            <w:shd w:val="clear" w:color="auto" w:fill="CCEEFF"/>
          </w:tcPr>
          <w:p>
            <w:pPr>
              <w:ind w:left="100"/>
              <w:spacing w:after="0" w:line="139" w:lineRule="exact"/>
              <w:rPr>
                <w:sz w:val="20"/>
                <w:szCs w:val="20"/>
                <w:color w:val="auto"/>
              </w:rPr>
            </w:pPr>
            <w:r>
              <w:rPr>
                <w:rFonts w:ascii="Arial" w:cs="Arial" w:eastAsia="Arial" w:hAnsi="Arial"/>
                <w:sz w:val="14"/>
                <w:szCs w:val="14"/>
                <w:color w:val="auto"/>
              </w:rPr>
              <w:t>Mobile banking</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40" w:type="dxa"/>
            <w:vAlign w:val="bottom"/>
            <w:vMerge w:val="continue"/>
            <w:shd w:val="clear" w:color="auto" w:fill="CCEEFF"/>
          </w:tcPr>
          <w:p>
            <w:pPr>
              <w:spacing w:after="0"/>
              <w:rPr>
                <w:sz w:val="10"/>
                <w:szCs w:val="10"/>
                <w:color w:val="auto"/>
              </w:rPr>
            </w:pPr>
          </w:p>
        </w:tc>
        <w:tc>
          <w:tcPr>
            <w:tcW w:w="2900" w:type="dxa"/>
            <w:vAlign w:val="bottom"/>
            <w:gridSpan w:val="3"/>
            <w:vMerge w:val="continue"/>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18,002,256</w:t>
            </w:r>
          </w:p>
        </w:tc>
        <w:tc>
          <w:tcPr>
            <w:tcW w:w="220" w:type="dxa"/>
            <w:vAlign w:val="bottom"/>
            <w:vMerge w:val="continue"/>
            <w:shd w:val="clear" w:color="auto" w:fill="CCEEFF"/>
          </w:tcPr>
          <w:p>
            <w:pPr>
              <w:spacing w:after="0"/>
              <w:rPr>
                <w:sz w:val="10"/>
                <w:szCs w:val="10"/>
                <w:color w:val="auto"/>
              </w:rPr>
            </w:pPr>
          </w:p>
        </w:tc>
        <w:tc>
          <w:tcPr>
            <w:tcW w:w="90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15.9%</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26,914,282</w:t>
            </w:r>
          </w:p>
        </w:tc>
        <w:tc>
          <w:tcPr>
            <w:tcW w:w="200" w:type="dxa"/>
            <w:vAlign w:val="bottom"/>
            <w:vMerge w:val="continue"/>
            <w:shd w:val="clear" w:color="auto" w:fill="CCEEFF"/>
          </w:tcPr>
          <w:p>
            <w:pPr>
              <w:spacing w:after="0"/>
              <w:rPr>
                <w:sz w:val="10"/>
                <w:szCs w:val="10"/>
                <w:color w:val="auto"/>
              </w:rPr>
            </w:pPr>
          </w:p>
        </w:tc>
        <w:tc>
          <w:tcPr>
            <w:tcW w:w="9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21.8%</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33,389,721</w:t>
            </w:r>
          </w:p>
        </w:tc>
        <w:tc>
          <w:tcPr>
            <w:tcW w:w="200" w:type="dxa"/>
            <w:vAlign w:val="bottom"/>
            <w:vMerge w:val="continue"/>
            <w:shd w:val="clear" w:color="auto" w:fill="CCEEFF"/>
          </w:tcPr>
          <w:p>
            <w:pPr>
              <w:spacing w:after="0"/>
              <w:rPr>
                <w:sz w:val="10"/>
                <w:szCs w:val="10"/>
                <w:color w:val="auto"/>
              </w:rPr>
            </w:pPr>
          </w:p>
        </w:tc>
        <w:tc>
          <w:tcPr>
            <w:tcW w:w="9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25.4%</w:t>
            </w:r>
          </w:p>
        </w:tc>
        <w:tc>
          <w:tcPr>
            <w:tcW w:w="88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24.1%</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banking Via BCP</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20,196,421</w:t>
            </w: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18,968,107</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17,447,776</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Balance inquiries </w:t>
            </w:r>
            <w:r>
              <w:rPr>
                <w:rFonts w:ascii="Arial" w:cs="Arial" w:eastAsia="Arial" w:hAnsi="Arial"/>
                <w:sz w:val="23"/>
                <w:szCs w:val="23"/>
                <w:color w:val="auto"/>
                <w:vertAlign w:val="superscript"/>
              </w:rPr>
              <w:t>(2)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2,464,238</w:t>
            </w: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2,252,493</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1,877,972</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92"/>
              </w:rPr>
              <w:t>Others</w:t>
            </w:r>
          </w:p>
        </w:tc>
        <w:tc>
          <w:tcPr>
            <w:tcW w:w="100" w:type="dxa"/>
            <w:vAlign w:val="bottom"/>
          </w:tcPr>
          <w:p>
            <w:pPr>
              <w:spacing w:after="0" w:line="20" w:lineRule="exact"/>
              <w:rPr>
                <w:sz w:val="1"/>
                <w:szCs w:val="1"/>
                <w:color w:val="auto"/>
              </w:rPr>
            </w:pPr>
          </w:p>
        </w:tc>
        <w:tc>
          <w:tcPr>
            <w:tcW w:w="280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Telecrédito</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9,985,233</w:t>
            </w:r>
          </w:p>
        </w:tc>
        <w:tc>
          <w:tcPr>
            <w:tcW w:w="220" w:type="dxa"/>
            <w:vAlign w:val="bottom"/>
            <w:vMerge w:val="continue"/>
          </w:tcPr>
          <w:p>
            <w:pPr>
              <w:spacing w:after="0"/>
              <w:rPr>
                <w:sz w:val="10"/>
                <w:szCs w:val="10"/>
                <w:color w:val="auto"/>
              </w:rPr>
            </w:pPr>
          </w:p>
        </w:tc>
        <w:tc>
          <w:tcPr>
            <w:tcW w:w="90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8.8%</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10,190,057</w:t>
            </w:r>
          </w:p>
        </w:tc>
        <w:tc>
          <w:tcPr>
            <w:tcW w:w="200" w:type="dxa"/>
            <w:vAlign w:val="bottom"/>
            <w:vMerge w:val="continue"/>
          </w:tcPr>
          <w:p>
            <w:pPr>
              <w:spacing w:after="0"/>
              <w:rPr>
                <w:sz w:val="10"/>
                <w:szCs w:val="10"/>
                <w:color w:val="auto"/>
              </w:rPr>
            </w:pPr>
          </w:p>
        </w:tc>
        <w:tc>
          <w:tcPr>
            <w:tcW w:w="92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8.3%</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10,746,093</w:t>
            </w:r>
          </w:p>
        </w:tc>
        <w:tc>
          <w:tcPr>
            <w:tcW w:w="200" w:type="dxa"/>
            <w:vAlign w:val="bottom"/>
            <w:vMerge w:val="continue"/>
          </w:tcPr>
          <w:p>
            <w:pPr>
              <w:spacing w:after="0"/>
              <w:rPr>
                <w:sz w:val="10"/>
                <w:szCs w:val="10"/>
                <w:color w:val="auto"/>
              </w:rPr>
            </w:pPr>
          </w:p>
        </w:tc>
        <w:tc>
          <w:tcPr>
            <w:tcW w:w="92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8.2%</w:t>
            </w:r>
          </w:p>
        </w:tc>
        <w:tc>
          <w:tcPr>
            <w:tcW w:w="88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0"/>
                <w:szCs w:val="10"/>
                <w:color w:val="auto"/>
              </w:rPr>
            </w:pPr>
          </w:p>
        </w:tc>
        <w:tc>
          <w:tcPr>
            <w:tcW w:w="5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9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Direct debit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682,401</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609,961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613,776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9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Points of sale P.O.S.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11,070,340</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12,024,620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12,534,911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2900" w:type="dxa"/>
            <w:vAlign w:val="bottom"/>
            <w:gridSpan w:val="3"/>
          </w:tcPr>
          <w:p>
            <w:pPr>
              <w:ind w:left="100"/>
              <w:spacing w:after="0"/>
              <w:rPr>
                <w:sz w:val="20"/>
                <w:szCs w:val="20"/>
                <w:color w:val="auto"/>
              </w:rPr>
            </w:pPr>
            <w:r>
              <w:rPr>
                <w:rFonts w:ascii="Arial" w:cs="Arial" w:eastAsia="Arial" w:hAnsi="Arial"/>
                <w:sz w:val="14"/>
                <w:szCs w:val="14"/>
                <w:color w:val="auto"/>
              </w:rPr>
              <w:t>Other ATMs network</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217,259</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207,322</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220,218</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shd w:val="clear" w:color="auto" w:fill="CCEEFF"/>
          </w:tcPr>
          <w:p>
            <w:pPr>
              <w:spacing w:after="0"/>
              <w:rPr>
                <w:sz w:val="12"/>
                <w:szCs w:val="12"/>
                <w:color w:val="auto"/>
              </w:rPr>
            </w:pPr>
          </w:p>
        </w:tc>
        <w:tc>
          <w:tcPr>
            <w:tcW w:w="2900" w:type="dxa"/>
            <w:vAlign w:val="bottom"/>
            <w:tcBorders>
              <w:top w:val="single" w:sz="8" w:color="CCEEFF"/>
            </w:tcBorders>
            <w:gridSpan w:val="3"/>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Total transactions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113,147,065</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123,445,691</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131,520,719</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Figures from 3Q17 differ from previously reported because they included estimated figures.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monthly average of transactions QoQ increased in line with the increase registered every 4Q in the transactional. The increase in volume was associated with digital and cost-efficient channels such as Mobile Banking and Agentes BCP.</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Mobile banking continues to post a noteworthy increase in its share of total transactions, to situate at 25.4% in 4Q17. This increase was associated with new modalities for loan payments and the Teleton campaign.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Transactional growth in Agentes BCP was due to an increase in the number of these points (+137 QoQ) and for growth in the market demand relative to this 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YoY analysis, which excludes the seasonal effect, we see an increase in monthly average transactions (+16.2%). The aforementioned is mainly the result of an increase in the transactions reported in the following channels: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ind w:left="880" w:hanging="494"/>
        <w:spacing w:after="0" w:line="26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Cellular Banking (+85.5% YoY) continues to increase its share of transactions through its mobile applications “Banca Celular BCP” and “Tus Beneficios BCP,” “Juntos por el Perú” and “Teleton” campaigns and through sales engines modalities to open accounts; confirm transactions with digital fingerprints in Android and IOS and loan payments.</w:t>
      </w:r>
    </w:p>
    <w:p>
      <w:pPr>
        <w:spacing w:after="0" w:line="181" w:lineRule="exact"/>
        <w:rPr>
          <w:rFonts w:ascii="Arial" w:cs="Arial" w:eastAsia="Arial" w:hAnsi="Arial"/>
          <w:sz w:val="18"/>
          <w:szCs w:val="18"/>
          <w:color w:val="auto"/>
        </w:rPr>
      </w:pPr>
    </w:p>
    <w:p>
      <w:pPr>
        <w:jc w:val="both"/>
        <w:ind w:left="880" w:right="20" w:hanging="494"/>
        <w:spacing w:after="0" w:line="26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Agentes BCP (+15.9% YoY), where a significant increase in the transactions volume is due primarily to an increase in issuances and disbursements of wire transfers, and, to a lesser extent, to a higher volume of withdrawals, deposits and payments for services. Other transactions at Agentes BCP maintained average growth.</w:t>
      </w:r>
    </w:p>
    <w:p>
      <w:pPr>
        <w:spacing w:after="0" w:line="181" w:lineRule="exact"/>
        <w:rPr>
          <w:rFonts w:ascii="Arial" w:cs="Arial" w:eastAsia="Arial" w:hAnsi="Arial"/>
          <w:sz w:val="18"/>
          <w:szCs w:val="18"/>
          <w:color w:val="auto"/>
        </w:rPr>
      </w:pPr>
    </w:p>
    <w:p>
      <w:pPr>
        <w:ind w:left="880" w:hanging="494"/>
        <w:spacing w:after="0" w:line="342"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ATMs (+4.0% YoY), where the increase is in line with annual growth in the transactions volume. Additionally, a large portion of this increase was attributable to efforts to equip ATMs with new functions like deposits, balance inquiries and engage in other types of non-monetary transactions.</w:t>
      </w:r>
    </w:p>
    <w:p>
      <w:pPr>
        <w:spacing w:after="0" w:line="123" w:lineRule="exact"/>
        <w:rPr>
          <w:rFonts w:ascii="Arial" w:cs="Arial" w:eastAsia="Arial" w:hAnsi="Arial"/>
          <w:sz w:val="16"/>
          <w:szCs w:val="16"/>
          <w:color w:val="auto"/>
        </w:rPr>
      </w:pPr>
    </w:p>
    <w:p>
      <w:pPr>
        <w:ind w:left="880" w:hanging="494"/>
        <w:spacing w:after="0" w:line="27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Points of Sale P.O.S (+13.2% YoY), the increase is due primarily to an increase in efforts to promote the KM Latam Program in 4Q17. This channel’s share of total monthly average transactions was stable in 9.5% in 4Q17 vs. 9.8% in 4Q16.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the channels that experienced a decrease in transactions YoY were: i) Teller (-2.2%), in line with migration to cost-efficient channels, and ii) Banking internet ViaBCP (-13.6%), associated with an increase in the use of Mobile Banking, given that the latter offers functions similar to those offered by Internet Banking.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Transformation Strategy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102860" cy="24872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0286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hanging="262"/>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including Telecredito, Direct debit, POS and Other ATMs network</w:t>
      </w:r>
    </w:p>
    <w:p>
      <w:pPr>
        <w:spacing w:after="0" w:line="23" w:lineRule="exact"/>
        <w:rPr>
          <w:rFonts w:ascii="Arial" w:cs="Arial" w:eastAsia="Arial" w:hAnsi="Arial"/>
          <w:sz w:val="18"/>
          <w:szCs w:val="18"/>
          <w:color w:val="auto"/>
        </w:rPr>
      </w:pPr>
    </w:p>
    <w:p>
      <w:pPr>
        <w:ind w:left="780" w:hanging="262"/>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Internet banking Via BCP, Mobile banking and Balance inquiries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future growth in banking in the region will primarily focus on digital channels. For this reason, companies at Credicorp continue to strengthen their strategic position in cost-efficient channels. This is in line with Credicorp’s Transformation Strategy and is the driving force of growth in the transactions volume, mainly in Mobile Banking.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00" w:type="dxa"/>
            <w:vAlign w:val="bottom"/>
            <w:gridSpan w:val="2"/>
          </w:tcPr>
          <w:p>
            <w:pPr>
              <w:ind w:left="1880"/>
              <w:spacing w:after="0"/>
              <w:rPr>
                <w:sz w:val="20"/>
                <w:szCs w:val="20"/>
                <w:color w:val="auto"/>
              </w:rPr>
            </w:pPr>
            <w:r>
              <w:rPr>
                <w:rFonts w:ascii="Arial" w:cs="Arial" w:eastAsia="Arial" w:hAnsi="Arial"/>
                <w:sz w:val="18"/>
                <w:szCs w:val="18"/>
                <w:b w:val="1"/>
                <w:bCs w:val="1"/>
                <w:color w:val="auto"/>
              </w:rPr>
              <w:t>Peru</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192,348</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213,073</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227,175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3.2-3.7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3.2-3.7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8.0-14.0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gridSpan w:val="2"/>
            <w:vMerge w:val="continue"/>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3.20-3.25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GDP)</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37,330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38,300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39,700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42,800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66,151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Preliminar estimates by BCP Economic Research as of January, 2018; INEI, BCRP, and SBS.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 Multiple Banking, Current Exchange Rate, 2017 as of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Inflation target: 2%, +/- 1%.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The international economy presents a very favorable context for 2018</w:t>
      </w:r>
    </w:p>
    <w:p>
      <w:pPr>
        <w:spacing w:after="0" w:line="229" w:lineRule="exact"/>
        <w:rPr>
          <w:sz w:val="20"/>
          <w:szCs w:val="20"/>
          <w:color w:val="auto"/>
        </w:rPr>
      </w:pPr>
    </w:p>
    <w:p>
      <w:pPr>
        <w:ind w:left="880" w:hanging="49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IMF recently revised their world GDP growth forecasts for 2018 upwards from 3.7% to 3.9% (fastest expansion in 7 years).</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of copper stands around USD/lb. 3.20 (increase of almost 60% compared to two years ago) and Zinc stands at its highest price in almost 10 years.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political noise, this year´s GDP growth should top that of 2017 (2.4%) due to a favorable international environment and Monetary and Fiscal counter-cyclical policies:</w:t>
      </w:r>
    </w:p>
    <w:p>
      <w:pPr>
        <w:spacing w:after="0" w:line="170" w:lineRule="exact"/>
        <w:rPr>
          <w:sz w:val="20"/>
          <w:szCs w:val="20"/>
          <w:color w:val="auto"/>
        </w:rPr>
      </w:pPr>
    </w:p>
    <w:p>
      <w:pPr>
        <w:ind w:left="880" w:hanging="49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Central Bank has lowered its reference rate 125bps in the last 10 months.</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Public investment is expected to grow more than 10% this year after a 10% YoY contraction in real terms during 1H17.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estimates suggest GDP and Domestic Demand will grow around 3.5% in 2018. Hence, Peru will out-perform the main economies of the region (Brazil, Mexico, Argentina, Colombia and Chile).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according to our estimates, annual inflation should continue to decelerate and is expected to fall below 1% YoY towards 1Q18 due to the supply-side shock reversal after the El Niño Phenomenon. Thereafter, inflation should rebound gradually to close the year close to 2.5%.</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since April of 2017, the Central Bank has lowered its reference rate by 125bps, from 4.25% to 3.00%. The Central Bank will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likely opt for another rate cut of 25bps.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in the short term, appreciation pressures on the Peruvian Sol are expected to continue due to current metal prices and sound external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This year, the Trade Surplus should reach its highest level since 2012. Towards the end of year, we expect the exchange rate to stand between USDPEN 3.20-3.25 as the FED raises its policy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154940</wp:posOffset>
            </wp:positionV>
            <wp:extent cx="3953510" cy="14408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5351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Source: INEI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4Q17, our estimates suggest GDP advanced 2.3% YoY. Primary sectors registered a 2.0% YoY contraction due to the suspension in the second anchovy fishing season. In contrast, non-primary sectors posted a moderate acceleration of 3.4% YoY (the highest print in 12 quarters) due to an advance of almost 10% YoY in the construction sector (public investment by the general government advanced 12.2% YoY).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2017 GDP grew around 2.4% (2016: 4.0%) due to the effects of El Niño Phenomenon, the LavaJato corruption scandal and political turmoil.</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154940</wp:posOffset>
            </wp:positionV>
            <wp:extent cx="3799205" cy="1826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9920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Source: INEI, BCRP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Annual inflation closed 4Q17 at 1.4% (2016: 3.2%), the lowest level in 8 years, and below the mid-point of the target range from the Central Bank (2.0% +/-1pp.). This year’s result is attributable to an advance of only 0.3% in the Food and Beverage group, the lowest rate of increase in 16 years. In parallel, core inflation stood at 2.2% (2016: 2.9%).</w:t>
      </w:r>
    </w:p>
    <w:p>
      <w:pPr>
        <w:spacing w:after="0" w:line="1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154940</wp:posOffset>
            </wp:positionV>
            <wp:extent cx="3198495" cy="18611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9849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Source: Central Bank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fiscal deficit stood at 3.2% of GDP in 2017. In 4Q17 fiscal revenues of the General Government increased 8.4% in real terms, the highest increase in 19 quarters due to the improvement in terms of trade. Moreover, after a 10.1% YoY contraction in 1H17, in 4Q17 public investment by the General Government grew 12.2% in real terms.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November of 2017, the 12-month-rolling trade balance registered a surplus of USD 6,222 million (maximum level in 5 years due to an increase in metal prices and higher copper production). In the first 11 months of the year, exports grew 23% YoY while imports increased 10% YoY.</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154940</wp:posOffset>
            </wp:positionV>
            <wp:extent cx="3087370" cy="1689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8737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Source: Bloomberg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Towards the end of December the exchange rate increased and reached USDPEN 3.30 due to the Presidential Vacancy motion. After Congress denied the approval of the motion, the exchange rate closed 2017 at USDPEN 3.238. In this context, the Peruvian Sol appreciated 3.5% compared to 2016’s closing figure of 3.356.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Central Bank made net purchases of USD 5,246 million (the highest rhythm since 2012) with the objective of easing the appreciation pressure on the Peruvian Sol in a context marked by a strong trade surplus and a 32% increase in the price of copper.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line="5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Credicorp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As of</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ind w:left="50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 16</w:t>
            </w:r>
          </w:p>
        </w:tc>
        <w:tc>
          <w:tcPr>
            <w:tcW w:w="12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Sep 17</w:t>
            </w: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 17</w:t>
            </w:r>
          </w:p>
        </w:tc>
        <w:tc>
          <w:tcPr>
            <w:tcW w:w="1280" w:type="dxa"/>
            <w:vAlign w:val="bottom"/>
            <w:gridSpan w:val="4"/>
          </w:tcPr>
          <w:p>
            <w:pPr>
              <w:ind w:left="140"/>
              <w:spacing w:after="0"/>
              <w:rPr>
                <w:sz w:val="20"/>
                <w:szCs w:val="20"/>
                <w:color w:val="auto"/>
              </w:rPr>
            </w:pPr>
            <w:r>
              <w:rPr>
                <w:rFonts w:ascii="Arial" w:cs="Arial" w:eastAsia="Arial" w:hAnsi="Arial"/>
                <w:sz w:val="18"/>
                <w:szCs w:val="18"/>
                <w:b w:val="1"/>
                <w:bCs w:val="1"/>
                <w:color w:val="auto"/>
              </w:rPr>
              <w:t>QoQ</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4,064,118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4,557,709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Interest bearing</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23,432,508</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22,822,994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25,311,125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Total cash and due from banks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27,496,626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27,380,703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30,350,727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4,474,118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5,010,358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4,549,050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94,780,539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95,142,268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100,477,774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92,161,691</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92,268,197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97,458,552</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2,618,848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2,874,071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Less - allowance for loan losses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(4,207,133)</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(4,419,769)</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(4,500,498)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90,573,406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90,722,499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95,977,276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available for sale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18,637,050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26,380,715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24,437,263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Investments held to maturity</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5,118,419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4,267,588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4,429,599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454,187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691,786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643,224</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602,291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656,829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1,712,189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491,139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512,833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532,034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700,390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690,661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708,873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5,938,776</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7,460,731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6,506,586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Total assets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156,239,524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165,351,806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170,506,746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23,341,517</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24,506,234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24,193,949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62,778,338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68,387,681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72,976,462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86,119,855</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92,893,915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97,170,411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BCRP instruments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11,265,406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8,107,103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9,286,032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29"/>
                <w:szCs w:val="29"/>
                <w:b w:val="1"/>
                <w:bCs w:val="1"/>
                <w:color w:val="auto"/>
                <w:vertAlign w:val="superscript"/>
              </w:rPr>
              <w:t>(3)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7,562,947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8,867,185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7,996,889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Bonds and subordinated debt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15,962,810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15,236,054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16,242,257</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491,139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532,034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937,996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1,180,852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5,851,207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Reinsurance payable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408,588</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411,874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397,553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7,523,067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9,629,246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9,184,107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liabilities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136,123,015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142,912,039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148,253,043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Net equity</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19,656,133</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21,964,556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21,756,568</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(209,322)</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(208,968)</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(208,937)</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280,875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271,948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13,539,091</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15,883,350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14,647,709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1,209,730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1,496,389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3,516,766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3,203,668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4,271,260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460,376</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475,211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497,135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equity</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20,116,509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22,439,767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22,253,703</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156,239,524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165,351,806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170,506,746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64,371,110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65,810,312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65,840,952</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19,831,985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18,363,023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19,369,559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Total unutilized credit lines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25,812,963</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24,266,177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23,553,406</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derivates (notional) and others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18,726,162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23,181,112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22,917,987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JV between Grupo Pacifico and Banmedica.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Mainly includes receivables, goodwill, tax credit, and others.</w:t>
      </w:r>
    </w:p>
    <w:p>
      <w:pPr>
        <w:sectPr>
          <w:pgSz w:w="11900" w:h="16888" w:orient="portrait"/>
          <w:cols w:equalWidth="0" w:num="1">
            <w:col w:w="11420"/>
          </w:cols>
          <w:pgMar w:left="240" w:top="904" w:right="239" w:bottom="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(3) Figures differ from previously reported, please consider the data presented on this report.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4Q16</w:t>
            </w: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3Q17</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4Q17</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QoQ</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YoY</w:t>
            </w: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2,784,031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2,768,798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2,832,384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10,742,216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11,056,862</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(740,609)</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(744,282)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(766,410)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(2,864,185)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(2,985,375)</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2,043,422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2,024,516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2,065,974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7,878,031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8,071,487</w:t>
            </w:r>
          </w:p>
        </w:tc>
        <w:tc>
          <w:tcPr>
            <w:tcW w:w="20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(459,261)</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(378,202)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(441,250)</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(1,785,495)</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(1,789,165)</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Fee income </w:t>
            </w:r>
            <w:r>
              <w:rPr>
                <w:rFonts w:ascii="Arial" w:cs="Arial" w:eastAsia="Arial" w:hAnsi="Arial"/>
                <w:sz w:val="21"/>
                <w:szCs w:val="21"/>
                <w:color w:val="auto"/>
                <w:vertAlign w:val="superscript"/>
              </w:rPr>
              <w:t>(1)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711,756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719,539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783,976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2,777,375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2,906,547</w:t>
            </w:r>
          </w:p>
        </w:tc>
        <w:tc>
          <w:tcPr>
            <w:tcW w:w="2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Net gains on foreign exchange transactions </w:t>
            </w:r>
            <w:r>
              <w:rPr>
                <w:rFonts w:ascii="Arial" w:cs="Arial" w:eastAsia="Arial" w:hAnsi="Arial"/>
                <w:sz w:val="21"/>
                <w:szCs w:val="21"/>
                <w:color w:val="auto"/>
                <w:vertAlign w:val="superscript"/>
              </w:rPr>
              <w:t>(2)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174,530</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150,777</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172,709</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679,274</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650,228</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gains on sales of securities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27,667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346,122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237,705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759.2%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312,609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724,799</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Net gains from associates </w:t>
            </w:r>
            <w:r>
              <w:rPr>
                <w:rFonts w:ascii="Arial" w:cs="Arial" w:eastAsia="Arial" w:hAnsi="Arial"/>
                <w:sz w:val="21"/>
                <w:szCs w:val="21"/>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4,747</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10,145</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16,216</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Net gains on derivatives </w:t>
            </w:r>
            <w:r>
              <w:rPr>
                <w:rFonts w:ascii="Arial" w:cs="Arial" w:eastAsia="Arial" w:hAnsi="Arial"/>
                <w:sz w:val="21"/>
                <w:szCs w:val="21"/>
                <w:color w:val="auto"/>
                <w:vertAlign w:val="superscript"/>
              </w:rPr>
              <w:t>(4)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46,920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25,713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8,213</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18,997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103,580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3010.9%</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(42,189)</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17,394</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53,758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44,733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69,249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206,850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252,497</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 non-financial income, net</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1,016,276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1,290,384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1,278,590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3,963,061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4,671,261</w:t>
            </w:r>
          </w:p>
        </w:tc>
        <w:tc>
          <w:tcPr>
            <w:tcW w:w="20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472,111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473,457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470,837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1,850,202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1,875,973</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claims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(297,576)</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(275,722)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(283,354)</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(1,098,905)</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(1,118,305)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(63,333)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(74,776)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(66,141)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(239,490)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(264,643)</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111,202</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122,959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121,342</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511,807</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493,025</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social benefits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(717,062)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(760,441)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(804,067)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(2,935,842)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(3,064,273)</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(607,628)</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(534,204)</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(601,846)</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(2,101,579)</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(2,165,570)</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(114,489)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(114,799)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(117,414)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(455,298)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(462,058)</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(49,766)</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(35,693)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(42,912)</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(184,971)</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(179,773)</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(1,488,945)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(1,445,137)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(1,566,239)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(5,677,690)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(5,871,674)</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1,222,694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1,614,520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1,458,417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19.3%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4,889,714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5,574,934</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(304,980)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(371,563)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(371,284)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(1,279,734)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(1,393,286)</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917,714</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1,242,957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1,087,133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3,609,980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4,181,648</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22,747</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24,656</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23,475</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95,398</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89,895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894,967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1,218,301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1,063,658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3,514,582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4,091,753</w:t>
            </w: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ind w:left="66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 16</w:t>
            </w: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Sep 17</w:t>
            </w:r>
          </w:p>
        </w:tc>
        <w:tc>
          <w:tcPr>
            <w:tcW w:w="124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 17</w:t>
            </w:r>
          </w:p>
        </w:tc>
        <w:tc>
          <w:tcPr>
            <w:tcW w:w="1480" w:type="dxa"/>
            <w:vAlign w:val="bottom"/>
            <w:gridSpan w:val="4"/>
          </w:tcPr>
          <w:p>
            <w:pPr>
              <w:ind w:left="20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25,373,294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25,402,782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28,882,496</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22,406,846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23,291,176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26,258,886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2,858,381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2,085,811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2,450,994</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Trading securities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2,423,697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2,932,379</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2,127,933</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86,721,199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86,209,416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91,598,235</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84,205,084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83,454,177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88,700,394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2,516,115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2,755,239</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2,897,841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(4,003,673)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(4,193,824)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(4,273,613)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82,717,526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82,015,592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87,324,622</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Investment available for sale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7,023,769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14,342,250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12,051,088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4,798,008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3,942,207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4,084,680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1,541,596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1,430,994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1,436,417</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491,139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512,833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532,034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3,118,227</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3,319,191</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3,219,397</w:t>
            </w: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127,487,256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133,898,228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139,658,667</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NET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74,325,160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81,675,702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85,506,358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24,592,746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26,282,548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26,146,487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24,791,329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24,975,134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26,793,277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17,690,323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23,620,907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25,199,406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7,117,685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6,609,242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7,170,934</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11,265,406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8,107,103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9,286,032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8,296,814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9,302,864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8,264,139</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14,551,570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14,254,656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15,451,019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491,139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512,833</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532,034</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4,612,233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5,266,931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5,068,258</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Total liabilities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113,542,322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119,120,089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124,107,840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13,795,609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14,632,576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15,398,256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7,639,962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7,639,962</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3,666,632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3,666,632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19,205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54,952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70,045</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1,007,086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2,936,427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2,263,944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3,014,531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149,325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145,563</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152,571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13,944,934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14,778,139</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15,550,827</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NET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127,487,256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133,898,228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139,658,667</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52,135,513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53,694,069</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53,783,183</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45"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4Q16</w:t>
            </w: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3Q17</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4Q17</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QoQ</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YoY</w:t>
            </w:r>
          </w:p>
        </w:tc>
        <w:tc>
          <w:tcPr>
            <w:tcW w:w="680" w:type="dxa"/>
            <w:vAlign w:val="bottom"/>
          </w:tcPr>
          <w:p>
            <w:pPr>
              <w:jc w:val="right"/>
              <w:ind w:right="88"/>
              <w:spacing w:after="0" w:line="202" w:lineRule="exact"/>
              <w:rPr>
                <w:sz w:val="20"/>
                <w:szCs w:val="20"/>
                <w:color w:val="auto"/>
              </w:rPr>
            </w:pPr>
            <w:r>
              <w:rPr>
                <w:rFonts w:ascii="Arial" w:cs="Arial" w:eastAsia="Arial" w:hAnsi="Arial"/>
                <w:sz w:val="14"/>
                <w:szCs w:val="14"/>
                <w:b w:val="1"/>
                <w:bCs w:val="1"/>
                <w:color w:val="auto"/>
                <w:w w:val="92"/>
              </w:rPr>
              <w:t xml:space="preserve">2016 </w:t>
            </w:r>
            <w:r>
              <w:rPr>
                <w:rFonts w:ascii="Arial" w:cs="Arial" w:eastAsia="Arial" w:hAnsi="Arial"/>
                <w:sz w:val="23"/>
                <w:szCs w:val="23"/>
                <w:b w:val="1"/>
                <w:bCs w:val="1"/>
                <w:color w:val="auto"/>
                <w:w w:val="92"/>
                <w:vertAlign w:val="superscript"/>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2,481,920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2,448,857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2,514,877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9,563,216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9,797,475</w:t>
            </w:r>
          </w:p>
        </w:tc>
        <w:tc>
          <w:tcPr>
            <w:tcW w:w="20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(666,278)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(659,316)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(673,190)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(2,581,800)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(2,661,717)</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1,815,642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1,789,541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1,841,687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6,981,416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7,135,758</w:t>
            </w:r>
          </w:p>
        </w:tc>
        <w:tc>
          <w:tcPr>
            <w:tcW w:w="20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(447,452)</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(349,597)</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(422,722)</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(1,728,424)</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(1,712,369)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563,857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588,762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612,219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2,202,913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2,337,201</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Net gains on foreign exchange transactions </w:t>
            </w:r>
            <w:r>
              <w:rPr>
                <w:rFonts w:ascii="Arial" w:cs="Arial" w:eastAsia="Arial" w:hAnsi="Arial"/>
                <w:sz w:val="21"/>
                <w:szCs w:val="21"/>
                <w:color w:val="auto"/>
                <w:vertAlign w:val="superscript"/>
              </w:rPr>
              <w:t>(2)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161,495</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152,473</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164,307</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642,595</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621,222</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gains on sales of securities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20,413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5,559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36,799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68,714</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Net gains on derivatives </w:t>
            </w:r>
            <w:r>
              <w:rPr>
                <w:rFonts w:ascii="Arial" w:cs="Arial" w:eastAsia="Arial" w:hAnsi="Arial"/>
                <w:sz w:val="21"/>
                <w:szCs w:val="21"/>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43,038</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17,092</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17,566</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41,057</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106,328</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-2098.7%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(28,784)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20,871</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Income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17,661</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19,542</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38,625</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118.7%</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75,900</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144,948</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788,204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801,377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844,412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2,970,480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3,299,284</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Salaries and social benefits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(545,065)</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(576,407)</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(588,871)</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(2,254,919)</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(2,315,465)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(494,360)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(419,409)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(502,271)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(1,688,730)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(1,748,196)</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(86,158)</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(88,049)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(90,422)</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(347,333)</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(354,376)</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(36,043)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(28,175)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(21,545)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(113,340)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(123,019)</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(1,161,626)</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(1,112,040)</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(1,203,109)</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(4,404,322)</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(4,541,056)</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994,768</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1,129,281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1,060,268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3,819,150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4,181,617</w:t>
            </w:r>
          </w:p>
        </w:tc>
        <w:tc>
          <w:tcPr>
            <w:tcW w:w="20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(226,085)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(313,591)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(302,582)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(989,063)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(1,144,688)</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(5,887)</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(6,693)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(7,099)</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(18,241)</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(22,398)</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762,796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808,997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750,587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2,811,846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3,014,531</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Net income discontinuing operations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124,581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762,796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808,997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750,587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2,936,427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3,014,531</w:t>
            </w: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presented on this report.</w:t>
      </w:r>
    </w:p>
    <w:p>
      <w:pPr>
        <w:spacing w:after="0" w:line="23"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Since 1Q17, “Net gain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ind w:left="760"/>
              <w:spacing w:after="0"/>
              <w:rPr>
                <w:sz w:val="20"/>
                <w:szCs w:val="20"/>
                <w:color w:val="auto"/>
              </w:rPr>
            </w:pPr>
            <w:r>
              <w:rPr>
                <w:rFonts w:ascii="Arial" w:cs="Arial" w:eastAsia="Arial" w:hAnsi="Arial"/>
                <w:sz w:val="18"/>
                <w:szCs w:val="18"/>
                <w:b w:val="1"/>
                <w:bCs w:val="1"/>
                <w:color w:val="auto"/>
              </w:rPr>
              <w:t>Year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rPr>
              <w:t>4Q16</w:t>
            </w: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3Q17</w:t>
            </w: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4Q17</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0.096</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0.370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0.380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efficiency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(6)</w:t>
            </w: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 regulatory capital (S/ Million)</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15,859</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16,841</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16,398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11,811</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 of outstanding shares (Million)</w:t>
            </w:r>
          </w:p>
        </w:tc>
        <w:tc>
          <w:tcPr>
            <w:tcW w:w="800" w:type="dxa"/>
            <w:vAlign w:val="bottom"/>
          </w:tcPr>
          <w:p>
            <w:pPr>
              <w:jc w:val="right"/>
              <w:spacing w:after="0"/>
              <w:rPr>
                <w:sz w:val="20"/>
                <w:szCs w:val="20"/>
                <w:color w:val="auto"/>
              </w:rPr>
            </w:pPr>
            <w:r>
              <w:rPr>
                <w:rFonts w:ascii="Arial" w:cs="Arial" w:eastAsia="Arial" w:hAnsi="Arial"/>
                <w:sz w:val="18"/>
                <w:szCs w:val="18"/>
                <w:color w:val="auto"/>
              </w:rPr>
              <w:t>7,933.34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7,933.34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7,933.34</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7,933.34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7,934.34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outstanding of 7,933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820" w:firstLine="8"/>
        <w:spacing w:after="0" w:line="281"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firstLine="8"/>
        <w:spacing w:after="0" w:line="250"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11.3 Mibanco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ind w:left="380"/>
              <w:spacing w:after="0"/>
              <w:rPr>
                <w:sz w:val="20"/>
                <w:szCs w:val="20"/>
                <w:color w:val="auto"/>
              </w:rPr>
            </w:pPr>
            <w:r>
              <w:rPr>
                <w:rFonts w:ascii="Arial" w:cs="Arial" w:eastAsia="Arial" w:hAnsi="Arial"/>
                <w:sz w:val="14"/>
                <w:szCs w:val="14"/>
                <w:b w:val="1"/>
                <w:bCs w:val="1"/>
                <w:color w:val="auto"/>
              </w:rPr>
              <w:t>% change</w:t>
            </w:r>
          </w:p>
        </w:tc>
        <w:tc>
          <w:tcPr>
            <w:tcW w:w="960" w:type="dxa"/>
            <w:vAlign w:val="bottom"/>
            <w:gridSpan w:val="3"/>
          </w:tcPr>
          <w:p>
            <w:pPr>
              <w:ind w:left="60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 16</w:t>
            </w: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Sep 17</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17</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YoY</w:t>
            </w: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2017/2016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919,379</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1,062,337</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913,878</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919,379</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913,878</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1,684,657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1,891,857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2,058,284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1,684,657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2,058,284</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 loans</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8,712,491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9,126,393</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9,470,787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8,712,491</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9,470,787</w:t>
            </w:r>
          </w:p>
        </w:tc>
        <w:tc>
          <w:tcPr>
            <w:tcW w:w="22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Current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8,227,774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8,579,731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8,890,434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8,227,774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8,890,434</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Internal overdue loans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382,806</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425,163</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442,986</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382,806</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442,986</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Refinanced loans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121,499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137,367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101,911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137,367</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Less - allowance for loan losses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(744,117)</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(831,710)</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(863,888)</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(744,117)</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(863,888)</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7,968,374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8,294,683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8,606,900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7,968,374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8,606,900</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221,313</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194,425</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190,714</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221,313</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190,714</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441,171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560,223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593,199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441,171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593,199</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1660"/>
              <w:spacing w:after="0" w:line="149" w:lineRule="exact"/>
              <w:rPr>
                <w:sz w:val="20"/>
                <w:szCs w:val="20"/>
                <w:color w:val="auto"/>
              </w:rPr>
            </w:pPr>
            <w:r>
              <w:rPr>
                <w:rFonts w:ascii="Arial" w:cs="Arial" w:eastAsia="Arial" w:hAnsi="Arial"/>
                <w:sz w:val="14"/>
                <w:szCs w:val="14"/>
                <w:b w:val="1"/>
                <w:bCs w:val="1"/>
                <w:color w:val="auto"/>
              </w:rPr>
              <w:t>Total assets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11,234,895</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12,003,526</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12,362,975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11,234,895</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12,362,975</w:t>
            </w:r>
          </w:p>
        </w:tc>
        <w:tc>
          <w:tcPr>
            <w:tcW w:w="22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6,451,996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7,020,563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7,485,390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6,451,996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7,485,390</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1,777,790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1,936,049</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1,910,329</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1,777,790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1,910,329</w:t>
            </w:r>
          </w:p>
        </w:tc>
        <w:tc>
          <w:tcPr>
            <w:tcW w:w="2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761,279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642,441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467,556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761,279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467,556</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667,200</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829,033</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803,217</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667,200</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803,217</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1560"/>
              <w:spacing w:after="0" w:line="149" w:lineRule="exact"/>
              <w:rPr>
                <w:sz w:val="20"/>
                <w:szCs w:val="20"/>
                <w:color w:val="auto"/>
              </w:rPr>
            </w:pPr>
            <w:r>
              <w:rPr>
                <w:rFonts w:ascii="Arial" w:cs="Arial" w:eastAsia="Arial" w:hAnsi="Arial"/>
                <w:sz w:val="14"/>
                <w:szCs w:val="14"/>
                <w:b w:val="1"/>
                <w:bCs w:val="1"/>
                <w:color w:val="auto"/>
              </w:rPr>
              <w:t>Total liabilities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9,658,266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10,428,087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10,666,492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9,658,266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10,666,492</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1,576,629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1,575,439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1,696,483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1,576,629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1,696,483</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11,234,895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12,003,526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12,362,975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11,234,895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12,362,975</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436,082</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462,950</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486,849</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1,627,817</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1,828,789</w:t>
            </w:r>
          </w:p>
        </w:tc>
        <w:tc>
          <w:tcPr>
            <w:tcW w:w="2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(73,064)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(86,260)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(101,993)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(273,715)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(398,158)</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13,900</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24,147</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22,350</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60.8%</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39,610</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96,619</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(244,154)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(237,317)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(237,687)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(956,641)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(982,311)</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132,764</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163,520</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169,518</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437,071</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544,940</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(28,728)</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(44,960)</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(46,982)</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63.5%</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(101,066)</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(145,843)</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104,035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118,560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122,537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336,004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399,097</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L/D ratio</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126.5%</w:t>
            </w: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9"/>
              </w:rPr>
              <w:t>-350 bps</w:t>
            </w: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9"/>
              </w:rPr>
              <w:t>-850 bps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135.0%</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126.5%</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 bps</w:t>
            </w:r>
          </w:p>
        </w:tc>
        <w:tc>
          <w:tcPr>
            <w:tcW w:w="9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 bps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10 bps</w:t>
            </w: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50 bps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 bps</w:t>
            </w:r>
          </w:p>
        </w:tc>
        <w:tc>
          <w:tcPr>
            <w:tcW w:w="9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 bps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152.1%</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w:t>
            </w: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9"/>
              </w:rPr>
              <w:t>-320 bps</w:t>
            </w: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9"/>
              </w:rPr>
              <w:t>-460 bps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153.5%</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148.9%</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-120 bps</w:t>
            </w:r>
          </w:p>
        </w:tc>
        <w:tc>
          <w:tcPr>
            <w:tcW w:w="9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270 bps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ROAE incl. goodwill</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9"/>
              </w:rPr>
              <w:t>-100 bps</w:t>
            </w: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260 bps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45.2%</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-320 bps</w:t>
            </w:r>
          </w:p>
        </w:tc>
        <w:tc>
          <w:tcPr>
            <w:tcW w:w="9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-770 bps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316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324</w:t>
            </w:r>
          </w:p>
        </w:tc>
        <w:tc>
          <w:tcPr>
            <w:tcW w:w="2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10,139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10,061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10,222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10,139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Figures differ from previously reported. Since 1Q17, Net gain on Derivatives is excluded from Net Interest Income (NII) and translation result is reported as Non-financial income. Data for 4Q16 has been adjusted to allow comparisons.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Banco de la Nacion branches, which in 4Q16 were 39, in 3Q17 were 39 and in 4Q17 were 38.</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11.4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54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 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Sep 17</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 17</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QoQ</w:t>
            </w:r>
          </w:p>
        </w:tc>
        <w:tc>
          <w:tcPr>
            <w:tcW w:w="10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YoY</w:t>
            </w: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2017 /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Cash and due from banks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1,441,023</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1,496,787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1,400,145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1,441,023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1,400,145</w:t>
            </w:r>
          </w:p>
        </w:tc>
        <w:tc>
          <w:tcPr>
            <w:tcW w:w="22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1,104,465</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1,233,424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1,483,091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1,104,465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1,483,091</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5,485,685</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6,203,300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6,308,626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5,485,685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6,308,626</w:t>
            </w:r>
          </w:p>
        </w:tc>
        <w:tc>
          <w:tcPr>
            <w:tcW w:w="22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5,360,895</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6,062,137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6,167,449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5,360,895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6,167,449</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98,544</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115,241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118,327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98,544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118,327</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Refinanced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26,245</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22,850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22,850</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Less - allowance for loan losses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-198,089</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-218,838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-219,294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-198,089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-219,294</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5,287,596</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5,984,461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6,089,332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5,287,596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6,089,332</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25,781</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56,094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56,034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25,781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56,034</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90,320</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80,790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89,761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89,761</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ind w:left="1680"/>
              <w:spacing w:after="0" w:line="149" w:lineRule="exact"/>
              <w:rPr>
                <w:sz w:val="20"/>
                <w:szCs w:val="20"/>
                <w:color w:val="auto"/>
              </w:rPr>
            </w:pPr>
            <w:r>
              <w:rPr>
                <w:rFonts w:ascii="Arial" w:cs="Arial" w:eastAsia="Arial" w:hAnsi="Arial"/>
                <w:sz w:val="14"/>
                <w:szCs w:val="14"/>
                <w:b w:val="1"/>
                <w:bCs w:val="1"/>
                <w:color w:val="auto"/>
              </w:rPr>
              <w:t>Total assets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7,949,185</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8,851,556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9,118,363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7,949,185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9,118,363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6,837,076</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7,819,169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7,979,275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6,837,076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7,979,275</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167,954</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39,639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104,448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167,954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104,448</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Bonds and subordinated debt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104,201</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101,822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104,201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101,312</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Other liabilities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219,290</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264,757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296,652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219,290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296,652</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ind w:left="1580"/>
              <w:spacing w:after="0" w:line="149" w:lineRule="exact"/>
              <w:rPr>
                <w:sz w:val="20"/>
                <w:szCs w:val="20"/>
                <w:color w:val="auto"/>
              </w:rPr>
            </w:pPr>
            <w:r>
              <w:rPr>
                <w:rFonts w:ascii="Arial" w:cs="Arial" w:eastAsia="Arial" w:hAnsi="Arial"/>
                <w:sz w:val="14"/>
                <w:szCs w:val="14"/>
                <w:b w:val="1"/>
                <w:bCs w:val="1"/>
                <w:color w:val="auto"/>
              </w:rPr>
              <w:t>Total liabilities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7,328,520</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8,225,387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8,481,687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7,328,520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8,481,687</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equity</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620,665</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626,170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636,676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620,665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636,676</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LIABILITIES AND NET SHAREHOLDERS' EQUITY</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7,949,185</w:t>
            </w:r>
          </w:p>
        </w:tc>
        <w:tc>
          <w:tcPr>
            <w:tcW w:w="2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89"/>
              </w:rPr>
              <w:t>8,851,556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89"/>
              </w:rPr>
              <w:t>9,118,363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7,949,185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89"/>
              </w:rPr>
              <w:t>9,118,363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400"/>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56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3Q17</w:t>
            </w:r>
          </w:p>
        </w:tc>
        <w:tc>
          <w:tcPr>
            <w:tcW w:w="24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4Q17</w:t>
            </w:r>
          </w:p>
        </w:tc>
        <w:tc>
          <w:tcPr>
            <w:tcW w:w="24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2017 /2016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79,510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78,294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79,937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300,012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314,963</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-10,379</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-27,479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-50,083</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-71,457</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69,132</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50,814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63,104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249,929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243,507</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Non-financial income</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33,141</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29,257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123,659</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115,343</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-66,959</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-60,730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-64,028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-239,501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-243,584</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Translation result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-16,582</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-8,888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-53,059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-39,736</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18,534</w:t>
            </w: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10,371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18,755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80,703</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75,390</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L/D ratio</w:t>
            </w:r>
          </w:p>
        </w:tc>
        <w:tc>
          <w:tcPr>
            <w:tcW w:w="80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80.2%</w:t>
            </w:r>
          </w:p>
        </w:tc>
        <w:tc>
          <w:tcPr>
            <w:tcW w:w="900" w:type="dxa"/>
            <w:vAlign w:val="bottom"/>
            <w:tcBorders>
              <w:top w:val="single" w:sz="8" w:color="CCEEFF"/>
            </w:tcBorders>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79.3%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79.1%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3"/>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-27 bps</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gridSpan w:val="4"/>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88"/>
              </w:rPr>
              <w:t>-117 bps</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Internal overdue ratio</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9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 bps</w:t>
            </w:r>
          </w:p>
        </w:tc>
        <w:tc>
          <w:tcPr>
            <w:tcW w:w="100" w:type="dxa"/>
            <w:vAlign w:val="bottom"/>
          </w:tcPr>
          <w:p>
            <w:pPr>
              <w:spacing w:after="0"/>
              <w:rPr>
                <w:sz w:val="12"/>
                <w:szCs w:val="12"/>
                <w:color w:val="auto"/>
              </w:rPr>
            </w:pPr>
          </w:p>
        </w:tc>
        <w:tc>
          <w:tcPr>
            <w:tcW w:w="8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8 bps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 bps</w:t>
            </w:r>
          </w:p>
        </w:tc>
        <w:tc>
          <w:tcPr>
            <w:tcW w:w="10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 bps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Coverage of internal overdue ratio</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201.0%</w:t>
            </w:r>
          </w:p>
        </w:tc>
        <w:tc>
          <w:tcPr>
            <w:tcW w:w="9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189.9%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-457 bps</w:t>
            </w:r>
          </w:p>
        </w:tc>
        <w:tc>
          <w:tcPr>
            <w:tcW w:w="940" w:type="dxa"/>
            <w:vAlign w:val="bottom"/>
            <w:gridSpan w:val="6"/>
          </w:tcPr>
          <w:p>
            <w:pPr>
              <w:jc w:val="right"/>
              <w:ind w:right="340"/>
              <w:spacing w:after="0" w:line="149" w:lineRule="exact"/>
              <w:rPr>
                <w:sz w:val="20"/>
                <w:szCs w:val="20"/>
                <w:color w:val="auto"/>
              </w:rPr>
            </w:pPr>
            <w:r>
              <w:rPr>
                <w:rFonts w:ascii="Arial" w:cs="Arial" w:eastAsia="Arial" w:hAnsi="Arial"/>
                <w:sz w:val="14"/>
                <w:szCs w:val="14"/>
                <w:color w:val="auto"/>
                <w:w w:val="93"/>
              </w:rPr>
              <w:t>-1569 bps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158.7%</w:t>
            </w: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 bps</w:t>
            </w:r>
          </w:p>
        </w:tc>
        <w:tc>
          <w:tcPr>
            <w:tcW w:w="10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-341 bps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Efficiency ratio</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57.8%</w:t>
            </w:r>
          </w:p>
        </w:tc>
        <w:tc>
          <w:tcPr>
            <w:tcW w:w="9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853 bps</w:t>
            </w:r>
          </w:p>
        </w:tc>
        <w:tc>
          <w:tcPr>
            <w:tcW w:w="100" w:type="dxa"/>
            <w:vAlign w:val="bottom"/>
          </w:tcPr>
          <w:p>
            <w:pPr>
              <w:spacing w:after="0"/>
              <w:rPr>
                <w:sz w:val="12"/>
                <w:szCs w:val="12"/>
                <w:color w:val="auto"/>
              </w:rPr>
            </w:pPr>
          </w:p>
        </w:tc>
        <w:tc>
          <w:tcPr>
            <w:tcW w:w="8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w w:val="96"/>
              </w:rPr>
              <w:t>628 bps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517 bps</w:t>
            </w:r>
          </w:p>
        </w:tc>
        <w:tc>
          <w:tcPr>
            <w:tcW w:w="10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 bps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Branches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Agentes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49" w:lineRule="exact"/>
              <w:rPr>
                <w:sz w:val="20"/>
                <w:szCs w:val="20"/>
                <w:color w:val="auto"/>
              </w:rPr>
            </w:pPr>
            <w:r>
              <w:rPr>
                <w:rFonts w:ascii="Arial" w:cs="Arial" w:eastAsia="Arial" w:hAnsi="Arial"/>
                <w:sz w:val="14"/>
                <w:szCs w:val="14"/>
                <w:color w:val="auto"/>
              </w:rPr>
              <w:t>ATMs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1736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11.5  Credicorp Capital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Credicorp Capital</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4Q16</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3Q17</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4Q17</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9"/>
              </w:rPr>
              <w:t>2017 / 2016</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-1,887</w:t>
            </w:r>
          </w:p>
        </w:tc>
        <w:tc>
          <w:tcPr>
            <w:tcW w:w="2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-4,260</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-9,972</w:t>
            </w:r>
          </w:p>
        </w:tc>
        <w:tc>
          <w:tcPr>
            <w:tcW w:w="20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134.1%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428%</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2,130</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-12,001</w:t>
            </w:r>
          </w:p>
        </w:tc>
        <w:tc>
          <w:tcPr>
            <w:tcW w:w="22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-663.4%</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140,381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127,258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167,535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31.6%</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534,756</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569,156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109,409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94,802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131,440</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38.6%</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371,388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413,613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4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10,969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5,791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-232.4%</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31,963</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21,143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13,235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30,110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37,684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184.7%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122,819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123,408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4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Derivative Result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6,548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-8,979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-240.8%</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-237.1%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2,491</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Result from exposure to the exchange rate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53.4%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9"/>
        </w:trPr>
        <w:tc>
          <w:tcPr>
            <w:tcW w:w="4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2,449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173.6%</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7,244</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14,647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-111,060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-103,334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-129,152</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-415,752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-446,308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27,434</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19,664</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28,411</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44.5</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121,134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110,847</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4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taxes</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-10,669</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-2,396</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-12,647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427.8%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18.5%</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-31,480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-32,884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Non-controlling interest </w:t>
            </w:r>
            <w:r>
              <w:rPr>
                <w:rFonts w:ascii="Arial" w:cs="Arial" w:eastAsia="Arial" w:hAnsi="Arial"/>
                <w:sz w:val="23"/>
                <w:szCs w:val="23"/>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-174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-97</w:t>
            </w:r>
          </w:p>
        </w:tc>
        <w:tc>
          <w:tcPr>
            <w:tcW w:w="680" w:type="dxa"/>
            <w:vAlign w:val="bottom"/>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17"/>
                <w:szCs w:val="17"/>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87.6%</w:t>
            </w:r>
          </w:p>
        </w:tc>
        <w:tc>
          <w:tcPr>
            <w:tcW w:w="200" w:type="dxa"/>
            <w:vAlign w:val="bottom"/>
          </w:tcPr>
          <w:p>
            <w:pPr>
              <w:spacing w:after="0"/>
              <w:rPr>
                <w:sz w:val="17"/>
                <w:szCs w:val="17"/>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4.6%</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-10,709</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16,591</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17,171</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15,582</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78,945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77,289</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firstLine="8"/>
        <w:spacing w:after="0" w:line="250" w:lineRule="auto"/>
        <w:tabs>
          <w:tab w:leader="none" w:pos="2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Since 4Q17 Credicorp Capital Holding Colombia and Credicorp Capital Holding Chile have 100% percentage of Correval and IM Trust.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882.8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996.2</w:t>
            </w:r>
          </w:p>
        </w:tc>
        <w:tc>
          <w:tcPr>
            <w:tcW w:w="860" w:type="dxa"/>
            <w:vAlign w:val="bottom"/>
          </w:tcPr>
          <w:p>
            <w:pPr>
              <w:jc w:val="right"/>
              <w:spacing w:after="0"/>
              <w:rPr>
                <w:sz w:val="20"/>
                <w:szCs w:val="20"/>
                <w:color w:val="auto"/>
              </w:rPr>
            </w:pPr>
            <w:r>
              <w:rPr>
                <w:rFonts w:ascii="Arial" w:cs="Arial" w:eastAsia="Arial" w:hAnsi="Arial"/>
                <w:sz w:val="18"/>
                <w:szCs w:val="18"/>
                <w:color w:val="auto"/>
              </w:rPr>
              <w:t>1,000.5</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60" w:type="dxa"/>
            <w:vAlign w:val="bottom"/>
          </w:tcPr>
          <w:p>
            <w:pPr>
              <w:jc w:val="right"/>
              <w:spacing w:after="0"/>
              <w:rPr>
                <w:sz w:val="20"/>
                <w:szCs w:val="20"/>
                <w:color w:val="auto"/>
              </w:rPr>
            </w:pPr>
            <w:r>
              <w:rPr>
                <w:rFonts w:ascii="Arial" w:cs="Arial" w:eastAsia="Arial" w:hAnsi="Arial"/>
                <w:sz w:val="18"/>
                <w:szCs w:val="18"/>
                <w:color w:val="auto"/>
              </w:rPr>
              <w:t>1,665.9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1,610.1</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Sep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1,902</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1,965</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145.1%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1,726</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1,764</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1,783</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154940</wp:posOffset>
            </wp:positionV>
            <wp:extent cx="3095625" cy="1903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9562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Portfolio distribution as of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154940</wp:posOffset>
            </wp:positionV>
            <wp:extent cx="3215640" cy="1706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156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11.7  Grupo Pacifico</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Grupo Pacifico*</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4Q16</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3Q17</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4Q17</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w:t>
            </w: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10,159,623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11,013,777</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11,405,528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10,159,623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11,405,528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7,541,097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8,087,030</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8,425,042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7,541,097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8,425,042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6,804,124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7,263,527</w:t>
            </w:r>
          </w:p>
        </w:tc>
        <w:tc>
          <w:tcPr>
            <w:tcW w:w="2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7,488,839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6,804,124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7,488,839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2,191,185</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2,711,176</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2,849,527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2,191,185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2,849,527</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Quarterly income statement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481,337</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477,263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483,483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1,880,128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1,900,459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297,576</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275,721</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283,353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1,098,905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1,118,304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126,720</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125,169</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133,138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459,447</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513,501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13,458</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25,273</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20,580</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49,568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72,694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43,583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51,100</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46,412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272,208</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195,960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118,077</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143,191</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114,608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439,956</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503,094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103,949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110,345</w:t>
            </w:r>
          </w:p>
        </w:tc>
        <w:tc>
          <w:tcPr>
            <w:tcW w:w="2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118,347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403,845</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426,288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15,633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8,643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38,558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346.1%</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39,376</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65,013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861</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1,984</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-3,184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Gain (loss) from Grupo Pacífico and Banmédica</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1,581</w:t>
            </w:r>
          </w:p>
        </w:tc>
        <w:tc>
          <w:tcPr>
            <w:tcW w:w="780" w:type="dxa"/>
            <w:vAlign w:val="bottom"/>
          </w:tcPr>
          <w:p>
            <w:pPr>
              <w:jc w:val="right"/>
              <w:spacing w:after="0"/>
              <w:rPr>
                <w:sz w:val="20"/>
                <w:szCs w:val="20"/>
                <w:color w:val="auto"/>
              </w:rPr>
            </w:pPr>
            <w:r>
              <w:rPr>
                <w:rFonts w:ascii="Arial" w:cs="Arial" w:eastAsia="Arial" w:hAnsi="Arial"/>
                <w:sz w:val="14"/>
                <w:szCs w:val="14"/>
                <w:color w:val="auto"/>
              </w:rPr>
              <w:t>-528</w:t>
            </w:r>
          </w:p>
        </w:tc>
        <w:tc>
          <w:tcPr>
            <w:tcW w:w="2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4,747</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-999.3%</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200.3%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10,145</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16,216</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13,774</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10,440</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2,573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51,393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28,480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62,013</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83,605</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81,551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303,264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325,008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7,550</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-13,627</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32,786</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6,629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54,462</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97,232</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80,003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270,478</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318,378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-40 bps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61.8%</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57.8%</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58.6%</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color w:val="auto"/>
              </w:rPr>
              <w:t>80 bps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-320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47.9%</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-940 bps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Fees + underwriting expenses, net / net earned</w:t>
            </w: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31.8%</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30 bps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-110 bps</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140 bps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9.5%</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color w:val="auto"/>
              </w:rPr>
              <w:t>-150 bps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220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12.6%</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-400 bps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 bps</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 xml:space="preserve">Combined ratio of P&amp;C </w:t>
            </w:r>
            <w:r>
              <w:rPr>
                <w:rFonts w:ascii="Arial" w:cs="Arial" w:eastAsia="Arial" w:hAnsi="Arial"/>
                <w:sz w:val="23"/>
                <w:szCs w:val="23"/>
                <w:color w:val="auto"/>
                <w:vertAlign w:val="superscript"/>
              </w:rPr>
              <w:t>(5)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97.5%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95.8%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98.9%</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color w:val="auto"/>
              </w:rPr>
              <w:t>310 bps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140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91.3%</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97.3%</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600 bps</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1300" w:right="2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4Q16</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3Q17</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4Q17</w:t>
            </w: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230,638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234,486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236,333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882,156</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927,927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-192,818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-196,730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-199,477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-742,436</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-771,793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-10,562</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-10,348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-11,062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-40,596</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-42,478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-2,983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-3,022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-12,466</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24,275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24,385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22,562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-7.5%</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86,658</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101,437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1,514</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5,262</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4,491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-18,999</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-18,751</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-20,356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-69,029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-74,154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-1313.7%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-1624.9%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1,638</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-3,885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-9,473</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-10,657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Medical services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2,971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4,647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2,374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-48.9%</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14,933</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22,784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8,136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16,008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16,338</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40,618</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59,642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11,107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20,655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18,712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68.5%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55,551</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82,426</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48.4%</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11.8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2017 / 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883,893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830,346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882,917</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883,893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882,917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277,899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249,885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263,716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277,899</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263,716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605,994</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580,461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605,994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619,200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Income from commissions</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103,133</w:t>
            </w:r>
          </w:p>
        </w:tc>
        <w:tc>
          <w:tcPr>
            <w:tcW w:w="24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89,136</w:t>
            </w:r>
          </w:p>
        </w:tc>
        <w:tc>
          <w:tcPr>
            <w:tcW w:w="24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92,660</w:t>
            </w:r>
          </w:p>
        </w:tc>
        <w:tc>
          <w:tcPr>
            <w:tcW w:w="240" w:type="dxa"/>
            <w:vAlign w:val="bottom"/>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-10.2%</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407,153</w:t>
            </w: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384,350</w:t>
            </w:r>
          </w:p>
        </w:tc>
        <w:tc>
          <w:tcPr>
            <w:tcW w:w="200" w:type="dxa"/>
            <w:vAlign w:val="bottom"/>
            <w:vMerge w:val="continue"/>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(42,879)</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(39,840)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(43,386)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-160,074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-160,247</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(5,691)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(5,843)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(4,637)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-21,257</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-22,610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54,563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43,453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44,637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225,821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201,493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4,163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1283.1%</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(20,949)</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(15,377)</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(17,238)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-69,576</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-65,591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34,386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29,429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30,403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3.3%</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156,546</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140,065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Translations results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-177.6%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34,358</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29,401</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30,424</w:t>
            </w: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155,812</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140,082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0"/>
        </w:trPr>
        <w:tc>
          <w:tcPr>
            <w:tcW w:w="32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ROAE </w:t>
            </w:r>
            <w:r>
              <w:rPr>
                <w:rFonts w:ascii="Arial" w:cs="Arial" w:eastAsia="Arial" w:hAnsi="Arial"/>
                <w:sz w:val="23"/>
                <w:szCs w:val="23"/>
                <w:b w:val="1"/>
                <w:bCs w:val="1"/>
                <w:color w:val="auto"/>
                <w:vertAlign w:val="superscript"/>
              </w:rPr>
              <w:t>(1)</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20.3%</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17</w:t>
            </w: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Fund 1</w:t>
            </w:r>
          </w:p>
        </w:tc>
        <w:tc>
          <w:tcPr>
            <w:tcW w:w="1180" w:type="dxa"/>
            <w:vAlign w:val="bottom"/>
          </w:tcPr>
          <w:p>
            <w:pPr>
              <w:jc w:val="right"/>
              <w:spacing w:after="0"/>
              <w:rPr>
                <w:sz w:val="20"/>
                <w:szCs w:val="20"/>
                <w:color w:val="auto"/>
              </w:rPr>
            </w:pPr>
            <w:r>
              <w:rPr>
                <w:rFonts w:ascii="Arial" w:cs="Arial" w:eastAsia="Arial" w:hAnsi="Arial"/>
                <w:sz w:val="18"/>
                <w:szCs w:val="18"/>
                <w:color w:val="auto"/>
              </w:rPr>
              <w:t>5,373</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Fund 3</w:t>
            </w:r>
          </w:p>
        </w:tc>
        <w:tc>
          <w:tcPr>
            <w:tcW w:w="1180" w:type="dxa"/>
            <w:vAlign w:val="bottom"/>
          </w:tcPr>
          <w:p>
            <w:pPr>
              <w:jc w:val="right"/>
              <w:spacing w:after="0"/>
              <w:rPr>
                <w:sz w:val="20"/>
                <w:szCs w:val="20"/>
                <w:color w:val="auto"/>
              </w:rPr>
            </w:pPr>
            <w:r>
              <w:rPr>
                <w:rFonts w:ascii="Arial" w:cs="Arial" w:eastAsia="Arial" w:hAnsi="Arial"/>
                <w:sz w:val="18"/>
                <w:szCs w:val="18"/>
                <w:color w:val="auto"/>
              </w:rPr>
              <w:t>7,858</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7,948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0"/>
        </w:trPr>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Nominal profitability over the last 12 months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Fund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34784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Fund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Fund 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1220" w:type="dxa"/>
            <w:vAlign w:val="bottom"/>
          </w:tcPr>
          <w:p>
            <w:pPr>
              <w:spacing w:after="0"/>
              <w:rPr>
                <w:sz w:val="20"/>
                <w:szCs w:val="20"/>
                <w:color w:val="auto"/>
              </w:rPr>
            </w:pPr>
          </w:p>
        </w:tc>
      </w:tr>
      <w:tr>
        <w:trPr>
          <w:trHeight w:val="414"/>
        </w:trPr>
        <w:tc>
          <w:tcPr>
            <w:tcW w:w="212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0"/>
        </w:trPr>
        <w:tc>
          <w:tcPr>
            <w:tcW w:w="212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122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Flow</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540"/>
        </w:trPr>
        <w:tc>
          <w:tcPr>
            <w:tcW w:w="2120" w:type="dxa"/>
            <w:vAlign w:val="bottom"/>
          </w:tcPr>
          <w:p>
            <w:pPr>
              <w:spacing w:after="0"/>
              <w:rPr>
                <w:sz w:val="20"/>
                <w:szCs w:val="20"/>
                <w:color w:val="auto"/>
              </w:rPr>
            </w:pPr>
            <w:r>
              <w:rPr>
                <w:rFonts w:ascii="Arial" w:cs="Arial" w:eastAsia="Arial" w:hAnsi="Arial"/>
                <w:sz w:val="18"/>
                <w:szCs w:val="18"/>
                <w:color w:val="auto"/>
              </w:rPr>
              <w:t>Balance</w:t>
            </w: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540"/>
        </w:trPr>
        <w:tc>
          <w:tcPr>
            <w:tcW w:w="212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34"/>
        </w:trPr>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Sep 17 / Sep 16</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Dec 17 / Dec 16</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4.7%</w:t>
            </w:r>
          </w:p>
        </w:tc>
        <w:tc>
          <w:tcPr>
            <w:tcW w:w="40" w:type="dxa"/>
            <w:vAlign w:val="bottom"/>
            <w:vMerge w:val="continue"/>
          </w:tcPr>
          <w:p>
            <w:pPr>
              <w:spacing w:after="0"/>
              <w:rPr>
                <w:sz w:val="16"/>
                <w:szCs w:val="16"/>
                <w:color w:val="auto"/>
              </w:rPr>
            </w:pPr>
          </w:p>
        </w:tc>
        <w:tc>
          <w:tcPr>
            <w:tcW w:w="1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Applied to the affiliates' monthly remuneration.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Applies annualy to the new balance since February 2013 for new affiliates to the system and beginning on June 2013 for old affiliates who have chosen this commission scheme.</w:t>
      </w:r>
    </w:p>
    <w:p>
      <w:pPr>
        <w:spacing w:after="0" w:line="598" w:lineRule="exact"/>
        <w:rPr>
          <w:sz w:val="20"/>
          <w:szCs w:val="20"/>
          <w:color w:val="auto"/>
        </w:rPr>
      </w:pPr>
    </w:p>
    <w:p>
      <w:pPr>
        <w:sectPr>
          <w:pgSz w:w="11900" w:h="16838" w:orient="portrait"/>
          <w:cols w:equalWidth="0" w:num="2">
            <w:col w:w="3460" w:space="200"/>
            <w:col w:w="776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System</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3Q17</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4Q17</w:t>
            </w:r>
          </w:p>
        </w:tc>
        <w:tc>
          <w:tcPr>
            <w:tcW w:w="160" w:type="dxa"/>
            <w:vAlign w:val="bottom"/>
            <w:tcBorders>
              <w:bottom w:val="single" w:sz="8" w:color="CCEEFF"/>
            </w:tcBorders>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1,596,158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6,522,565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1,683,123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6,604,841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r>
      <w:tr>
        <w:trPr>
          <w:trHeight w:val="257"/>
        </w:trPr>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97,180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97,180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97,004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97,004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under management (S/ Millions)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151,586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Collections (S/ Millions)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2,535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2,675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r>
      <w:tr>
        <w:trPr>
          <w:trHeight w:val="390"/>
        </w:trPr>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7,179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900" w:type="dxa"/>
            <w:vAlign w:val="bottom"/>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In April and May AFP Habitat had exclusivity of affiliation. From June Prima AFP it has exclusivity for being a winner of bidding.</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62"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 Average of aggregated income during the last 4 months, excluding special collections and voluntary contribution fees. Information available to nov 17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11.9  Table of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on loans (NIM on loans)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Risk-adjusted Net Interest Margin (Risk-adjusted NIM)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ratio of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ratio of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 / Net Earned Premium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4800"/>
        <w:spacing w:after="0"/>
        <w:rPr>
          <w:sz w:val="20"/>
          <w:szCs w:val="20"/>
          <w:color w:val="auto"/>
        </w:rPr>
      </w:pPr>
      <w:r>
        <w:rPr>
          <w:rFonts w:ascii="Arial" w:cs="Arial" w:eastAsia="Arial" w:hAnsi="Arial"/>
          <w:sz w:val="15"/>
          <w:szCs w:val="15"/>
          <w:b w:val="1"/>
          <w:bCs w:val="1"/>
          <w:color w:val="auto"/>
        </w:rPr>
        <w:t xml:space="preserve">Table of calculations </w:t>
      </w:r>
      <w:r>
        <w:rPr>
          <w:rFonts w:ascii="Arial" w:cs="Arial" w:eastAsia="Arial" w:hAnsi="Arial"/>
          <w:sz w:val="24"/>
          <w:szCs w:val="24"/>
          <w:b w:val="1"/>
          <w:bCs w:val="1"/>
          <w:color w:val="auto"/>
          <w:vertAlign w:val="superscript"/>
        </w:rPr>
        <w:t>(1)</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 Average Interest Earning Assets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Annualized (Interest on loans − (Interest expense * (Average total loans / Average Interest earning assets)) / Average Total Loans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Annualized Net Interest Income – </w:t>
      </w:r>
      <w:r>
        <w:rPr>
          <w:rFonts w:ascii="Arial" w:cs="Arial" w:eastAsia="Arial" w:hAnsi="Arial"/>
          <w:sz w:val="18"/>
          <w:szCs w:val="18"/>
          <w:i w:val="1"/>
          <w:iCs w:val="1"/>
          <w:color w:val="auto"/>
        </w:rPr>
        <w:t>Annualized net provisions for loan losses</w:t>
      </w:r>
      <w:r>
        <w:rPr>
          <w:rFonts w:ascii="Arial" w:cs="Arial" w:eastAsia="Arial" w:hAnsi="Arial"/>
          <w:sz w:val="18"/>
          <w:szCs w:val="18"/>
          <w:color w:val="auto"/>
        </w:rPr>
        <w:t xml:space="preserve"> / Average Interest Earning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net equity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Gross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 – performing loans / Gross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for loan losses / Gross loans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claims / Net earned premiums + Acquisition cost + operating expenses / Net earned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Life insurance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(Net interest income + Fee income + Result on exchange difference + Net gain on Derivatives + Net gain on foreign exchange transactions + Net gain from associates + Net premium earned)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Average total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 – 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/Risk – weighted assets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Capital + Reserves – 100% of applicable deductions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Retained Earnings + Unrealized gains or losses / Risk – weighted assets</w:t>
      </w:r>
    </w:p>
    <w:p>
      <w:pPr>
        <w:spacing w:after="0" w:line="200" w:lineRule="exact"/>
        <w:rPr>
          <w:sz w:val="20"/>
          <w:szCs w:val="20"/>
          <w:color w:val="auto"/>
        </w:rPr>
      </w:pPr>
    </w:p>
    <w:p>
      <w:pPr>
        <w:sectPr>
          <w:pgSz w:w="11900" w:h="16838" w:orient="portrait"/>
          <w:cols w:equalWidth="0" w:num="2">
            <w:col w:w="4300" w:space="500"/>
            <w:col w:w="6620"/>
          </w:cols>
          <w:pgMar w:left="240" w:top="904" w:right="239" w:bottom="1440" w:gutter="0" w:footer="0" w:header="0"/>
        </w:sectPr>
      </w:pPr>
    </w:p>
    <w:p>
      <w:pPr>
        <w:spacing w:after="0" w:line="2"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lowerRoman"/>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lowerRoman"/>
      <w:start w:val="1"/>
    </w:lvl>
  </w:abstractNum>
  <w:abstractNum w:abstractNumId="10">
    <w:nsid w:val="6DE91B18"/>
    <w:multiLevelType w:val="hybridMultilevel"/>
    <w:lvl w:ilvl="0">
      <w:lvlJc w:val="left"/>
      <w:lvlText w:val="(%1)"/>
      <w:numFmt w:val="lowerRoman"/>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2"/>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amp;"/>
      <w:numFmt w:val="bullet"/>
      <w:start w:val="1"/>
    </w:lvl>
  </w:abstractNum>
  <w:abstractNum w:abstractNumId="15">
    <w:nsid w:val="579478FE"/>
    <w:multiLevelType w:val="hybridMultilevel"/>
    <w:lvl w:ilvl="0">
      <w:lvlJc w:val="left"/>
      <w:lvlText w:val="1"/>
      <w:numFmt w:val="bullet"/>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lowerRoman"/>
      <w:start w:val="1"/>
    </w:lvl>
  </w:abstractNum>
  <w:abstractNum w:abstractNumId="19">
    <w:nsid w:val="79A1DEAA"/>
    <w:multiLevelType w:val="hybridMultilevel"/>
    <w:lvl w:ilvl="0">
      <w:lvlJc w:val="left"/>
      <w:lvlText w:val="(%1)"/>
      <w:numFmt w:val="lowerRoman"/>
      <w:start w:val="3"/>
    </w:lvl>
  </w:abstractNum>
  <w:abstractNum w:abstractNumId="20">
    <w:nsid w:val="75C6C33A"/>
    <w:multiLevelType w:val="hybridMultilevel"/>
    <w:lvl w:ilvl="0">
      <w:lvlJc w:val="left"/>
      <w:lvlText w:val="(%1)"/>
      <w:numFmt w:val="decimal"/>
      <w:start w:val="1"/>
    </w:lvl>
    <w:lvl w:ilvl="1">
      <w:lvlJc w:val="left"/>
      <w:lvlText w:val="(%2)"/>
      <w:numFmt w:val="lowerRoman"/>
      <w:start w:val="1"/>
    </w:lvl>
  </w:abstractNum>
  <w:abstractNum w:abstractNumId="21">
    <w:nsid w:val="12E685FB"/>
    <w:multiLevelType w:val="hybridMultilevel"/>
    <w:lvl w:ilvl="0">
      <w:lvlJc w:val="left"/>
      <w:lvlText w:val="%1."/>
      <w:numFmt w:val="decimal"/>
      <w:start w:val="3"/>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2"/>
      <w:numFmt w:val="bullet"/>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lowerRoman"/>
      <w:start w:val="1"/>
    </w:lvl>
  </w:abstractNum>
  <w:abstractNum w:abstractNumId="26">
    <w:nsid w:val="23F9C13C"/>
    <w:multiLevelType w:val="hybridMultilevel"/>
    <w:lvl w:ilvl="0">
      <w:lvlJc w:val="left"/>
      <w:lvlText w:val="(%1)"/>
      <w:numFmt w:val="lowerRoman"/>
      <w:start w:val="1"/>
    </w:lvl>
  </w:abstractNum>
  <w:abstractNum w:abstractNumId="27">
    <w:nsid w:val="649BB77C"/>
    <w:multiLevelType w:val="hybridMultilevel"/>
    <w:lvl w:ilvl="0">
      <w:lvlJc w:val="left"/>
      <w:lvlText w:val="(%1)"/>
      <w:numFmt w:val="lowerRoman"/>
      <w:start w:val="3"/>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1)"/>
      <w:numFmt w:val="lowerRoman"/>
      <w:start w:val="2"/>
    </w:lvl>
  </w:abstractNum>
  <w:abstractNum w:abstractNumId="30">
    <w:nsid w:val="1CF10FD8"/>
    <w:multiLevelType w:val="hybridMultilevel"/>
    <w:lvl w:ilvl="0">
      <w:lvlJc w:val="left"/>
      <w:lvlText w:val="(%1)"/>
      <w:numFmt w:val="lowerRoman"/>
      <w:start w:val="3"/>
    </w:lvl>
  </w:abstractNum>
  <w:abstractNum w:abstractNumId="31">
    <w:nsid w:val="180115BE"/>
    <w:multiLevelType w:val="hybridMultilevel"/>
    <w:lvl w:ilvl="0">
      <w:lvlJc w:val="left"/>
      <w:lvlText w:val="(%1)"/>
      <w:numFmt w:val="lowerRoman"/>
      <w:start w:val="4"/>
    </w:lvl>
  </w:abstractNum>
  <w:abstractNum w:abstractNumId="32">
    <w:nsid w:val="235BA861"/>
    <w:multiLevelType w:val="hybridMultilevel"/>
    <w:lvl w:ilvl="0">
      <w:lvlJc w:val="left"/>
      <w:lvlText w:val="(%1)"/>
      <w:numFmt w:val="lowerRoman"/>
      <w:start w:val="5"/>
    </w:lvl>
  </w:abstractNum>
  <w:abstractNum w:abstractNumId="33">
    <w:nsid w:val="47398C89"/>
    <w:multiLevelType w:val="hybridMultilevel"/>
    <w:lvl w:ilvl="0">
      <w:lvlJc w:val="left"/>
      <w:lvlText w:val="(%1)"/>
      <w:numFmt w:val="lowerRoman"/>
      <w:start w:val="4"/>
    </w:lvl>
  </w:abstractNum>
  <w:abstractNum w:abstractNumId="34">
    <w:nsid w:val="354FE9F9"/>
    <w:multiLevelType w:val="hybridMultilevel"/>
    <w:lvl w:ilvl="0">
      <w:lvlJc w:val="left"/>
      <w:lvlText w:val="(%1)"/>
      <w:numFmt w:val="lowerRoman"/>
      <w:start w:val="7"/>
    </w:lvl>
  </w:abstractNum>
  <w:abstractNum w:abstractNumId="35">
    <w:nsid w:val="15B5AF5C"/>
    <w:multiLevelType w:val="hybridMultilevel"/>
    <w:lvl w:ilvl="0">
      <w:lvlJc w:val="left"/>
      <w:lvlText w:val="%1"/>
      <w:numFmt w:val="lowerRoman"/>
      <w:start w:val="1"/>
    </w:lvl>
    <w:lvl w:ilvl="1">
      <w:lvlJc w:val="left"/>
      <w:lvlText w:val="(%2)"/>
      <w:numFmt w:val="decimal"/>
      <w:start w:val="1"/>
    </w:lvl>
  </w:abstractNum>
  <w:abstractNum w:abstractNumId="36">
    <w:nsid w:val="741226BB"/>
    <w:multiLevelType w:val="hybridMultilevel"/>
    <w:lvl w:ilvl="0">
      <w:lvlJc w:val="left"/>
      <w:lvlText w:val="(%1)"/>
      <w:numFmt w:val="lowerRoman"/>
      <w:start w:val="8"/>
    </w:lvl>
    <w:lvl w:ilvl="1">
      <w:lvlJc w:val="left"/>
      <w:lvlText w:val="%2"/>
      <w:numFmt w:val="decimal"/>
      <w:start w:val="1"/>
    </w:lvl>
  </w:abstractNum>
  <w:abstractNum w:abstractNumId="37">
    <w:nsid w:val="D34B6A8"/>
    <w:multiLevelType w:val="hybridMultilevel"/>
    <w:lvl w:ilvl="0">
      <w:lvlJc w:val="left"/>
      <w:lvlText w:val="%1."/>
      <w:numFmt w:val="decimal"/>
      <w:start w:val="4"/>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lowerRoman"/>
      <w:start w:val="1"/>
    </w:lvl>
  </w:abstractNum>
  <w:abstractNum w:abstractNumId="40">
    <w:nsid w:val="61574095"/>
    <w:multiLevelType w:val="hybridMultilevel"/>
    <w:lvl w:ilvl="0">
      <w:lvlJc w:val="left"/>
      <w:lvlText w:val="(%1)"/>
      <w:numFmt w:val="lowerRoman"/>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3"/>
      <w:numFmt w:val="bullet"/>
      <w:start w:val="1"/>
    </w:lvl>
  </w:abstractNum>
  <w:abstractNum w:abstractNumId="44">
    <w:nsid w:val="310C50B3"/>
    <w:multiLevelType w:val="hybridMultilevel"/>
    <w:lvl w:ilvl="0">
      <w:lvlJc w:val="left"/>
      <w:lvlText w:val="%1."/>
      <w:numFmt w:val="decimal"/>
      <w:start w:val="5"/>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lowerRoman"/>
      <w:start w:val="1"/>
    </w:lvl>
  </w:abstractNum>
  <w:abstractNum w:abstractNumId="51">
    <w:nsid w:val="1381823A"/>
    <w:multiLevelType w:val="hybridMultilevel"/>
    <w:lvl w:ilvl="0">
      <w:lvlJc w:val="left"/>
      <w:lvlText w:val="(%1)"/>
      <w:numFmt w:val="lowerRoman"/>
      <w:start w:val="3"/>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1)"/>
      <w:numFmt w:val="lowerRoman"/>
      <w:start w:val="1"/>
    </w:lvl>
  </w:abstractNum>
  <w:abstractNum w:abstractNumId="54">
    <w:nsid w:val="6590700B"/>
    <w:multiLevelType w:val="hybridMultilevel"/>
    <w:lvl w:ilvl="0">
      <w:lvlJc w:val="left"/>
      <w:lvlText w:val="%1."/>
      <w:numFmt w:val="decimal"/>
      <w:start w:val="6"/>
    </w:lvl>
  </w:abstractNum>
  <w:abstractNum w:abstractNumId="55">
    <w:nsid w:val="15014ACB"/>
    <w:multiLevelType w:val="hybridMultilevel"/>
    <w:lvl w:ilvl="0">
      <w:lvlJc w:val="left"/>
      <w:lvlText w:val="(%1)"/>
      <w:numFmt w:val="lowerRoman"/>
      <w:start w:val="1"/>
    </w:lvl>
  </w:abstractNum>
  <w:abstractNum w:abstractNumId="56">
    <w:nsid w:val="5F5E7FD0"/>
    <w:multiLevelType w:val="hybridMultilevel"/>
    <w:lvl w:ilvl="0">
      <w:lvlJc w:val="left"/>
      <w:lvlText w:val="(%1)"/>
      <w:numFmt w:val="lowerRoman"/>
      <w:start w:val="1"/>
    </w:lvl>
  </w:abstractNum>
  <w:abstractNum w:abstractNumId="57">
    <w:nsid w:val="98A3148"/>
    <w:multiLevelType w:val="hybridMultilevel"/>
    <w:lvl w:ilvl="0">
      <w:lvlJc w:val="left"/>
      <w:lvlText w:val="%1."/>
      <w:numFmt w:val="decimal"/>
      <w:start w:val="7"/>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lvl w:ilvl="1">
      <w:lvlJc w:val="left"/>
      <w:lvlText w:val="(%2)"/>
      <w:numFmt w:val="lowerRoman"/>
      <w:start w:val="1"/>
    </w:lvl>
  </w:abstractNum>
  <w:abstractNum w:abstractNumId="60">
    <w:nsid w:val="42C296BD"/>
    <w:multiLevelType w:val="hybridMultilevel"/>
    <w:lvl w:ilvl="0">
      <w:lvlJc w:val="left"/>
      <w:lvlText w:val="(%1)"/>
      <w:numFmt w:val="lowerRoman"/>
      <w:start w:val="2"/>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9"/>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lowerRoman"/>
      <w:start w:val="1"/>
    </w:lvl>
  </w:abstractNum>
  <w:abstractNum w:abstractNumId="71">
    <w:nsid w:val="42963E5A"/>
    <w:multiLevelType w:val="hybridMultilevel"/>
    <w:lvl w:ilvl="0">
      <w:lvlJc w:val="left"/>
      <w:lvlText w:val="(%1)"/>
      <w:numFmt w:val="lowerRoman"/>
      <w:start w:val="3"/>
    </w:lvl>
  </w:abstractNum>
  <w:abstractNum w:abstractNumId="72">
    <w:nsid w:val="A0382C5"/>
    <w:multiLevelType w:val="hybridMultilevel"/>
    <w:lvl w:ilvl="0">
      <w:lvlJc w:val="left"/>
      <w:lvlText w:val="%1."/>
      <w:numFmt w:val="decimal"/>
      <w:start w:val="1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lowerRoman"/>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2019-12-06T06:41:10Z</dcterms:created>
  <dcterms:modified xsi:type="dcterms:W3CDTF">2019-12-06T06:41:10Z</dcterms:modified>
</cp:coreProperties>
</file>